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Sample Use Case</w:t>
            </w:r>
          </w:p>
          <w:p>
            <w:pPr>
              <w:jc w:val="center"/>
            </w:pPr>
            <w:r>
              <w:rPr>
                <w:color w:val="B4C8DC"/>
              </w:rPr>
              <w:t>Claims of Tamriel — Cross-Platform RPG Knowledge Base &amp; Moral Compass Application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561"/>
          </w:tcPr>
          <w:p>
            <w:r>
              <w:t>Claims of Tamriel — Cross-Platform RPG Knowledge Base &amp; Moral Compass</w:t>
            </w:r>
          </w:p>
        </w:tc>
      </w:tr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Project Manager:</w:t>
            </w:r>
          </w:p>
        </w:tc>
        <w:tc>
          <w:tcPr>
            <w:tcW w:type="dxa" w:w="4561"/>
          </w:tcPr>
          <w:p>
            <w:r>
              <w:t>Atakan Kayı</w:t>
            </w:r>
          </w:p>
        </w:tc>
      </w:tr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History of revisions:</w:t>
            </w:r>
          </w:p>
        </w:tc>
        <w:tc>
          <w:tcPr>
            <w:tcW w:type="dxa" w:w="4561"/>
          </w:tcPr>
          <w:p>
            <w:r>
              <w:t>v1.0 — 2026-04-28 — Atakan Kayı — Draft for review.</w:t>
            </w:r>
          </w:p>
        </w:tc>
      </w:tr>
    </w:tbl>
    <w:p/>
    <w:p>
      <w:r/>
      <w:r>
        <w:rPr>
          <w:b/>
        </w:rPr>
        <w:t>Preconditions</w:t>
      </w:r>
      <w:r>
        <w:t xml:space="preserve"> require that the ontology file skyrim_ontology_v5_0.ttl is loaded in the application, all 8 Dispute Pairs are available, and the user has access to index.html in a modern web browser. No account is required.</w:t>
      </w:r>
    </w:p>
    <w:p>
      <w:pPr>
        <w:pStyle w:val="Heading1"/>
      </w:pPr>
      <w:r>
        <w:t>Actors and Goal</w:t>
      </w:r>
    </w:p>
    <w:p>
      <w:r>
        <w:t xml:space="preserve">The main actor is the </w:t>
      </w:r>
      <w:r>
        <w:rPr>
          <w:b/>
        </w:rPr>
        <w:t>visitor/player</w:t>
      </w:r>
      <w:r>
        <w:t>. The goal is to inspect a disputed faction choice, understand the moral and ideological consequences, and use the application to make an informed decision before committing to a side.</w:t>
      </w:r>
    </w:p>
    <w:p>
      <w:pPr>
        <w:pStyle w:val="Heading1"/>
      </w:pPr>
      <w:r>
        <w:t>Basic Flow</w:t>
      </w:r>
    </w:p>
    <w:p>
      <w:pPr>
        <w:pStyle w:val="ListNumber"/>
      </w:pPr>
      <w:r>
        <w:t>The visitor opens index.html in the browser.</w:t>
      </w:r>
    </w:p>
    <w:p>
      <w:pPr>
        <w:pStyle w:val="ListNumber"/>
      </w:pPr>
      <w:r>
        <w:t>The application loads and displays Section IV — War Table, listing all 8 Dispute Pairs.</w:t>
      </w:r>
    </w:p>
    <w:p>
      <w:pPr>
        <w:pStyle w:val="ListNumber"/>
      </w:pPr>
      <w:r>
        <w:t>The visitor selects a disputed choice, such as Imperial Sovereignty vs. Nordic Independence.</w:t>
      </w:r>
    </w:p>
    <w:p>
      <w:pPr>
        <w:pStyle w:val="ListNumber"/>
      </w:pPr>
      <w:r>
        <w:t>The application expands the chosen pair and shows both Claims with holder, ClaimType, evidence strength, conflict relation, and source URL.</w:t>
      </w:r>
    </w:p>
    <w:p>
      <w:pPr>
        <w:pStyle w:val="ListNumber"/>
      </w:pPr>
      <w:r>
        <w:t>The visitor opens the World Impact Summary to understand what changes in the game world if either side wins.</w:t>
      </w:r>
    </w:p>
    <w:p>
      <w:pPr>
        <w:pStyle w:val="ListNumber"/>
      </w:pPr>
      <w:r>
        <w:t>The visitor switches to the Moral-Compass View to see where the factions stand ideologically.</w:t>
      </w:r>
    </w:p>
    <w:p>
      <w:pPr>
        <w:pStyle w:val="ListNumber"/>
      </w:pPr>
      <w:r>
        <w:t>The visitor inspects faction and character cards to compare the rival sides in more detail.</w:t>
      </w:r>
    </w:p>
    <w:p>
      <w:pPr>
        <w:pStyle w:val="ListNumber"/>
      </w:pPr>
      <w:r>
        <w:t>Optionally, the visitor runs a SPARQL competency query from Section V — The Codex.</w:t>
      </w:r>
    </w:p>
    <w:p>
      <w:pPr>
        <w:pStyle w:val="ListNumber"/>
      </w:pPr>
      <w:r>
        <w:t>The visitor returns to the War Table and makes a choice based on the evidence and the intended role-play values.</w:t>
      </w:r>
    </w:p>
    <w:p>
      <w:pPr>
        <w:pStyle w:val="Heading1"/>
      </w:pPr>
      <w:r>
        <w:t>Preconditions and Postconditions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Preconditions:</w:t>
            </w:r>
          </w:p>
        </w:tc>
        <w:tc>
          <w:tcPr>
            <w:tcW w:type="dxa" w:w="4561"/>
          </w:tcPr>
          <w:p>
            <w:r>
              <w:t>The ontology is loaded and the War Table contains the relevant dispute pair.</w:t>
            </w:r>
          </w:p>
        </w:tc>
      </w:tr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Postconditions:</w:t>
            </w:r>
          </w:p>
        </w:tc>
        <w:tc>
          <w:tcPr>
            <w:tcW w:type="dxa" w:w="4561"/>
          </w:tcPr>
          <w:p>
            <w:r>
              <w:t>The chosen faction choice is informed by the displayed claims and the moral compass view.</w:t>
            </w:r>
          </w:p>
        </w:tc>
      </w:tr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Success condition:</w:t>
            </w:r>
          </w:p>
        </w:tc>
        <w:tc>
          <w:tcPr>
            <w:tcW w:type="dxa" w:w="4561"/>
          </w:tcPr>
          <w:p>
            <w:r>
              <w:t>The user understands at least one consequence of each side and can continue playing with higher confidence.</w:t>
            </w:r>
          </w:p>
        </w:tc>
      </w:tr>
    </w:tbl>
    <w:p>
      <w:pPr>
        <w:pStyle w:val="Heading1"/>
      </w:pPr>
      <w:r>
        <w:t>Alternative Flows</w:t>
      </w:r>
    </w:p>
    <w:p>
      <w:pPr>
        <w:pStyle w:val="ListBullet"/>
      </w:pPr>
      <w:r>
        <w:t>If the user is new to the game, the World Impact Summary provides plain-language explanation without lore jargon.</w:t>
      </w:r>
    </w:p>
    <w:p>
      <w:pPr>
        <w:pStyle w:val="ListBullet"/>
      </w:pPr>
      <w:r>
        <w:t>If the user wants a deeper investigation, they can inspect the SPARQL query results in Section V.</w:t>
      </w:r>
    </w:p>
    <w:p>
      <w:pPr>
        <w:pStyle w:val="ListBullet"/>
      </w:pPr>
      <w:r>
        <w:t>If the browser is mobile, the same flow still works because the layout is responsive.</w:t>
      </w:r>
    </w:p>
    <w:p>
      <w:pPr>
        <w:pStyle w:val="ListBullet"/>
      </w:pPr>
      <w:r>
        <w:t>If no internet connection is available, the application still works after the initial load because the core content is local.</w:t>
      </w:r>
    </w:p>
    <w:p>
      <w:pPr>
        <w:pStyle w:val="ListBullet"/>
      </w:pPr>
      <w:r>
        <w:t>If the user is actively playing the game, they can keep Claims of Tamriel open as a guide to compare faction positions, read consequences, and check disputed lore before making a permanent in-game choice.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The application opens without errors in a modern browser.</w:t>
      </w:r>
    </w:p>
    <w:p>
      <w:pPr>
        <w:pStyle w:val="ListBullet"/>
      </w:pPr>
      <w:r>
        <w:t>All 8 Dispute Pairs are visible in the War Table.</w:t>
      </w:r>
    </w:p>
    <w:p>
      <w:pPr>
        <w:pStyle w:val="ListBullet"/>
      </w:pPr>
      <w:r>
        <w:t>Selecting a dispute pair reveals the two opposing Claims and their metadata.</w:t>
      </w:r>
    </w:p>
    <w:p>
      <w:pPr>
        <w:pStyle w:val="ListBullet"/>
      </w:pPr>
      <w:r>
        <w:t>The World Impact Summary is readable and understandable by a newcomer.</w:t>
      </w:r>
    </w:p>
    <w:p>
      <w:pPr>
        <w:pStyle w:val="ListBullet"/>
      </w:pPr>
      <w:r>
        <w:t>The Moral-Compass View and profile cards are accessible from the same flow.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