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122"/>
      </w:tblGrid>
      <w:tr>
        <w:tc>
          <w:tcPr>
            <w:tcW w:type="dxa" w:w="9122"/>
            <w:shd w:val="clear" w:color="auto" w:fill="1A1A2E"/>
          </w:tcPr>
          <w:p>
            <w:pPr>
              <w:jc w:val="center"/>
            </w:pPr>
            <w:r>
              <w:rPr>
                <w:b/>
                <w:color w:val="FFFFFF"/>
                <w:sz w:val="36"/>
              </w:rPr>
              <w:t>Testing Methodology and a Test Case</w:t>
            </w:r>
          </w:p>
          <w:p/>
          <w:p>
            <w:pPr>
              <w:jc w:val="center"/>
            </w:pPr>
            <w:r>
              <w:rPr>
                <w:color w:val="B4C8DC"/>
              </w:rPr>
              <w:t>Claims of Tamriel — Cross-Platform RPG Knowledge Base &amp; Moral Compass Application</w:t>
            </w:r>
          </w:p>
        </w:tc>
      </w:tr>
    </w:tbl>
    <w:p/>
    <w:tbl>
      <w:tblPr>
        <w:tblStyle w:val="TableGrid"/>
        <w:tblW w:type="auto" w:w="0"/>
        <w:tblLook w:firstColumn="1" w:firstRow="1" w:lastColumn="0" w:lastRow="0" w:noHBand="0" w:noVBand="1" w:val="04A0"/>
      </w:tblPr>
      <w:tblGrid>
        <w:gridCol w:w="4561"/>
        <w:gridCol w:w="4561"/>
      </w:tblGrid>
      <w:tr>
        <w:tc>
          <w:tcPr>
            <w:tcW w:type="dxa" w:w="4561"/>
            <w:shd w:val="clear" w:color="auto" w:fill="E8EAF6"/>
          </w:tcPr>
          <w:p>
            <w:r>
              <w:rPr>
                <w:b/>
              </w:rPr>
              <w:t>Product name:</w:t>
            </w:r>
          </w:p>
        </w:tc>
        <w:tc>
          <w:tcPr>
            <w:tcW w:type="dxa" w:w="4561"/>
          </w:tcPr>
          <w:p>
            <w:r>
              <w:t>Claims of Tamriel — Cross-Platform RPG Knowledge Base &amp; Moral Compass</w:t>
            </w:r>
          </w:p>
        </w:tc>
      </w:tr>
      <w:tr>
        <w:tc>
          <w:tcPr>
            <w:tcW w:type="dxa" w:w="4561"/>
            <w:shd w:val="clear" w:color="auto" w:fill="E8EAF6"/>
          </w:tcPr>
          <w:p>
            <w:r>
              <w:rPr>
                <w:b/>
              </w:rPr>
              <w:t>Project Manager:</w:t>
            </w:r>
          </w:p>
        </w:tc>
        <w:tc>
          <w:tcPr>
            <w:tcW w:type="dxa" w:w="4561"/>
          </w:tcPr>
          <w:p>
            <w:r>
              <w:t>Atakan Kayı</w:t>
            </w:r>
          </w:p>
        </w:tc>
      </w:tr>
      <w:tr>
        <w:tc>
          <w:tcPr>
            <w:tcW w:type="dxa" w:w="4561"/>
            <w:shd w:val="clear" w:color="auto" w:fill="E8EAF6"/>
          </w:tcPr>
          <w:p>
            <w:r>
              <w:rPr>
                <w:b/>
              </w:rPr>
              <w:t>History of revisions:</w:t>
            </w:r>
          </w:p>
        </w:tc>
        <w:tc>
          <w:tcPr>
            <w:tcW w:type="dxa" w:w="4561"/>
          </w:tcPr>
          <w:p>
            <w:r>
              <w:t>v1.0 — 2026-04-28 — Atakan Kayı — Draft for review.</w:t>
            </w:r>
          </w:p>
        </w:tc>
      </w:tr>
    </w:tbl>
    <w:p/>
    <w:p>
      <w:pPr>
        <w:pStyle w:val="Heading1"/>
      </w:pPr>
      <w:r>
        <w:t>1. Objectives</w:t>
      </w:r>
    </w:p>
    <w:p>
      <w:pPr>
        <w:pStyle w:val="ListBullet"/>
      </w:pPr>
      <w:r>
        <w:rPr>
          <w:b/>
        </w:rPr>
        <w:t>— **Verification:**</w:t>
      </w:r>
      <w:r>
        <w:t xml:space="preserve"> demonstrate that every implemented feature conforms to the requirements specified in the SRS. Each Mandatory and Useful requirement must be traceable to at least one passing test case.</w:t>
      </w:r>
    </w:p>
    <w:p>
      <w:pPr>
        <w:pStyle w:val="ListBullet"/>
      </w:pPr>
      <w:r>
        <w:rPr>
          <w:b/>
        </w:rPr>
        <w:t>— **Validation:**</w:t>
      </w:r>
      <w:r>
        <w:t xml:space="preserve"> demonstrate that the product is fit for its intended context — that all four user groups (Newcomer, World-Builder, Storyteller, Compass-Seeker) can use it effectively, without prior knowledge of ontologies, SPARQL, or the game world.</w:t>
      </w:r>
    </w:p>
    <w:p/>
    <w:p>
      <w:pPr>
        <w:pStyle w:val="Heading1"/>
      </w:pPr>
      <w:r>
        <w:t>2. Traceability Principle</w:t>
      </w:r>
    </w:p>
    <w:p>
      <w:r>
        <w:t>Each requirement in the SRS must be linked to at least one test case. A traceability matrix (Requirement ID → Test Case ID) is maintained and updated with every release. No Mandatory requirement may be released without a corresponding passing test case.</w:t>
      </w:r>
    </w:p>
    <w:p>
      <w:pPr>
        <w:shd w:val="clear" w:color="auto" w:fill="DBEAFE"/>
      </w:pPr>
      <w:r>
        <w:rPr>
          <w:b/>
          <w:color w:val="1E3A8A"/>
          <w:sz w:val="18"/>
        </w:rPr>
        <w:t xml:space="preserve">  NOTE  As per the course methodology: 'No test, no req.' — a requirement without a test case is not considered implemented. (SE6-Verification-and-validation.pdf, P2.6)</w:t>
      </w:r>
    </w:p>
    <w:p/>
    <w:p>
      <w:pPr>
        <w:pStyle w:val="Heading1"/>
      </w:pPr>
      <w:r>
        <w:t>3. Test Levels and Types</w:t>
      </w:r>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18"/>
              </w:rPr>
              <w:t>Test Level / Type</w:t>
            </w:r>
          </w:p>
        </w:tc>
        <w:tc>
          <w:tcPr>
            <w:tcW w:type="dxa" w:w="4561"/>
            <w:shd w:val="clear" w:color="auto" w:fill="1A1A2E"/>
          </w:tcPr>
          <w:p>
            <w:r>
              <w:rPr>
                <w:b/>
                <w:color w:val="FFFFFF"/>
                <w:sz w:val="18"/>
              </w:rPr>
              <w:t>Scope and Criteria</w:t>
            </w:r>
          </w:p>
        </w:tc>
      </w:tr>
      <w:tr>
        <w:tc>
          <w:tcPr>
            <w:tcW w:type="dxa" w:w="4561"/>
            <w:shd w:val="clear" w:color="auto" w:fill="FFFFFF"/>
          </w:tcPr>
          <w:p>
            <w:r>
              <w:rPr>
                <w:b/>
                <w:sz w:val="18"/>
              </w:rPr>
              <w:t>Ontology Unit Testing</w:t>
              <w:br/>
              <w:t>(automated)</w:t>
            </w:r>
          </w:p>
        </w:tc>
        <w:tc>
          <w:tcPr>
            <w:tcW w:type="dxa" w:w="4561"/>
            <w:shd w:val="clear" w:color="auto" w:fill="FFFFFF"/>
          </w:tcPr>
          <w:p>
            <w:r>
              <w:rPr>
                <w:sz w:val="18"/>
              </w:rPr>
              <w:t>Validate every OWL 2 DL axiom and restriction. Run HermiT or Pellet reasoner after each structural change to the .ttl file. Must return 0 unsatisfiable classes and 0 inconsistencies. Verify property chain axiom: hasHolder ∘ hasOpposingClaim → hasOpposingHolder infers correct individuals.</w:t>
            </w:r>
          </w:p>
        </w:tc>
      </w:tr>
      <w:tr>
        <w:tc>
          <w:tcPr>
            <w:tcW w:type="dxa" w:w="4561"/>
            <w:shd w:val="clear" w:color="auto" w:fill="F2F2F2"/>
          </w:tcPr>
          <w:p>
            <w:r>
              <w:rPr>
                <w:b/>
                <w:sz w:val="18"/>
              </w:rPr>
              <w:t>SPARQL Validation Testing</w:t>
              <w:br/>
              <w:t>(automated + manual)</w:t>
            </w:r>
          </w:p>
        </w:tc>
        <w:tc>
          <w:tcPr>
            <w:tcW w:type="dxa" w:w="4561"/>
            <w:shd w:val="clear" w:color="auto" w:fill="F2F2F2"/>
          </w:tcPr>
          <w:p>
            <w:r>
              <w:rPr>
                <w:sz w:val="18"/>
              </w:rPr>
              <w:t>Execute all 5 competency queries (CQ1–CQ5) against the populated ontology. Verify each returns a non-empty result set matching expected individuals. CQ1: contradiction detection — must return all 8 dispute pairs. CQ2: faction conflict matrix — must return 8 factions in conflict. CQ3: contested evidence — must return Auriel's Bow and the Elder Scroll. CQ4: neutrality detection — must return exactly Balgruuf the Greater. CQ5: denial chain — must return only the Talos dispute pair.</w:t>
            </w:r>
          </w:p>
        </w:tc>
      </w:tr>
      <w:tr>
        <w:tc>
          <w:tcPr>
            <w:tcW w:type="dxa" w:w="4561"/>
            <w:shd w:val="clear" w:color="auto" w:fill="FFFFFF"/>
          </w:tcPr>
          <w:p>
            <w:r>
              <w:rPr>
                <w:b/>
                <w:sz w:val="18"/>
              </w:rPr>
              <w:t>Integration Testing</w:t>
              <w:br/>
              <w:t>(manual)</w:t>
            </w:r>
          </w:p>
        </w:tc>
        <w:tc>
          <w:tcPr>
            <w:tcW w:type="dxa" w:w="4561"/>
            <w:shd w:val="clear" w:color="auto" w:fill="FFFFFF"/>
          </w:tcPr>
          <w:p>
            <w:r>
              <w:rPr>
                <w:sz w:val="18"/>
              </w:rPr>
              <w:t>Verify that index.html correctly loads and parses skyrim_ontology_v5_0.ttl. Verify that all 8 Dispute Pairs appear in the War Table (Section IV). Verify that all 16 Claim cards render with full metadata (ClaimType, holder, evidence strength, source URL). Verify that all Faction and Character profile cards are reachable and display correct data.</w:t>
            </w:r>
          </w:p>
        </w:tc>
      </w:tr>
      <w:tr>
        <w:tc>
          <w:tcPr>
            <w:tcW w:type="dxa" w:w="4561"/>
            <w:shd w:val="clear" w:color="auto" w:fill="F2F2F2"/>
          </w:tcPr>
          <w:p>
            <w:r>
              <w:rPr>
                <w:b/>
                <w:sz w:val="18"/>
              </w:rPr>
              <w:t>System / End-to-End Testing</w:t>
              <w:br/>
              <w:t>(manual)</w:t>
            </w:r>
          </w:p>
        </w:tc>
        <w:tc>
          <w:tcPr>
            <w:tcW w:type="dxa" w:w="4561"/>
            <w:shd w:val="clear" w:color="auto" w:fill="F2F2F2"/>
          </w:tcPr>
          <w:p>
            <w:r>
              <w:rPr>
                <w:sz w:val="18"/>
              </w:rPr>
              <w:t>Full user journey: open index.html → navigate to War Table → click a Dispute Pair → inspect both Claim cards → check source URL links → view Moral-Compass positioning → run a SPARQL query → read a Discovery. Must complete without errors on Chrome, Firefox, Safari (desktop and mobile).</w:t>
            </w:r>
          </w:p>
        </w:tc>
      </w:tr>
      <w:tr>
        <w:tc>
          <w:tcPr>
            <w:tcW w:type="dxa" w:w="4561"/>
            <w:shd w:val="clear" w:color="auto" w:fill="FFFFFF"/>
          </w:tcPr>
          <w:p>
            <w:r>
              <w:rPr>
                <w:b/>
                <w:sz w:val="18"/>
              </w:rPr>
              <w:t>Non-Functional Testing</w:t>
            </w:r>
          </w:p>
        </w:tc>
        <w:tc>
          <w:tcPr>
            <w:tcW w:type="dxa" w:w="4561"/>
            <w:shd w:val="clear" w:color="auto" w:fill="FFFFFF"/>
          </w:tcPr>
          <w:p>
            <w:r>
              <w:rPr>
                <w:sz w:val="18"/>
              </w:rPr>
              <w:t>Performance: index.html must load fully within 3 seconds on a standard mobile connection. Offline: all content must remain accessible after initial load with no CDN dependencies. Mobile responsiveness: layout must pass visual check on iOS Safari and Android Chrome. Epistemic neutrality: no Claim must be marked 'true', 'correct', or 'superior' — manual audit of all 16 Claim cards.</w:t>
            </w:r>
          </w:p>
        </w:tc>
      </w:tr>
      <w:tr>
        <w:tc>
          <w:tcPr>
            <w:tcW w:type="dxa" w:w="4561"/>
            <w:shd w:val="clear" w:color="auto" w:fill="F2F2F2"/>
          </w:tcPr>
          <w:p>
            <w:r>
              <w:rPr>
                <w:b/>
                <w:sz w:val="18"/>
              </w:rPr>
              <w:t>Domain Validation</w:t>
              <w:br/>
              <w:t>(manual, 3-profile usability test)</w:t>
            </w:r>
          </w:p>
        </w:tc>
        <w:tc>
          <w:tcPr>
            <w:tcW w:type="dxa" w:w="4561"/>
            <w:shd w:val="clear" w:color="auto" w:fill="F2F2F2"/>
          </w:tcPr>
          <w:p>
            <w:r>
              <w:rPr>
                <w:sz w:val="18"/>
              </w:rPr>
              <w:t>At least one session each with a High-familiarity user (played Skyrim), Medium-familiarity user (aware of the game but has not played), and Zero-familiarity user (no knowledge of the game). Acceptance threshold: positive overall feedback from all three profiles. Validates that the application is intelligible without prior game knowledge (SRS req. Domain/Non-functional/Mandatory).</w:t>
            </w:r>
          </w:p>
        </w:tc>
      </w:tr>
      <w:tr>
        <w:tc>
          <w:tcPr>
            <w:tcW w:type="dxa" w:w="4561"/>
            <w:shd w:val="clear" w:color="auto" w:fill="FFFFFF"/>
          </w:tcPr>
          <w:p>
            <w:r>
              <w:rPr>
                <w:b/>
                <w:sz w:val="18"/>
              </w:rPr>
              <w:t>Source Policy Audit</w:t>
              <w:br/>
              <w:t>(manual)</w:t>
            </w:r>
          </w:p>
        </w:tc>
        <w:tc>
          <w:tcPr>
            <w:tcW w:type="dxa" w:w="4561"/>
            <w:shd w:val="clear" w:color="auto" w:fill="FFFFFF"/>
          </w:tcPr>
          <w:p>
            <w:r>
              <w:rPr>
                <w:sz w:val="18"/>
              </w:rPr>
              <w:t>Random sample of 20% of Claim individuals (minimum 4 of 16). Each must have at least one sourceURL that is reachable and traceable to UESP Wiki or official in-game text. Fan-generated content must be absent.</w:t>
            </w:r>
          </w:p>
        </w:tc>
      </w:tr>
    </w:tbl>
    <w:p/>
    <w:p>
      <w:pPr>
        <w:pStyle w:val="Heading1"/>
      </w:pPr>
      <w:r>
        <w:t>4. Defect Handling and Release Readiness</w:t>
      </w:r>
    </w:p>
    <w:p>
      <w:r>
        <w:t>Defects are logged in the project's GitHub Issues tracker with the following severity levels:</w:t>
      </w:r>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18"/>
              </w:rPr>
              <w:t>Severity</w:t>
            </w:r>
          </w:p>
        </w:tc>
        <w:tc>
          <w:tcPr>
            <w:tcW w:type="dxa" w:w="4561"/>
            <w:shd w:val="clear" w:color="auto" w:fill="1A1A2E"/>
          </w:tcPr>
          <w:p>
            <w:r>
              <w:rPr>
                <w:b/>
                <w:color w:val="FFFFFF"/>
                <w:sz w:val="18"/>
              </w:rPr>
              <w:t>Definition and Resolution Policy</w:t>
            </w:r>
          </w:p>
        </w:tc>
      </w:tr>
      <w:tr>
        <w:tc>
          <w:tcPr>
            <w:tcW w:type="dxa" w:w="4561"/>
            <w:shd w:val="clear" w:color="auto" w:fill="FFFFFF"/>
          </w:tcPr>
          <w:p>
            <w:r>
              <w:rPr>
                <w:b/>
                <w:sz w:val="18"/>
              </w:rPr>
              <w:t>Critical</w:t>
            </w:r>
          </w:p>
        </w:tc>
        <w:tc>
          <w:tcPr>
            <w:tcW w:type="dxa" w:w="4561"/>
            <w:shd w:val="clear" w:color="auto" w:fill="FFFFFF"/>
          </w:tcPr>
          <w:p>
            <w:r>
              <w:rPr>
                <w:sz w:val="18"/>
              </w:rPr>
              <w:t>Blocks the core flow (e.g. index.html does not load, all 8 Dispute Pairs missing, reasoner returns inconsistency). Must be resolved before any release.</w:t>
            </w:r>
          </w:p>
        </w:tc>
      </w:tr>
      <w:tr>
        <w:tc>
          <w:tcPr>
            <w:tcW w:type="dxa" w:w="4561"/>
            <w:shd w:val="clear" w:color="auto" w:fill="F2F2F2"/>
          </w:tcPr>
          <w:p>
            <w:r>
              <w:rPr>
                <w:b/>
                <w:sz w:val="18"/>
              </w:rPr>
              <w:t>Major</w:t>
            </w:r>
          </w:p>
        </w:tc>
        <w:tc>
          <w:tcPr>
            <w:tcW w:type="dxa" w:w="4561"/>
            <w:shd w:val="clear" w:color="auto" w:fill="F2F2F2"/>
          </w:tcPr>
          <w:p>
            <w:r>
              <w:rPr>
                <w:sz w:val="18"/>
              </w:rPr>
              <w:t>One or more Mandatory SRS requirements not satisfied (e.g. a Claim card missing source URL, a SPARQL query returning wrong results). Must be resolved before MVP demo.</w:t>
            </w:r>
          </w:p>
        </w:tc>
      </w:tr>
      <w:tr>
        <w:tc>
          <w:tcPr>
            <w:tcW w:type="dxa" w:w="4561"/>
            <w:shd w:val="clear" w:color="auto" w:fill="FFFFFF"/>
          </w:tcPr>
          <w:p>
            <w:r>
              <w:rPr>
                <w:b/>
                <w:sz w:val="18"/>
              </w:rPr>
              <w:t>Minor</w:t>
            </w:r>
          </w:p>
        </w:tc>
        <w:tc>
          <w:tcPr>
            <w:tcW w:type="dxa" w:w="4561"/>
            <w:shd w:val="clear" w:color="auto" w:fill="FFFFFF"/>
          </w:tcPr>
          <w:p>
            <w:r>
              <w:rPr>
                <w:sz w:val="18"/>
              </w:rPr>
              <w:t>Useful or Nice-to-have requirements not satisfied. May be released with a documented known-issue note.</w:t>
            </w:r>
          </w:p>
        </w:tc>
      </w:tr>
      <w:tr>
        <w:tc>
          <w:tcPr>
            <w:tcW w:type="dxa" w:w="4561"/>
            <w:shd w:val="clear" w:color="auto" w:fill="F2F2F2"/>
          </w:tcPr>
          <w:p>
            <w:r>
              <w:rPr>
                <w:b/>
                <w:sz w:val="18"/>
              </w:rPr>
              <w:t>Cosmetic</w:t>
            </w:r>
          </w:p>
        </w:tc>
        <w:tc>
          <w:tcPr>
            <w:tcW w:type="dxa" w:w="4561"/>
            <w:shd w:val="clear" w:color="auto" w:fill="F2F2F2"/>
          </w:tcPr>
          <w:p>
            <w:r>
              <w:rPr>
                <w:sz w:val="18"/>
              </w:rPr>
              <w:t>Visual or typographic issues that do not affect functionality. Scheduled for next iteration.</w:t>
            </w:r>
          </w:p>
        </w:tc>
      </w:tr>
    </w:tbl>
    <w:p/>
    <w:p>
      <w:pPr>
        <w:pStyle w:val="Heading2"/>
      </w:pPr>
      <w:r>
        <w:t>MVP Demo Exit Criteria</w:t>
      </w:r>
    </w:p>
    <w:p>
      <w:pPr>
        <w:pStyle w:val="ListBullet"/>
      </w:pPr>
      <w:r>
        <w:t>— OWL 2 DL reasoner returns 0 inconsistencies on skyrim_ontology_v5_0.ttl.</w:t>
      </w:r>
    </w:p>
    <w:p>
      <w:pPr>
        <w:pStyle w:val="ListBullet"/>
      </w:pPr>
      <w:r>
        <w:t>— All 5 SPARQL competency queries return correct, non-empty results.</w:t>
      </w:r>
    </w:p>
    <w:p>
      <w:pPr>
        <w:pStyle w:val="ListBullet"/>
      </w:pPr>
      <w:r>
        <w:t>— All 8 Dispute Pairs render in the War Table with full metadata on desktop and mobile.</w:t>
      </w:r>
    </w:p>
    <w:p>
      <w:pPr>
        <w:pStyle w:val="ListBullet"/>
      </w:pPr>
      <w:r>
        <w:t>— All Mandatory SRS requirements implemented and covered by passing test cases.</w:t>
      </w:r>
    </w:p>
    <w:p>
      <w:pPr>
        <w:pStyle w:val="ListBullet"/>
      </w:pPr>
      <w:r>
        <w:t>— No Critical or Major defects open at time of submission.</w:t>
      </w:r>
    </w:p>
    <w:p>
      <w:pPr>
        <w:pStyle w:val="ListBullet"/>
      </w:pPr>
      <w:r>
        <w:t>— At least one user from each familiarity profile has completed a usability session with positive outcome.</w:t>
      </w:r>
    </w:p>
    <w:p/>
    <w:p>
      <w:pPr>
        <w:pStyle w:val="Heading1"/>
      </w:pPr>
      <w:r>
        <w:t>5. Traceability Matrix (Excerpt)</w:t>
      </w:r>
    </w:p>
    <w:p>
      <w:r>
        <w:t>The table below maps selected Mandatory SRS requirements to their corresponding test cases. The full matrix covers all 30 requirements listed in the SRS.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2E"/>
          </w:tcPr>
          <w:p>
            <w:r>
              <w:rPr>
                <w:b/>
                <w:color w:val="FFFFFF"/>
                <w:sz w:val="18"/>
              </w:rPr>
              <w:t>Req. ID</w:t>
            </w:r>
          </w:p>
        </w:tc>
        <w:tc>
          <w:tcPr>
            <w:tcW w:type="dxa" w:w="2280"/>
            <w:shd w:val="clear" w:color="auto" w:fill="1A1A2E"/>
          </w:tcPr>
          <w:p>
            <w:r>
              <w:rPr>
                <w:b/>
                <w:color w:val="FFFFFF"/>
                <w:sz w:val="18"/>
              </w:rPr>
              <w:t>Requirement (short)</w:t>
            </w:r>
          </w:p>
        </w:tc>
        <w:tc>
          <w:tcPr>
            <w:tcW w:type="dxa" w:w="2280"/>
            <w:shd w:val="clear" w:color="auto" w:fill="1A1A2E"/>
          </w:tcPr>
          <w:p>
            <w:r>
              <w:rPr>
                <w:b/>
                <w:color w:val="FFFFFF"/>
                <w:sz w:val="18"/>
              </w:rPr>
              <w:t>Test Case ID</w:t>
            </w:r>
          </w:p>
        </w:tc>
        <w:tc>
          <w:tcPr>
            <w:tcW w:type="dxa" w:w="2280"/>
            <w:shd w:val="clear" w:color="auto" w:fill="1A1A2E"/>
          </w:tcPr>
          <w:p>
            <w:r>
              <w:rPr>
                <w:b/>
                <w:color w:val="FFFFFF"/>
                <w:sz w:val="18"/>
              </w:rPr>
              <w:t>Test Level</w:t>
            </w:r>
          </w:p>
        </w:tc>
      </w:tr>
      <w:tr>
        <w:tc>
          <w:tcPr>
            <w:tcW w:type="dxa" w:w="2280"/>
            <w:shd w:val="clear" w:color="auto" w:fill="FFFFFF"/>
          </w:tcPr>
          <w:p>
            <w:r>
              <w:rPr>
                <w:b/>
                <w:sz w:val="18"/>
              </w:rPr>
              <w:t>REQ-SYS-F-01</w:t>
            </w:r>
          </w:p>
        </w:tc>
        <w:tc>
          <w:tcPr>
            <w:tcW w:type="dxa" w:w="2280"/>
            <w:shd w:val="clear" w:color="auto" w:fill="FFFFFF"/>
          </w:tcPr>
          <w:p>
            <w:r>
              <w:rPr>
                <w:sz w:val="18"/>
              </w:rPr>
              <w:t>index.html must serve all content as a self-contained static file.</w:t>
            </w:r>
          </w:p>
        </w:tc>
        <w:tc>
          <w:tcPr>
            <w:tcW w:type="dxa" w:w="2280"/>
            <w:shd w:val="clear" w:color="auto" w:fill="FFFFFF"/>
          </w:tcPr>
          <w:p>
            <w:r>
              <w:rPr>
                <w:sz w:val="18"/>
              </w:rPr>
              <w:t>TC-01</w:t>
            </w:r>
          </w:p>
        </w:tc>
        <w:tc>
          <w:tcPr>
            <w:tcW w:type="dxa" w:w="2280"/>
            <w:shd w:val="clear" w:color="auto" w:fill="FFFFFF"/>
          </w:tcPr>
          <w:p>
            <w:r>
              <w:rPr>
                <w:sz w:val="18"/>
              </w:rPr>
              <w:t>Integration</w:t>
            </w:r>
          </w:p>
        </w:tc>
      </w:tr>
      <w:tr>
        <w:tc>
          <w:tcPr>
            <w:tcW w:type="dxa" w:w="2280"/>
            <w:shd w:val="clear" w:color="auto" w:fill="F2F2F2"/>
          </w:tcPr>
          <w:p>
            <w:r>
              <w:rPr>
                <w:b/>
                <w:sz w:val="18"/>
              </w:rPr>
              <w:t>REQ-SYS-F-03</w:t>
            </w:r>
          </w:p>
        </w:tc>
        <w:tc>
          <w:tcPr>
            <w:tcW w:type="dxa" w:w="2280"/>
            <w:shd w:val="clear" w:color="auto" w:fill="F2F2F2"/>
          </w:tcPr>
          <w:p>
            <w:r>
              <w:rPr>
                <w:sz w:val="18"/>
              </w:rPr>
              <w:t>All 8 Dispute Pairs must render with full metadata.</w:t>
            </w:r>
          </w:p>
        </w:tc>
        <w:tc>
          <w:tcPr>
            <w:tcW w:type="dxa" w:w="2280"/>
            <w:shd w:val="clear" w:color="auto" w:fill="F2F2F2"/>
          </w:tcPr>
          <w:p>
            <w:r>
              <w:rPr>
                <w:sz w:val="18"/>
              </w:rPr>
              <w:t>TC-02</w:t>
            </w:r>
          </w:p>
        </w:tc>
        <w:tc>
          <w:tcPr>
            <w:tcW w:type="dxa" w:w="2280"/>
            <w:shd w:val="clear" w:color="auto" w:fill="F2F2F2"/>
          </w:tcPr>
          <w:p>
            <w:r>
              <w:rPr>
                <w:sz w:val="18"/>
              </w:rPr>
              <w:t>Integration</w:t>
            </w:r>
          </w:p>
        </w:tc>
      </w:tr>
      <w:tr>
        <w:tc>
          <w:tcPr>
            <w:tcW w:type="dxa" w:w="2280"/>
            <w:shd w:val="clear" w:color="auto" w:fill="FFFFFF"/>
          </w:tcPr>
          <w:p>
            <w:r>
              <w:rPr>
                <w:b/>
                <w:sz w:val="18"/>
              </w:rPr>
              <w:t>REQ-SYS-F-04</w:t>
            </w:r>
          </w:p>
        </w:tc>
        <w:tc>
          <w:tcPr>
            <w:tcW w:type="dxa" w:w="2280"/>
            <w:shd w:val="clear" w:color="auto" w:fill="FFFFFF"/>
          </w:tcPr>
          <w:p>
            <w:r>
              <w:rPr>
                <w:sz w:val="18"/>
              </w:rPr>
              <w:t>OWL property chain must infer hasOpposingHolder at reasoning time.</w:t>
            </w:r>
          </w:p>
        </w:tc>
        <w:tc>
          <w:tcPr>
            <w:tcW w:type="dxa" w:w="2280"/>
            <w:shd w:val="clear" w:color="auto" w:fill="FFFFFF"/>
          </w:tcPr>
          <w:p>
            <w:r>
              <w:rPr>
                <w:sz w:val="18"/>
              </w:rPr>
              <w:t>TC-03</w:t>
            </w:r>
          </w:p>
        </w:tc>
        <w:tc>
          <w:tcPr>
            <w:tcW w:type="dxa" w:w="2280"/>
            <w:shd w:val="clear" w:color="auto" w:fill="FFFFFF"/>
          </w:tcPr>
          <w:p>
            <w:r>
              <w:rPr>
                <w:sz w:val="18"/>
              </w:rPr>
              <w:t>Ontology Unit</w:t>
            </w:r>
          </w:p>
        </w:tc>
      </w:tr>
      <w:tr>
        <w:tc>
          <w:tcPr>
            <w:tcW w:type="dxa" w:w="2280"/>
            <w:shd w:val="clear" w:color="auto" w:fill="F2F2F2"/>
          </w:tcPr>
          <w:p>
            <w:r>
              <w:rPr>
                <w:b/>
                <w:sz w:val="18"/>
              </w:rPr>
              <w:t>REQ-SYS-F-05</w:t>
            </w:r>
          </w:p>
        </w:tc>
        <w:tc>
          <w:tcPr>
            <w:tcW w:type="dxa" w:w="2280"/>
            <w:shd w:val="clear" w:color="auto" w:fill="F2F2F2"/>
          </w:tcPr>
          <w:p>
            <w:r>
              <w:rPr>
                <w:sz w:val="18"/>
              </w:rPr>
              <w:t>All 5 SPARQL competency queries must return correct results.</w:t>
            </w:r>
          </w:p>
        </w:tc>
        <w:tc>
          <w:tcPr>
            <w:tcW w:type="dxa" w:w="2280"/>
            <w:shd w:val="clear" w:color="auto" w:fill="F2F2F2"/>
          </w:tcPr>
          <w:p>
            <w:r>
              <w:rPr>
                <w:sz w:val="18"/>
              </w:rPr>
              <w:t>TC-04</w:t>
            </w:r>
          </w:p>
        </w:tc>
        <w:tc>
          <w:tcPr>
            <w:tcW w:type="dxa" w:w="2280"/>
            <w:shd w:val="clear" w:color="auto" w:fill="F2F2F2"/>
          </w:tcPr>
          <w:p>
            <w:r>
              <w:rPr>
                <w:sz w:val="18"/>
              </w:rPr>
              <w:t>SPARQL Validation</w:t>
            </w:r>
          </w:p>
        </w:tc>
      </w:tr>
      <w:tr>
        <w:tc>
          <w:tcPr>
            <w:tcW w:type="dxa" w:w="2280"/>
            <w:shd w:val="clear" w:color="auto" w:fill="FFFFFF"/>
          </w:tcPr>
          <w:p>
            <w:r>
              <w:rPr>
                <w:b/>
                <w:sz w:val="18"/>
              </w:rPr>
              <w:t>REQ-SYS-F-06</w:t>
            </w:r>
          </w:p>
        </w:tc>
        <w:tc>
          <w:tcPr>
            <w:tcW w:type="dxa" w:w="2280"/>
            <w:shd w:val="clear" w:color="auto" w:fill="FFFFFF"/>
          </w:tcPr>
          <w:p>
            <w:r>
              <w:rPr>
                <w:sz w:val="18"/>
              </w:rPr>
              <w:t>Reasoner must return 0 inconsistencies before each release.</w:t>
            </w:r>
          </w:p>
        </w:tc>
        <w:tc>
          <w:tcPr>
            <w:tcW w:type="dxa" w:w="2280"/>
            <w:shd w:val="clear" w:color="auto" w:fill="FFFFFF"/>
          </w:tcPr>
          <w:p>
            <w:r>
              <w:rPr>
                <w:sz w:val="18"/>
              </w:rPr>
              <w:t>TC-03</w:t>
            </w:r>
          </w:p>
        </w:tc>
        <w:tc>
          <w:tcPr>
            <w:tcW w:type="dxa" w:w="2280"/>
            <w:shd w:val="clear" w:color="auto" w:fill="FFFFFF"/>
          </w:tcPr>
          <w:p>
            <w:r>
              <w:rPr>
                <w:sz w:val="18"/>
              </w:rPr>
              <w:t>Ontology Unit</w:t>
            </w:r>
          </w:p>
        </w:tc>
      </w:tr>
      <w:tr>
        <w:tc>
          <w:tcPr>
            <w:tcW w:type="dxa" w:w="2280"/>
            <w:shd w:val="clear" w:color="auto" w:fill="F2F2F2"/>
          </w:tcPr>
          <w:p>
            <w:r>
              <w:rPr>
                <w:b/>
                <w:sz w:val="18"/>
              </w:rPr>
              <w:t>REQ-SYS-NF-01</w:t>
            </w:r>
          </w:p>
        </w:tc>
        <w:tc>
          <w:tcPr>
            <w:tcW w:type="dxa" w:w="2280"/>
            <w:shd w:val="clear" w:color="auto" w:fill="F2F2F2"/>
          </w:tcPr>
          <w:p>
            <w:r>
              <w:rPr>
                <w:sz w:val="18"/>
              </w:rPr>
              <w:t>App must load within 3 seconds on mobile.</w:t>
            </w:r>
          </w:p>
        </w:tc>
        <w:tc>
          <w:tcPr>
            <w:tcW w:type="dxa" w:w="2280"/>
            <w:shd w:val="clear" w:color="auto" w:fill="F2F2F2"/>
          </w:tcPr>
          <w:p>
            <w:r>
              <w:rPr>
                <w:sz w:val="18"/>
              </w:rPr>
              <w:t>TC-05</w:t>
            </w:r>
          </w:p>
        </w:tc>
        <w:tc>
          <w:tcPr>
            <w:tcW w:type="dxa" w:w="2280"/>
            <w:shd w:val="clear" w:color="auto" w:fill="F2F2F2"/>
          </w:tcPr>
          <w:p>
            <w:r>
              <w:rPr>
                <w:sz w:val="18"/>
              </w:rPr>
              <w:t>Non-Functional</w:t>
            </w:r>
          </w:p>
        </w:tc>
      </w:tr>
      <w:tr>
        <w:tc>
          <w:tcPr>
            <w:tcW w:type="dxa" w:w="2280"/>
            <w:shd w:val="clear" w:color="auto" w:fill="FFFFFF"/>
          </w:tcPr>
          <w:p>
            <w:r>
              <w:rPr>
                <w:b/>
                <w:sz w:val="18"/>
              </w:rPr>
              <w:t>REQ-SYS-NF-03</w:t>
            </w:r>
          </w:p>
        </w:tc>
        <w:tc>
          <w:tcPr>
            <w:tcW w:type="dxa" w:w="2280"/>
            <w:shd w:val="clear" w:color="auto" w:fill="FFFFFF"/>
          </w:tcPr>
          <w:p>
            <w:r>
              <w:rPr>
                <w:sz w:val="18"/>
              </w:rPr>
              <w:t>Interface must pass mobile responsiveness check on iOS and Android.</w:t>
            </w:r>
          </w:p>
        </w:tc>
        <w:tc>
          <w:tcPr>
            <w:tcW w:type="dxa" w:w="2280"/>
            <w:shd w:val="clear" w:color="auto" w:fill="FFFFFF"/>
          </w:tcPr>
          <w:p>
            <w:r>
              <w:rPr>
                <w:sz w:val="18"/>
              </w:rPr>
              <w:t>TC-06</w:t>
            </w:r>
          </w:p>
        </w:tc>
        <w:tc>
          <w:tcPr>
            <w:tcW w:type="dxa" w:w="2280"/>
            <w:shd w:val="clear" w:color="auto" w:fill="FFFFFF"/>
          </w:tcPr>
          <w:p>
            <w:r>
              <w:rPr>
                <w:sz w:val="18"/>
              </w:rPr>
              <w:t>Non-Functional</w:t>
            </w:r>
          </w:p>
        </w:tc>
      </w:tr>
      <w:tr>
        <w:tc>
          <w:tcPr>
            <w:tcW w:type="dxa" w:w="2280"/>
            <w:shd w:val="clear" w:color="auto" w:fill="F2F2F2"/>
          </w:tcPr>
          <w:p>
            <w:r>
              <w:rPr>
                <w:b/>
                <w:sz w:val="18"/>
              </w:rPr>
              <w:t>REQ-DOM-NF-02</w:t>
            </w:r>
          </w:p>
        </w:tc>
        <w:tc>
          <w:tcPr>
            <w:tcW w:type="dxa" w:w="2280"/>
            <w:shd w:val="clear" w:color="auto" w:fill="F2F2F2"/>
          </w:tcPr>
          <w:p>
            <w:r>
              <w:rPr>
                <w:sz w:val="18"/>
              </w:rPr>
              <w:t>No Claim must be declared true — epistemic neutrality enforced.</w:t>
            </w:r>
          </w:p>
        </w:tc>
        <w:tc>
          <w:tcPr>
            <w:tcW w:type="dxa" w:w="2280"/>
            <w:shd w:val="clear" w:color="auto" w:fill="F2F2F2"/>
          </w:tcPr>
          <w:p>
            <w:r>
              <w:rPr>
                <w:sz w:val="18"/>
              </w:rPr>
              <w:t>TC-07</w:t>
            </w:r>
          </w:p>
        </w:tc>
        <w:tc>
          <w:tcPr>
            <w:tcW w:type="dxa" w:w="2280"/>
            <w:shd w:val="clear" w:color="auto" w:fill="F2F2F2"/>
          </w:tcPr>
          <w:p>
            <w:r>
              <w:rPr>
                <w:sz w:val="18"/>
              </w:rPr>
              <w:t>Domain Validation</w:t>
            </w:r>
          </w:p>
        </w:tc>
      </w:tr>
      <w:tr>
        <w:tc>
          <w:tcPr>
            <w:tcW w:type="dxa" w:w="2280"/>
            <w:shd w:val="clear" w:color="auto" w:fill="FFFFFF"/>
          </w:tcPr>
          <w:p>
            <w:r>
              <w:rPr>
                <w:b/>
                <w:sz w:val="18"/>
              </w:rPr>
              <w:t>REQ-DOM-NF-05</w:t>
            </w:r>
          </w:p>
        </w:tc>
        <w:tc>
          <w:tcPr>
            <w:tcW w:type="dxa" w:w="2280"/>
            <w:shd w:val="clear" w:color="auto" w:fill="FFFFFF"/>
          </w:tcPr>
          <w:p>
            <w:r>
              <w:rPr>
                <w:sz w:val="18"/>
              </w:rPr>
              <w:t>Intelligible to all 3 user familiarity profiles.</w:t>
            </w:r>
          </w:p>
        </w:tc>
        <w:tc>
          <w:tcPr>
            <w:tcW w:type="dxa" w:w="2280"/>
            <w:shd w:val="clear" w:color="auto" w:fill="FFFFFF"/>
          </w:tcPr>
          <w:p>
            <w:r>
              <w:rPr>
                <w:sz w:val="18"/>
              </w:rPr>
              <w:t>TC-08</w:t>
            </w:r>
          </w:p>
        </w:tc>
        <w:tc>
          <w:tcPr>
            <w:tcW w:type="dxa" w:w="2280"/>
            <w:shd w:val="clear" w:color="auto" w:fill="FFFFFF"/>
          </w:tcPr>
          <w:p>
            <w:r>
              <w:rPr>
                <w:sz w:val="18"/>
              </w:rPr>
              <w:t>Domain Validation</w:t>
            </w:r>
          </w:p>
        </w:tc>
      </w:tr>
      <w:tr>
        <w:tc>
          <w:tcPr>
            <w:tcW w:type="dxa" w:w="2280"/>
            <w:shd w:val="clear" w:color="auto" w:fill="F2F2F2"/>
          </w:tcPr>
          <w:p>
            <w:r>
              <w:rPr>
                <w:b/>
                <w:sz w:val="18"/>
              </w:rPr>
              <w:t>REQ-USR-F-01</w:t>
            </w:r>
          </w:p>
        </w:tc>
        <w:tc>
          <w:tcPr>
            <w:tcW w:type="dxa" w:w="2280"/>
            <w:shd w:val="clear" w:color="auto" w:fill="F2F2F2"/>
          </w:tcPr>
          <w:p>
            <w:r>
              <w:rPr>
                <w:sz w:val="18"/>
              </w:rPr>
              <w:t>User can browse all Claims filtered by ClaimType / Faction / Character.</w:t>
            </w:r>
          </w:p>
        </w:tc>
        <w:tc>
          <w:tcPr>
            <w:tcW w:type="dxa" w:w="2280"/>
            <w:shd w:val="clear" w:color="auto" w:fill="F2F2F2"/>
          </w:tcPr>
          <w:p>
            <w:r>
              <w:rPr>
                <w:sz w:val="18"/>
              </w:rPr>
              <w:t>TC-09</w:t>
            </w:r>
          </w:p>
        </w:tc>
        <w:tc>
          <w:tcPr>
            <w:tcW w:type="dxa" w:w="2280"/>
            <w:shd w:val="clear" w:color="auto" w:fill="F2F2F2"/>
          </w:tcPr>
          <w:p>
            <w:r>
              <w:rPr>
                <w:sz w:val="18"/>
              </w:rPr>
              <w:t>System E2E</w:t>
            </w:r>
          </w:p>
        </w:tc>
      </w:tr>
      <w:tr>
        <w:tc>
          <w:tcPr>
            <w:tcW w:type="dxa" w:w="2280"/>
            <w:shd w:val="clear" w:color="auto" w:fill="FFFFFF"/>
          </w:tcPr>
          <w:p>
            <w:r>
              <w:rPr>
                <w:b/>
                <w:sz w:val="18"/>
              </w:rPr>
              <w:t>REQ-USR-F-05</w:t>
            </w:r>
          </w:p>
        </w:tc>
        <w:tc>
          <w:tcPr>
            <w:tcW w:type="dxa" w:w="2280"/>
            <w:shd w:val="clear" w:color="auto" w:fill="FFFFFF"/>
          </w:tcPr>
          <w:p>
            <w:r>
              <w:rPr>
                <w:sz w:val="18"/>
              </w:rPr>
              <w:t>User can see moral-compass positioning of any Faction or Character.</w:t>
            </w:r>
          </w:p>
        </w:tc>
        <w:tc>
          <w:tcPr>
            <w:tcW w:type="dxa" w:w="2280"/>
            <w:shd w:val="clear" w:color="auto" w:fill="FFFFFF"/>
          </w:tcPr>
          <w:p>
            <w:r>
              <w:rPr>
                <w:sz w:val="18"/>
              </w:rPr>
              <w:t>TC-09</w:t>
            </w:r>
          </w:p>
        </w:tc>
        <w:tc>
          <w:tcPr>
            <w:tcW w:type="dxa" w:w="2280"/>
            <w:shd w:val="clear" w:color="auto" w:fill="FFFFFF"/>
          </w:tcPr>
          <w:p>
            <w:r>
              <w:rPr>
                <w:sz w:val="18"/>
              </w:rPr>
              <w:t>System E2E</w:t>
            </w:r>
          </w:p>
        </w:tc>
      </w:tr>
    </w:tbl>
    <w:p/>
    <w:p>
      <w:pPr>
        <w:pStyle w:val="Heading1"/>
      </w:pPr>
      <w:r>
        <w:t>6. Sample Test Case</w:t>
      </w:r>
    </w:p>
    <w:p>
      <w:r>
        <w:t xml:space="preserve">The test case below corresponds to </w:t>
      </w:r>
      <w:r>
        <w:rPr>
          <w:b/>
        </w:rPr>
        <w:t>TC-04</w:t>
      </w:r>
      <w:r>
        <w:t xml:space="preserve"> in the traceability matrix and validates the core SPARQL competency question CQ4 — Neutrality Detection — against the populated ontology. This test was selected because it validates a non-obvious structural property of the knowledge base: that machine-readable neutrality (the absence of framesAs assertions) correctly identifies a politically neutral character through a SPARQL FILTER NOT EXISTS query.</w:t>
      </w:r>
    </w:p>
    <w:p/>
    <w:tbl>
      <w:tblPr>
        <w:tblStyle w:val="TableGrid"/>
        <w:tblW w:type="auto" w:w="0"/>
        <w:tblLook w:firstColumn="1" w:firstRow="1" w:lastColumn="0" w:lastRow="0" w:noHBand="0" w:noVBand="1" w:val="04A0"/>
      </w:tblPr>
      <w:tblGrid>
        <w:gridCol w:w="4561"/>
        <w:gridCol w:w="4561"/>
      </w:tblGrid>
      <w:tr>
        <w:tc>
          <w:tcPr>
            <w:tcW w:type="dxa" w:w="4561"/>
            <w:shd w:val="clear" w:color="auto" w:fill="E8EAF6"/>
          </w:tcPr>
          <w:p>
            <w:r>
              <w:rPr>
                <w:b/>
              </w:rPr>
              <w:t>Test Case ID:</w:t>
            </w:r>
          </w:p>
        </w:tc>
        <w:tc>
          <w:tcPr>
            <w:tcW w:type="dxa" w:w="4561"/>
            <w:shd w:val="clear" w:color="auto" w:fill="FFFFFF"/>
          </w:tcPr>
          <w:p>
            <w:r>
              <w:t>TC-04</w:t>
            </w:r>
          </w:p>
        </w:tc>
      </w:tr>
      <w:tr>
        <w:tc>
          <w:tcPr>
            <w:tcW w:type="dxa" w:w="4561"/>
            <w:shd w:val="clear" w:color="auto" w:fill="E8EAF6"/>
          </w:tcPr>
          <w:p>
            <w:r>
              <w:rPr>
                <w:b/>
              </w:rPr>
              <w:t>Title:</w:t>
            </w:r>
          </w:p>
        </w:tc>
        <w:tc>
          <w:tcPr>
            <w:tcW w:type="dxa" w:w="4561"/>
            <w:shd w:val="clear" w:color="auto" w:fill="FAFAFA"/>
          </w:tcPr>
          <w:p>
            <w:r>
              <w:t>SPARQL CQ4 — Neutrality Detection: identifying characters with no framesAs assertions</w:t>
            </w:r>
          </w:p>
        </w:tc>
      </w:tr>
      <w:tr>
        <w:tc>
          <w:tcPr>
            <w:tcW w:type="dxa" w:w="4561"/>
            <w:shd w:val="clear" w:color="auto" w:fill="E8EAF6"/>
          </w:tcPr>
          <w:p>
            <w:r>
              <w:rPr>
                <w:b/>
              </w:rPr>
              <w:t>Linked Requirement:</w:t>
            </w:r>
          </w:p>
        </w:tc>
        <w:tc>
          <w:tcPr>
            <w:tcW w:type="dxa" w:w="4561"/>
            <w:shd w:val="clear" w:color="auto" w:fill="FFFFFF"/>
          </w:tcPr>
          <w:p>
            <w:r>
              <w:t>REQ-SYS-F-05 — All 5 SPARQL competency queries must return correct, non-empty results.</w:t>
            </w:r>
          </w:p>
        </w:tc>
      </w:tr>
      <w:tr>
        <w:tc>
          <w:tcPr>
            <w:tcW w:type="dxa" w:w="4561"/>
            <w:shd w:val="clear" w:color="auto" w:fill="E8EAF6"/>
          </w:tcPr>
          <w:p>
            <w:r>
              <w:rPr>
                <w:b/>
              </w:rPr>
              <w:t>Test Level:</w:t>
            </w:r>
          </w:p>
        </w:tc>
        <w:tc>
          <w:tcPr>
            <w:tcW w:type="dxa" w:w="4561"/>
            <w:shd w:val="clear" w:color="auto" w:fill="FAFAFA"/>
          </w:tcPr>
          <w:p>
            <w:r>
              <w:t>SPARQL Validation (automated)</w:t>
            </w:r>
          </w:p>
        </w:tc>
      </w:tr>
      <w:tr>
        <w:tc>
          <w:tcPr>
            <w:tcW w:type="dxa" w:w="4561"/>
            <w:shd w:val="clear" w:color="auto" w:fill="E8EAF6"/>
          </w:tcPr>
          <w:p>
            <w:r>
              <w:rPr>
                <w:b/>
              </w:rPr>
              <w:t>Tester:</w:t>
            </w:r>
          </w:p>
        </w:tc>
        <w:tc>
          <w:tcPr>
            <w:tcW w:type="dxa" w:w="4561"/>
            <w:shd w:val="clear" w:color="auto" w:fill="FFFFFF"/>
          </w:tcPr>
          <w:p>
            <w:r>
              <w:t>Atakan Kayı</w:t>
            </w:r>
          </w:p>
        </w:tc>
      </w:tr>
      <w:tr>
        <w:tc>
          <w:tcPr>
            <w:tcW w:type="dxa" w:w="4561"/>
            <w:shd w:val="clear" w:color="auto" w:fill="E8EAF6"/>
          </w:tcPr>
          <w:p>
            <w:r>
              <w:rPr>
                <w:b/>
              </w:rPr>
              <w:t>Date:</w:t>
            </w:r>
          </w:p>
        </w:tc>
        <w:tc>
          <w:tcPr>
            <w:tcW w:type="dxa" w:w="4561"/>
            <w:shd w:val="clear" w:color="auto" w:fill="FAFAFA"/>
          </w:tcPr>
          <w:p>
            <w:r>
              <w:t>2026-04-28</w:t>
            </w:r>
          </w:p>
        </w:tc>
      </w:tr>
    </w:tbl>
    <w:p/>
    <w:p>
      <w:pPr>
        <w:pStyle w:val="Heading2"/>
      </w:pPr>
      <w:r>
        <w:t>Pre-conditions</w:t>
      </w:r>
    </w:p>
    <w:p>
      <w:pPr>
        <w:pStyle w:val="ListBullet"/>
      </w:pPr>
      <w:r>
        <w:t>— skyrim_ontology_v5_0.ttl is loaded into a SPARQL endpoint (GraphDB, Apache Jena, or equivalent).</w:t>
      </w:r>
    </w:p>
    <w:p>
      <w:pPr>
        <w:pStyle w:val="ListBullet"/>
      </w:pPr>
      <w:r>
        <w:t>— The ontology has been validated by the OWL 2 DL reasoner (TC-03 has passed — 0 inconsistencies).</w:t>
      </w:r>
    </w:p>
    <w:p>
      <w:pPr>
        <w:pStyle w:val="ListBullet"/>
      </w:pPr>
      <w:r>
        <w:t>— At least the following individuals exist: :BalgruufTheGreater, :UlfricStormcloak, :GeneralTullius, :Elisif.</w:t>
      </w:r>
    </w:p>
    <w:p>
      <w:pPr>
        <w:pStyle w:val="ListBullet"/>
      </w:pPr>
      <w:r>
        <w:t>— The framesAs property is asserted for at least :UlfricStormcloak and :GeneralTullius (i.e. they hold Claims).</w:t>
      </w:r>
    </w:p>
    <w:p>
      <w:pPr>
        <w:pStyle w:val="ListBullet"/>
      </w:pPr>
      <w:r>
        <w:t>— The framesAs property is NOT asserted for :BalgruufTheGreater in any Claim individual.</w:t>
      </w:r>
    </w:p>
    <w:p/>
    <w:p>
      <w:pPr>
        <w:pStyle w:val="Heading2"/>
      </w:pPr>
      <w:r>
        <w:t>Scenario</w:t>
      </w:r>
    </w:p>
    <w:p>
      <w:r>
        <w:t>The tester executes the pre-built CQ4 query against the loaded ontology. The query uses FILTER NOT EXISTS to identify characters who hold no Claim in any dispute — i.e. characters whose political neutrality is machine-readable as a structured absence.</w:t>
      </w:r>
    </w:p>
    <w:p>
      <w:pPr>
        <w:shd w:val="clear" w:color="auto" w:fill="F1F5F9"/>
      </w:pPr>
      <w:r>
        <w:rPr>
          <w:rFonts w:ascii="Courier New" w:hAnsi="Courier New"/>
          <w:sz w:val="18"/>
        </w:rPr>
        <w:t>PREFIX : &lt;https://krke.ubologna.it/tamriel#&gt;</w:t>
        <w:br/>
        <w:t>PREFIX rdf: &lt;http://www.w3.org/1999/02/22-rdf-syntax-ns#&gt;</w:t>
        <w:br/>
        <w:br/>
        <w:t>SELECT ?character WHERE {</w:t>
        <w:br/>
        <w:t xml:space="preserve">  ?character rdf:type :Character .</w:t>
        <w:br/>
        <w:t xml:space="preserve">  FILTER NOT EXISTS {</w:t>
        <w:br/>
        <w:t xml:space="preserve">    ?claim :framesAs ?character .</w:t>
        <w:br/>
        <w:t xml:space="preserve">  }</w:t>
        <w:br/>
        <w:t>}</w:t>
      </w:r>
    </w:p>
    <w:p/>
    <w:p>
      <w:pPr>
        <w:pStyle w:val="Heading2"/>
      </w:pPr>
      <w:r>
        <w:t>Steps</w:t>
      </w:r>
    </w:p>
    <w:p>
      <w:pPr>
        <w:pStyle w:val="ListNumber"/>
      </w:pPr>
      <w:r>
        <w:t>Open the SPARQL endpoint interface (GraphDB SPARQL editor, or run via Apache Jena CLI).</w:t>
      </w:r>
    </w:p>
    <w:p>
      <w:pPr>
        <w:pStyle w:val="ListNumber"/>
      </w:pPr>
      <w:r>
        <w:t>Paste the CQ4 query as shown above into the query editor.</w:t>
      </w:r>
    </w:p>
    <w:p>
      <w:pPr>
        <w:pStyle w:val="ListNumber"/>
      </w:pPr>
      <w:r>
        <w:t>Verify the dataset is set to the repository containing skyrim_ontology_v5_0.ttl.</w:t>
      </w:r>
    </w:p>
    <w:p>
      <w:pPr>
        <w:pStyle w:val="ListNumber"/>
      </w:pPr>
      <w:r>
        <w:t>Execute the query.</w:t>
      </w:r>
    </w:p>
    <w:p>
      <w:pPr>
        <w:pStyle w:val="ListNumber"/>
      </w:pPr>
      <w:r>
        <w:t>Record the result set: note all ?character values returned.</w:t>
      </w:r>
    </w:p>
    <w:p>
      <w:pPr>
        <w:pStyle w:val="ListNumber"/>
      </w:pPr>
      <w:r>
        <w:t>Cross-check each returned character against the Claim individuals in the ontology: confirm that none has a framesAs assertion.</w:t>
      </w:r>
    </w:p>
    <w:p>
      <w:pPr>
        <w:pStyle w:val="ListNumber"/>
      </w:pPr>
      <w:r>
        <w:t>Cross-check that :UlfricStormcloak and :GeneralTullius (both known Claim holders) are NOT in the result set.</w:t>
      </w:r>
    </w:p>
    <w:p/>
    <w:p>
      <w:pPr>
        <w:pStyle w:val="Heading2"/>
      </w:pPr>
      <w:r>
        <w:t>Expected Output</w:t>
      </w:r>
    </w:p>
    <w:p>
      <w:pPr>
        <w:pStyle w:val="ListBullet"/>
      </w:pPr>
      <w:r>
        <w:t>— The query returns at least one result.</w:t>
      </w:r>
    </w:p>
    <w:p>
      <w:pPr>
        <w:pStyle w:val="ListBullet"/>
      </w:pPr>
      <w:r>
        <w:t>— The result set contains :BalgruufTheGreater.</w:t>
      </w:r>
    </w:p>
    <w:p>
      <w:pPr>
        <w:pStyle w:val="ListBullet"/>
      </w:pPr>
      <w:r>
        <w:t>— The result set does NOT contain :UlfricStormcloak or :GeneralTullius (they hold Claims).</w:t>
      </w:r>
    </w:p>
    <w:p>
      <w:pPr>
        <w:pStyle w:val="ListBullet"/>
      </w:pPr>
      <w:r>
        <w:t>— Every character in the result set has zero framesAs triples in the ontology (verifiable by manual inspection or a secondary COUNT query).</w:t>
      </w:r>
    </w:p>
    <w:p/>
    <w:p>
      <w:pPr>
        <w:pStyle w:val="Heading2"/>
      </w:pPr>
      <w:r>
        <w:t>Invalid Inputs, Faults, and Failure Cases</w:t>
      </w:r>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18"/>
              </w:rPr>
              <w:t>Failure Case</w:t>
            </w:r>
          </w:p>
        </w:tc>
        <w:tc>
          <w:tcPr>
            <w:tcW w:type="dxa" w:w="4561"/>
            <w:shd w:val="clear" w:color="auto" w:fill="1A1A2E"/>
          </w:tcPr>
          <w:p>
            <w:r>
              <w:rPr>
                <w:b/>
                <w:color w:val="FFFFFF"/>
                <w:sz w:val="18"/>
              </w:rPr>
              <w:t>Diagnosis and Corrective Action</w:t>
            </w:r>
          </w:p>
        </w:tc>
      </w:tr>
      <w:tr>
        <w:tc>
          <w:tcPr>
            <w:tcW w:type="dxa" w:w="4561"/>
            <w:shd w:val="clear" w:color="auto" w:fill="FFFFFF"/>
          </w:tcPr>
          <w:p>
            <w:r>
              <w:rPr>
                <w:b/>
                <w:sz w:val="18"/>
              </w:rPr>
              <w:t>Query returns empty set</w:t>
            </w:r>
          </w:p>
        </w:tc>
        <w:tc>
          <w:tcPr>
            <w:tcW w:type="dxa" w:w="4561"/>
            <w:shd w:val="clear" w:color="auto" w:fill="FFFFFF"/>
          </w:tcPr>
          <w:p>
            <w:r>
              <w:rPr>
                <w:sz w:val="18"/>
              </w:rPr>
              <w:t>framesAs property may be misspelled or the ontology was loaded without inference. Check namespace prefix and reload the ontology.</w:t>
            </w:r>
          </w:p>
        </w:tc>
      </w:tr>
      <w:tr>
        <w:tc>
          <w:tcPr>
            <w:tcW w:type="dxa" w:w="4561"/>
            <w:shd w:val="clear" w:color="auto" w:fill="F2F2F2"/>
          </w:tcPr>
          <w:p>
            <w:r>
              <w:rPr>
                <w:b/>
                <w:sz w:val="18"/>
              </w:rPr>
              <w:t>BalgruufTheGreater not in result</w:t>
            </w:r>
          </w:p>
        </w:tc>
        <w:tc>
          <w:tcPr>
            <w:tcW w:type="dxa" w:w="4561"/>
            <w:shd w:val="clear" w:color="auto" w:fill="F2F2F2"/>
          </w:tcPr>
          <w:p>
            <w:r>
              <w:rPr>
                <w:sz w:val="18"/>
              </w:rPr>
              <w:t>A framesAs assertion was accidentally added to :BalgruufTheGreater. Inspect the .ttl file for unintended triples and remove them.</w:t>
            </w:r>
          </w:p>
        </w:tc>
      </w:tr>
      <w:tr>
        <w:tc>
          <w:tcPr>
            <w:tcW w:type="dxa" w:w="4561"/>
            <w:shd w:val="clear" w:color="auto" w:fill="FFFFFF"/>
          </w:tcPr>
          <w:p>
            <w:r>
              <w:rPr>
                <w:b/>
                <w:sz w:val="18"/>
              </w:rPr>
              <w:t>UlfricStormcloak appears in result</w:t>
            </w:r>
          </w:p>
        </w:tc>
        <w:tc>
          <w:tcPr>
            <w:tcW w:type="dxa" w:w="4561"/>
            <w:shd w:val="clear" w:color="auto" w:fill="FFFFFF"/>
          </w:tcPr>
          <w:p>
            <w:r>
              <w:rPr>
                <w:sz w:val="18"/>
              </w:rPr>
              <w:t>framesAs assertions for Stormcloak Claims are missing. Check CLM-A001 and CLM-A002 in the ontology for correct :framesAs triples.</w:t>
            </w:r>
          </w:p>
        </w:tc>
      </w:tr>
      <w:tr>
        <w:tc>
          <w:tcPr>
            <w:tcW w:type="dxa" w:w="4561"/>
            <w:shd w:val="clear" w:color="auto" w:fill="F2F2F2"/>
          </w:tcPr>
          <w:p>
            <w:r>
              <w:rPr>
                <w:b/>
                <w:sz w:val="18"/>
              </w:rPr>
              <w:t>Reasoner reports inconsistency during pre-condition check</w:t>
            </w:r>
          </w:p>
        </w:tc>
        <w:tc>
          <w:tcPr>
            <w:tcW w:type="dxa" w:w="4561"/>
            <w:shd w:val="clear" w:color="auto" w:fill="F2F2F2"/>
          </w:tcPr>
          <w:p>
            <w:r>
              <w:rPr>
                <w:sz w:val="18"/>
              </w:rPr>
              <w:t>TC-03 must be re-run and all inconsistencies resolved before TC-04 can be executed.</w:t>
            </w:r>
          </w:p>
        </w:tc>
      </w:tr>
      <w:tr>
        <w:tc>
          <w:tcPr>
            <w:tcW w:type="dxa" w:w="4561"/>
            <w:shd w:val="clear" w:color="auto" w:fill="FFFFFF"/>
          </w:tcPr>
          <w:p>
            <w:r>
              <w:rPr>
                <w:b/>
                <w:sz w:val="18"/>
              </w:rPr>
              <w:t>Query syntax error / endpoint unreachable</w:t>
            </w:r>
          </w:p>
        </w:tc>
        <w:tc>
          <w:tcPr>
            <w:tcW w:type="dxa" w:w="4561"/>
            <w:shd w:val="clear" w:color="auto" w:fill="FFFFFF"/>
          </w:tcPr>
          <w:p>
            <w:r>
              <w:rPr>
                <w:sz w:val="18"/>
              </w:rPr>
              <w:t>Verify endpoint URL and that the repository name matches. Re-paste the query from the pre-built CQ4 in sparql-4.py.</w:t>
            </w:r>
          </w:p>
        </w:tc>
      </w:tr>
    </w:tbl>
    <w:p/>
    <w:p>
      <w:pPr>
        <w:pStyle w:val="Heading2"/>
      </w:pPr>
      <w:r>
        <w:t>Test Result</w:t>
      </w:r>
    </w:p>
    <w:tbl>
      <w:tblPr>
        <w:tblStyle w:val="TableGrid"/>
        <w:tblW w:type="auto" w:w="0"/>
        <w:tblLook w:firstColumn="1" w:firstRow="1" w:lastColumn="0" w:lastRow="0" w:noHBand="0" w:noVBand="1" w:val="04A0"/>
      </w:tblPr>
      <w:tblGrid>
        <w:gridCol w:w="4561"/>
        <w:gridCol w:w="4561"/>
      </w:tblGrid>
      <w:tr>
        <w:tc>
          <w:tcPr>
            <w:tcW w:type="dxa" w:w="4561"/>
            <w:shd w:val="clear" w:color="auto" w:fill="D1FAE5"/>
          </w:tcPr>
          <w:p>
            <w:r>
              <w:rPr>
                <w:b/>
                <w:color w:val="065F46"/>
              </w:rPr>
              <w:t xml:space="preserve">PASSED  </w:t>
            </w:r>
            <w:r>
              <w:rPr>
                <w:sz w:val="18"/>
              </w:rPr>
              <w:t>All expected individuals appear in the result set. BalgruufTheGreater is returned. No Claim holders appear. TC-04 is marked PASSED and REQ-SYS-F-05 is considered verified for CQ4.</w:t>
            </w:r>
          </w:p>
        </w:tc>
        <w:tc>
          <w:tcPr>
            <w:tcW w:type="dxa" w:w="4561"/>
            <w:shd w:val="clear" w:color="auto" w:fill="FEE2E2"/>
          </w:tcPr>
          <w:p>
            <w:r>
              <w:rPr>
                <w:b/>
                <w:color w:val="991B1B"/>
              </w:rPr>
              <w:t xml:space="preserve">FAILED  </w:t>
            </w:r>
            <w:r>
              <w:rPr>
                <w:sz w:val="18"/>
              </w:rPr>
              <w:t>Result set is empty, contains wrong individuals, or includes known Claim holders. TC-04 is marked FAILED. A Major defect is logged in GitHub Issues with the actual vs. expected output. Development is blocked until the defect is resolved.</w:t>
            </w:r>
          </w:p>
        </w:tc>
      </w:tr>
    </w:tbl>
    <w:p/>
    <w:p>
      <w:pPr>
        <w:shd w:val="clear" w:color="auto" w:fill="D1FAE5"/>
      </w:pPr>
      <w:r>
        <w:rPr>
          <w:b/>
          <w:color w:val="065F46"/>
          <w:sz w:val="18"/>
        </w:rPr>
        <w:t xml:space="preserve">  TIP  This test case can be re-run automatically as part of a CI pipeline by wrapping the SPARQL query in a Python assert statement (using SPARQLWrapper) and including it in the test suite run (see sparql-4.py in the project repository).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