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  <w:lang w:val="en-US"/>
        </w:rPr>
      </w:r>
      <w:r>
        <w:rPr>
          <w:rFonts w:cs="Times New Roman"/>
          <w:b/>
          <w:sz w:val="32"/>
          <w:szCs w:val="32"/>
          <w:lang w:val="en-US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17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Егоров Л.А.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15</w:t>
            </w:r>
            <w:r>
              <w:rPr>
                <w:rFonts w:cs="Times New Roman"/>
                <w:sz w:val="24"/>
              </w:rPr>
              <w:t xml:space="preserve">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  <w:lang w:val="en-US"/>
              </w:rPr>
              <w:t xml:space="preserve">10</w:t>
            </w:r>
            <w:r>
              <w:rPr>
                <w:rFonts w:cs="Times New Roman"/>
                <w:sz w:val="24"/>
              </w:rPr>
              <w:t xml:space="preserve">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</w:rPr>
        <w:br w:type="page" w:clear="all"/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Style w:val="893"/>
        <w:pBdr/>
        <w:spacing/>
        <w:ind/>
        <w:rPr/>
      </w:pPr>
      <w:r/>
      <w:bookmarkStart w:id="14" w:name="_Toc179738097"/>
      <w:r>
        <w:t xml:space="preserve">1 </w:t>
      </w:r>
      <w:r>
        <w:t xml:space="preserve">ЦЕЛЬ И ЗАДАЧИ РАБОТЫ</w:t>
      </w:r>
      <w:bookmarkEnd w:id="14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отработка навыков по созданию моделей процессов в методологии BPMN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</w:r>
    </w:p>
    <w:p>
      <w:pPr>
        <w:pStyle w:val="899"/>
        <w:pBdr/>
        <w:spacing/>
        <w:ind/>
        <w:rPr/>
      </w:pPr>
      <w:r>
        <w:t xml:space="preserve">в интерактивном режиме изучить возможности построения бизнес-процесса в нотации BPMN</w:t>
      </w:r>
      <w:r>
        <w:t xml:space="preserve">;</w:t>
      </w:r>
      <w:r/>
    </w:p>
    <w:p>
      <w:pPr>
        <w:pStyle w:val="899"/>
        <w:pBdr/>
        <w:spacing/>
        <w:ind/>
        <w:rPr/>
      </w:pPr>
      <w:r>
        <w:t xml:space="preserve">на основе выданного преподавателем задания построить бизнес-процесс в нотации BPMN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893"/>
        <w:pBdr/>
        <w:spacing/>
        <w:ind/>
        <w:rPr/>
      </w:pPr>
      <w:r/>
      <w:bookmarkStart w:id="15" w:name="_Toc179738098"/>
      <w:r>
        <w:t xml:space="preserve">2</w:t>
      </w:r>
      <w:r>
        <w:t xml:space="preserve"> </w:t>
      </w:r>
      <w:r>
        <w:t xml:space="preserve">ход выполнения работы</w:t>
      </w:r>
      <w:bookmarkEnd w:id="15"/>
      <w:r/>
      <w:r/>
    </w:p>
    <w:p>
      <w:pPr>
        <w:pStyle w:val="896"/>
        <w:pBdr/>
        <w:spacing/>
        <w:ind/>
        <w:rPr/>
      </w:pPr>
      <w:r/>
      <w:bookmarkStart w:id="16" w:name="_Toc179738099"/>
      <w:r>
        <w:t xml:space="preserve">2.1 Задание №1</w:t>
      </w:r>
      <w:bookmarkEnd w:id="16"/>
      <w:r/>
      <w:r/>
    </w:p>
    <w:p>
      <w:pPr>
        <w:pBdr/>
        <w:spacing/>
        <w:ind/>
        <w:rPr/>
      </w:pPr>
      <w:r>
        <w:t xml:space="preserve">Построена исправленная модель процесса «</w:t>
      </w:r>
      <w:r>
        <w:t xml:space="preserve">Обеспечить оплату счёта поставщика</w:t>
      </w:r>
      <w:r>
        <w:t xml:space="preserve">» (Рисунок 2.1.1).</w:t>
      </w:r>
      <w:r/>
    </w:p>
    <w:p>
      <w:pPr>
        <w:pStyle w:val="91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76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71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867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25.8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908"/>
        <w:pBdr/>
        <w:spacing/>
        <w:ind/>
        <w:rPr/>
      </w:pPr>
      <w:r>
        <w:t xml:space="preserve">Рисунок 2.1.1 – Модель процесса «</w:t>
      </w:r>
      <w:r>
        <w:t xml:space="preserve">Обеспечить оплату счёта поставщика</w:t>
      </w:r>
      <w:r>
        <w:t xml:space="preserve">»</w:t>
      </w:r>
      <w:r/>
    </w:p>
    <w:p>
      <w:pPr>
        <w:pBdr/>
        <w:spacing/>
        <w:ind/>
        <w:rPr/>
      </w:pPr>
      <w:r>
        <w:t xml:space="preserve">Исправлены следующие ошибки</w:t>
      </w:r>
      <w:r>
        <w:t xml:space="preserve"> и недочёты</w:t>
      </w:r>
      <w:r>
        <w:t xml:space="preserve">:</w:t>
      </w:r>
      <w:r/>
    </w:p>
    <w:p>
      <w:pPr>
        <w:pStyle w:val="899"/>
        <w:pBdr/>
        <w:spacing/>
        <w:ind/>
        <w:rPr/>
      </w:pPr>
      <w:r>
        <w:t xml:space="preserve">поток управления входит в элемент задачи «</w:t>
      </w:r>
      <w:r>
        <w:t xml:space="preserve">Акцептировать счёт</w:t>
      </w:r>
      <w:r>
        <w:t xml:space="preserve">» более одного раза. Добавлен дополнительный шлюз перед задачей «</w:t>
      </w:r>
      <w:r>
        <w:t xml:space="preserve">Акцептировать счёт</w:t>
      </w:r>
      <w:r>
        <w:t xml:space="preserve">»;</w:t>
      </w:r>
      <w:r/>
    </w:p>
    <w:p>
      <w:pPr>
        <w:pStyle w:val="899"/>
        <w:pBdr/>
        <w:spacing/>
        <w:ind/>
        <w:rPr/>
      </w:pPr>
      <w:r>
        <w:rPr>
          <w:highlight w:val="none"/>
        </w:rPr>
        <w:t xml:space="preserve">начальное событие и задачи «Зарегистрировать счёт», «Акцептировать счёт» переведены бухгалтеру;</w:t>
      </w:r>
      <w:r>
        <w:rPr>
          <w:highlight w:val="none"/>
        </w:rPr>
      </w:r>
      <w:r/>
    </w:p>
    <w:p>
      <w:pPr>
        <w:pStyle w:val="899"/>
        <w:pBdr/>
        <w:spacing/>
        <w:ind/>
        <w:rPr/>
      </w:pPr>
      <w:r>
        <w:rPr>
          <w:highlight w:val="none"/>
        </w:rPr>
        <w:t xml:space="preserve">задача «Подписать счёт» передана руководителю проекта, а задача «Вернуть с отказом» – члену правления;</w:t>
      </w:r>
      <w:r/>
    </w:p>
    <w:p>
      <w:pPr>
        <w:pStyle w:val="899"/>
        <w:pBdr/>
        <w:spacing/>
        <w:ind/>
        <w:rPr/>
      </w:pPr>
      <w:r>
        <w:rPr>
          <w:highlight w:val="none"/>
        </w:rPr>
        <w:t xml:space="preserve">добавлено промежуточное событие «Дать распоряжение».</w:t>
      </w:r>
      <w:r>
        <w:rPr>
          <w:highlight w:val="none"/>
        </w:rPr>
      </w:r>
    </w:p>
    <w:p>
      <w:pPr>
        <w:pStyle w:val="896"/>
        <w:pBdr/>
        <w:spacing/>
        <w:ind/>
        <w:rPr/>
      </w:pPr>
      <w:r/>
      <w:bookmarkStart w:id="17" w:name="_Toc179738100"/>
      <w:r>
        <w:t xml:space="preserve">2.2 Задание №2</w:t>
      </w:r>
      <w:bookmarkEnd w:id="17"/>
      <w:r/>
      <w:r/>
    </w:p>
    <w:p>
      <w:pPr>
        <w:pBdr/>
        <w:spacing/>
        <w:ind/>
        <w:rPr/>
      </w:pPr>
      <w:r>
        <w:t xml:space="preserve">Построена исправленная модель процесса </w:t>
      </w:r>
      <w:r>
        <w:t xml:space="preserve">«</w:t>
      </w:r>
      <w:r>
        <w:t xml:space="preserve">Обработать заказ клиента</w:t>
      </w:r>
      <w:r>
        <w:t xml:space="preserve">»</w:t>
      </w:r>
      <w:r>
        <w:t xml:space="preserve"> (Рисунок 2.2.1).</w:t>
      </w:r>
      <w:r/>
    </w:p>
    <w:p>
      <w:pPr>
        <w:pStyle w:val="91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763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175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597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25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08"/>
        <w:pBdr/>
        <w:spacing/>
        <w:ind/>
        <w:rPr/>
      </w:pPr>
      <w:r>
        <w:t xml:space="preserve">Рисунок 2.2.1 - Модель процесса «</w:t>
      </w:r>
      <w:r>
        <w:rPr>
          <w:bCs/>
        </w:rPr>
        <w:t xml:space="preserve">Обработать заказ клиента</w:t>
      </w:r>
      <w:r>
        <w:t xml:space="preserve">»</w:t>
      </w:r>
      <w:r/>
    </w:p>
    <w:p>
      <w:pPr>
        <w:pBdr/>
        <w:spacing/>
        <w:ind/>
        <w:rPr/>
      </w:pPr>
      <w:r>
        <w:t xml:space="preserve">Исправлены следующие ошибки</w:t>
      </w:r>
      <w:r>
        <w:t xml:space="preserve"> и недочёты</w:t>
      </w:r>
      <w:r>
        <w:t xml:space="preserve">:</w:t>
      </w:r>
      <w:r/>
    </w:p>
    <w:p>
      <w:pPr>
        <w:pStyle w:val="899"/>
        <w:pBdr/>
        <w:spacing/>
        <w:ind/>
        <w:rPr/>
      </w:pPr>
      <w:r>
        <w:t xml:space="preserve">Задача «Зарегистрировать и обработать заявку» разбита на задачи «Зарегистрировать заявку» и «Обработать заявку», так как в предложенной модели элементы задачи не типизированы</w:t>
      </w:r>
      <w:r>
        <w:t xml:space="preserve">;</w:t>
      </w:r>
      <w:r/>
    </w:p>
    <w:p>
      <w:pPr>
        <w:pStyle w:val="899"/>
        <w:pBdr/>
        <w:spacing/>
        <w:ind/>
        <w:rPr/>
      </w:pPr>
      <w:r>
        <w:t xml:space="preserve">Добавлен дополнительный шлюз, исключающий слияние двух потоков управления в один (В этот шлюз входят потоки управления от блока задачи «Забронировать товар на складе» и от промежуточного события «</w:t>
      </w:r>
      <w:r>
        <w:t xml:space="preserve">Ожидание получения товара с фабрики</w:t>
      </w:r>
      <w:r>
        <w:t xml:space="preserve">»)</w:t>
      </w:r>
      <w:r>
        <w:t xml:space="preserve">;</w:t>
      </w:r>
      <w:r/>
    </w:p>
    <w:p>
      <w:pPr>
        <w:pStyle w:val="899"/>
        <w:pBdr/>
        <w:spacing/>
        <w:ind/>
        <w:rPr/>
      </w:pPr>
      <w:r>
        <w:t xml:space="preserve">Добавлена дополнительная текстовая аннотация при шлюзах</w:t>
      </w:r>
      <w:r>
        <w:t xml:space="preserve">;</w:t>
      </w:r>
      <w:r/>
    </w:p>
    <w:p>
      <w:pPr>
        <w:pStyle w:val="899"/>
        <w:pBdr/>
        <w:spacing/>
        <w:ind/>
        <w:rPr/>
      </w:pPr>
      <w:r>
        <w:t xml:space="preserve">Переработан фрагмент диаграммы, отвечающий за принятие решения о добавлении подарка к заказу. Он сведён к двум исключающим шлюзам и двум задачам, отвечающим за выдачу или не выдачу подарка к заказу при наступлении определённых условий;</w:t>
      </w:r>
      <w:r/>
    </w:p>
    <w:p>
      <w:pPr>
        <w:pStyle w:val="899"/>
        <w:pBdr/>
        <w:spacing/>
        <w:ind/>
        <w:rPr/>
      </w:pPr>
      <w:r>
        <w:t xml:space="preserve">Добавлена дополнительная дорожка, описывающ</w:t>
      </w:r>
      <w:r>
        <w:t xml:space="preserve">ая</w:t>
      </w:r>
      <w:r>
        <w:t xml:space="preserve"> сотрудника, который занимается проверкой наличия товара на складе и выдачей заказов.</w:t>
      </w:r>
      <w:r/>
    </w:p>
    <w:p>
      <w:pPr>
        <w:pStyle w:val="896"/>
        <w:pBdr/>
        <w:spacing/>
        <w:ind/>
        <w:rPr/>
      </w:pPr>
      <w:r/>
      <w:bookmarkStart w:id="18" w:name="_Toc179738101"/>
      <w:r>
        <w:t xml:space="preserve">2.</w:t>
      </w:r>
      <w:r>
        <w:t xml:space="preserve">3</w:t>
      </w:r>
      <w:r>
        <w:t xml:space="preserve"> Задание №</w:t>
      </w:r>
      <w:r>
        <w:t xml:space="preserve">3</w:t>
      </w:r>
      <w:bookmarkEnd w:id="18"/>
      <w:r/>
      <w:r/>
    </w:p>
    <w:p>
      <w:pPr>
        <w:pBdr/>
        <w:spacing/>
        <w:ind/>
        <w:rPr/>
      </w:pPr>
      <w:r>
        <w:t xml:space="preserve">Построена исправленная модель процесса </w:t>
      </w:r>
      <w:r>
        <w:t xml:space="preserve">«</w:t>
      </w:r>
      <w:r>
        <w:t xml:space="preserve">Управлять проектами</w:t>
      </w:r>
      <w:r>
        <w:t xml:space="preserve">»</w:t>
      </w:r>
      <w:r>
        <w:t xml:space="preserve"> (Рисунок 2.3.1).</w:t>
      </w:r>
      <w:r/>
    </w:p>
    <w:p>
      <w:pPr>
        <w:pStyle w:val="912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276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969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22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77.3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08"/>
        <w:pBdr/>
        <w:spacing/>
        <w:ind/>
        <w:rPr/>
      </w:pPr>
      <w:r>
        <w:t xml:space="preserve">Рисунок 2.3.1 – Модель процесса «Управлять проектами»</w:t>
      </w:r>
      <w:r/>
    </w:p>
    <w:p>
      <w:pPr>
        <w:pBdr/>
        <w:spacing/>
        <w:ind/>
        <w:rPr/>
      </w:pPr>
      <w:r>
        <w:t xml:space="preserve">Исправлены следующие ошибки и недочёты:</w:t>
      </w:r>
      <w:r/>
    </w:p>
    <w:p>
      <w:pPr>
        <w:pStyle w:val="899"/>
        <w:pBdr/>
        <w:spacing/>
        <w:ind/>
        <w:rPr/>
      </w:pPr>
      <w:r>
        <w:t xml:space="preserve">Пул клиента был свёрнут;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99"/>
        <w:pBdr/>
        <w:spacing/>
        <w:ind/>
        <w:rPr/>
      </w:pPr>
      <w:r>
        <w:t xml:space="preserve">Добавлен объект данных «</w:t>
      </w:r>
      <w:r>
        <w:t xml:space="preserve">Список программистов и их загрузка</w:t>
      </w:r>
      <w:r>
        <w:t xml:space="preserve">», необходимый для назначения команды разработчиков;</w:t>
      </w:r>
      <w:r/>
    </w:p>
    <w:p>
      <w:pPr>
        <w:pStyle w:val="899"/>
        <w:pBdr/>
        <w:spacing/>
        <w:ind/>
        <w:rPr/>
      </w:pPr>
      <w:r>
        <w:t xml:space="preserve">Изменены связи для объектов данных и задач, которые используют эти объекты.</w:t>
      </w:r>
      <w:r/>
    </w:p>
    <w:p>
      <w:pPr>
        <w:pStyle w:val="896"/>
        <w:pBdr/>
        <w:spacing/>
        <w:ind/>
        <w:rPr/>
      </w:pPr>
      <w:r/>
      <w:bookmarkStart w:id="19" w:name="_Toc179738102"/>
      <w:r>
        <w:t xml:space="preserve">2.4 Задание №4</w:t>
      </w:r>
      <w:bookmarkEnd w:id="19"/>
      <w:r/>
      <w:r/>
    </w:p>
    <w:p>
      <w:pPr>
        <w:pBdr/>
        <w:spacing/>
        <w:ind/>
        <w:rPr/>
      </w:pPr>
      <w:r>
        <w:t xml:space="preserve">Построена исправленная модель процесса </w:t>
      </w:r>
      <w:r>
        <w:t xml:space="preserve">«</w:t>
      </w:r>
      <w:r>
        <w:t xml:space="preserve">Планирование работ по проекту</w:t>
      </w:r>
      <w:r>
        <w:t xml:space="preserve">»</w:t>
      </w:r>
      <w:r>
        <w:t xml:space="preserve"> (Рисунок 2.4.1).</w:t>
      </w:r>
      <w:r/>
    </w:p>
    <w:p>
      <w:pPr>
        <w:pStyle w:val="91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136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771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92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0.03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908"/>
        <w:pBdr/>
        <w:spacing/>
        <w:ind/>
        <w:rPr/>
      </w:pPr>
      <w:r>
        <w:t xml:space="preserve">Рисунок 2.4.1 – Модель процесса «</w:t>
      </w:r>
      <w:r>
        <w:rPr>
          <w:bCs/>
        </w:rPr>
        <w:t xml:space="preserve">Планирование работ по проекту</w:t>
      </w:r>
      <w:r>
        <w:t xml:space="preserve">»</w:t>
      </w:r>
      <w:r/>
    </w:p>
    <w:p>
      <w:pPr>
        <w:pBdr/>
        <w:spacing/>
        <w:ind/>
        <w:rPr/>
      </w:pPr>
      <w:r>
        <w:t xml:space="preserve">Исправлены следующие ошибки и недочёты:</w:t>
      </w:r>
      <w:r/>
    </w:p>
    <w:p>
      <w:pPr>
        <w:pStyle w:val="899"/>
        <w:pBdr/>
        <w:spacing/>
        <w:ind/>
        <w:rPr/>
      </w:pPr>
      <w:r>
        <w:t xml:space="preserve">Для дорожки клиент добавлены начальное и завершающее события;</w:t>
      </w:r>
      <w:r/>
    </w:p>
    <w:p>
      <w:pPr>
        <w:pStyle w:val="899"/>
        <w:pBdr/>
        <w:spacing/>
        <w:ind/>
        <w:rPr/>
      </w:pPr>
      <w:r>
        <w:t xml:space="preserve">Добавлен дополнительный объект данных «</w:t>
      </w:r>
      <w:r>
        <w:t xml:space="preserve">Список программистов и их загрузка</w:t>
      </w:r>
      <w:r>
        <w:t xml:space="preserve">»;</w:t>
      </w:r>
      <w:r/>
    </w:p>
    <w:p>
      <w:pPr>
        <w:pStyle w:val="899"/>
        <w:pBdr/>
        <w:spacing/>
        <w:ind/>
        <w:rPr/>
      </w:pPr>
      <w:r>
        <w:t xml:space="preserve">Изменён тип шлюза с исключающего на параллельный;</w:t>
      </w:r>
      <w:r/>
    </w:p>
    <w:p>
      <w:pPr>
        <w:pStyle w:val="899"/>
        <w:pBdr/>
        <w:spacing/>
        <w:ind/>
        <w:rPr/>
      </w:pPr>
      <w:r>
        <w:t xml:space="preserve">Добавлены связи между объектами данных и задачами, которые взаимодействуют с этими объектами.</w:t>
      </w:r>
      <w:r/>
    </w:p>
    <w:p>
      <w:pPr>
        <w:pStyle w:val="908"/>
        <w:pBdr/>
        <w:spacing/>
        <w:ind/>
        <w:rPr/>
      </w:pPr>
      <w:r/>
      <w:r/>
    </w:p>
    <w:p>
      <w:pPr>
        <w:pStyle w:val="893"/>
        <w:pBdr/>
        <w:spacing/>
        <w:ind/>
        <w:rPr/>
      </w:pPr>
      <w:r/>
      <w:bookmarkStart w:id="20" w:name="_Toc179738103"/>
      <w:r>
        <w:t xml:space="preserve">3 ВЫВОДЫ</w:t>
      </w:r>
      <w:bookmarkEnd w:id="20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Были получены навыки нахождения и исправления ошибок в бизнес-процессах, построенных в методологии BPMN</w:t>
      </w:r>
      <w:r>
        <w:t xml:space="preserve">.</w:t>
      </w:r>
      <w:r>
        <w:t xml:space="preserve"> Сферой применения нотации BPMN является моделирование бизнес-процессов с </w:t>
      </w:r>
      <w:r>
        <w:t xml:space="preserve">помощью специального набора элементов, понятного большинству бизнес-пользователей: бизнес-аналитикам, менеджерам, управляющим процессами, исполнителям процессов, а также разработчикам информационных систем, программного обеспечения и программных продуктов.</w:t>
      </w:r>
      <w:r/>
    </w:p>
    <w:p>
      <w:pPr>
        <w:pStyle w:val="893"/>
        <w:pBdr/>
        <w:spacing/>
        <w:ind/>
        <w:rPr/>
      </w:pPr>
      <w:r/>
      <w:bookmarkStart w:id="21" w:name="_Toc179738104"/>
      <w:r>
        <w:t xml:space="preserve">4</w:t>
      </w:r>
      <w:r>
        <w:t xml:space="preserve"> список используемых источников</w:t>
      </w:r>
      <w:bookmarkEnd w:id="21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 (Заголовки (сло">
    <w:panose1 w:val="02020603050405020304"/>
  </w:font>
  <w:font w:name="Droid Sans Fallback">
    <w:panose1 w:val="05040102010807070707"/>
  </w:font>
  <w:font w:name="FreeSan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92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90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0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5">
    <w:name w:val="Heading 6"/>
    <w:basedOn w:val="884"/>
    <w:next w:val="884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84"/>
    <w:next w:val="884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84"/>
    <w:next w:val="884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84"/>
    <w:next w:val="884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0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0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0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0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0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84"/>
    <w:next w:val="884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0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84"/>
    <w:next w:val="884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0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84"/>
    <w:next w:val="884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0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84"/>
    <w:next w:val="884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0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3">
    <w:name w:val="Header Char"/>
    <w:basedOn w:val="890"/>
    <w:link w:val="922"/>
    <w:uiPriority w:val="99"/>
    <w:pPr>
      <w:pBdr/>
      <w:spacing/>
      <w:ind/>
    </w:pPr>
  </w:style>
  <w:style w:type="character" w:styleId="874">
    <w:name w:val="Footer Char"/>
    <w:basedOn w:val="890"/>
    <w:link w:val="924"/>
    <w:uiPriority w:val="99"/>
    <w:pPr>
      <w:pBdr/>
      <w:spacing/>
      <w:ind/>
    </w:pPr>
  </w:style>
  <w:style w:type="paragraph" w:styleId="875">
    <w:name w:val="Caption"/>
    <w:basedOn w:val="884"/>
    <w:next w:val="8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84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90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84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90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885">
    <w:name w:val="Heading 1"/>
    <w:basedOn w:val="884"/>
    <w:next w:val="884"/>
    <w:link w:val="895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886">
    <w:name w:val="Heading 2"/>
    <w:basedOn w:val="884"/>
    <w:next w:val="884"/>
    <w:link w:val="900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887">
    <w:name w:val="Heading 3"/>
    <w:basedOn w:val="884"/>
    <w:next w:val="884"/>
    <w:link w:val="901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888">
    <w:name w:val="Heading 4"/>
    <w:basedOn w:val="884"/>
    <w:next w:val="884"/>
    <w:link w:val="902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889">
    <w:name w:val="Heading 5"/>
    <w:basedOn w:val="884"/>
    <w:next w:val="884"/>
    <w:link w:val="903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 w:customStyle="1">
    <w:name w:val="Заголовок Первого уровня (ГОСТ)"/>
    <w:basedOn w:val="884"/>
    <w:next w:val="884"/>
    <w:link w:val="894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894" w:customStyle="1">
    <w:name w:val="Заголовок Первого уровня (ГОСТ) Знак"/>
    <w:basedOn w:val="890"/>
    <w:link w:val="893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895" w:customStyle="1">
    <w:name w:val="Заголовок 1 Знак"/>
    <w:basedOn w:val="890"/>
    <w:link w:val="885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896" w:customStyle="1">
    <w:name w:val="Заголовок второго уровня (ГОСТ)"/>
    <w:basedOn w:val="893"/>
    <w:next w:val="884"/>
    <w:link w:val="897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897" w:customStyle="1">
    <w:name w:val="Заголовок второго уровня (ГОСТ) Знак"/>
    <w:basedOn w:val="894"/>
    <w:link w:val="896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898" w:customStyle="1">
    <w:name w:val="Заголовок третьего уровня (ГОСТ)"/>
    <w:basedOn w:val="884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899" w:customStyle="1">
    <w:name w:val="Маркированный список (ГОСТ)"/>
    <w:basedOn w:val="884"/>
    <w:link w:val="904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00" w:customStyle="1">
    <w:name w:val="Заголовок 2 Знак"/>
    <w:basedOn w:val="890"/>
    <w:link w:val="88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901" w:customStyle="1">
    <w:name w:val="Заголовок 3 Знак"/>
    <w:basedOn w:val="890"/>
    <w:link w:val="887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902" w:customStyle="1">
    <w:name w:val="Заголовок 4 Знак"/>
    <w:basedOn w:val="890"/>
    <w:link w:val="88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903" w:customStyle="1">
    <w:name w:val="Заголовок 5 Знак"/>
    <w:basedOn w:val="890"/>
    <w:link w:val="88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904" w:customStyle="1">
    <w:name w:val="Маркированный список (ГОСТ) Знак"/>
    <w:basedOn w:val="890"/>
    <w:link w:val="899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05" w:customStyle="1">
    <w:name w:val="Номерованный список (ГОСТ)"/>
    <w:basedOn w:val="884"/>
    <w:link w:val="906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06" w:customStyle="1">
    <w:name w:val="Номерованный список (ГОСТ) Знак"/>
    <w:basedOn w:val="890"/>
    <w:link w:val="90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07" w:customStyle="1">
    <w:name w:val="Название &quot;Содержание&quot; (ГОСТ)"/>
    <w:basedOn w:val="884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908" w:customStyle="1">
    <w:name w:val="Подпись рисунка (ГОСТ)"/>
    <w:basedOn w:val="884"/>
    <w:link w:val="909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909" w:customStyle="1">
    <w:name w:val="Подпись рисунка (ГОСТ) Знак"/>
    <w:basedOn w:val="890"/>
    <w:link w:val="908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910" w:customStyle="1">
    <w:name w:val="Подпись таблицы (ГОСТ)"/>
    <w:basedOn w:val="884"/>
    <w:link w:val="911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911" w:customStyle="1">
    <w:name w:val="Подпись таблицы (ГОСТ) Знак"/>
    <w:basedOn w:val="890"/>
    <w:link w:val="910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912" w:customStyle="1">
    <w:name w:val="Рисунок (ГОСТ)"/>
    <w:basedOn w:val="908"/>
    <w:link w:val="913"/>
    <w:qFormat/>
    <w:pPr>
      <w:pBdr/>
      <w:spacing w:after="0"/>
      <w:ind/>
    </w:pPr>
    <w:rPr>
      <w:b w:val="0"/>
      <w:sz w:val="28"/>
    </w:rPr>
  </w:style>
  <w:style w:type="character" w:styleId="913" w:customStyle="1">
    <w:name w:val="Рисунок (ГОСТ) Знак"/>
    <w:basedOn w:val="909"/>
    <w:link w:val="912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914" w:customStyle="1">
    <w:name w:val="Текст после таблицы (ГОСТ)"/>
    <w:basedOn w:val="884"/>
    <w:qFormat/>
    <w:pPr>
      <w:pBdr/>
      <w:spacing w:before="340"/>
      <w:ind/>
    </w:pPr>
  </w:style>
  <w:style w:type="paragraph" w:styleId="915" w:customStyle="1">
    <w:name w:val="Текст таблицы внутри (ГОСТ)"/>
    <w:basedOn w:val="884"/>
    <w:link w:val="916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916" w:customStyle="1">
    <w:name w:val="Текст таблицы внутри (ГОСТ) Знак"/>
    <w:basedOn w:val="890"/>
    <w:link w:val="915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917">
    <w:name w:val="Table Grid"/>
    <w:basedOn w:val="89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 w:customStyle="1">
    <w:name w:val="Текст таблицы первой строки (ГОСТ)"/>
    <w:basedOn w:val="915"/>
    <w:qFormat/>
    <w:pPr>
      <w:pBdr/>
      <w:spacing/>
      <w:ind/>
      <w:jc w:val="center"/>
    </w:pPr>
    <w:rPr>
      <w:b/>
      <w:bCs w:val="0"/>
    </w:rPr>
  </w:style>
  <w:style w:type="paragraph" w:styleId="919">
    <w:name w:val="toc 1"/>
    <w:basedOn w:val="884"/>
    <w:next w:val="884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920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1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922">
    <w:name w:val="Header"/>
    <w:basedOn w:val="884"/>
    <w:link w:val="92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23" w:customStyle="1">
    <w:name w:val="Верхний колонтитул Знак"/>
    <w:basedOn w:val="890"/>
    <w:link w:val="92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24">
    <w:name w:val="Footer"/>
    <w:basedOn w:val="884"/>
    <w:link w:val="92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25" w:customStyle="1">
    <w:name w:val="Нижний колонтитул Знак"/>
    <w:basedOn w:val="890"/>
    <w:link w:val="92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26">
    <w:name w:val="TOC Heading"/>
    <w:basedOn w:val="885"/>
    <w:next w:val="884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927">
    <w:name w:val="toc 2"/>
    <w:basedOn w:val="884"/>
    <w:next w:val="884"/>
    <w:uiPriority w:val="39"/>
    <w:unhideWhenUsed/>
    <w:pPr>
      <w:pBdr/>
      <w:spacing w:after="100"/>
      <w:ind w:left="280"/>
    </w:pPr>
    <w:rPr>
      <w:rFonts w:cs="Mangal"/>
    </w:rPr>
  </w:style>
  <w:style w:type="paragraph" w:styleId="928">
    <w:name w:val="List Paragraph"/>
    <w:basedOn w:val="884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929">
    <w:name w:val="Unresolved Mention"/>
    <w:basedOn w:val="89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7</cp:revision>
  <dcterms:created xsi:type="dcterms:W3CDTF">2024-10-13T12:10:00Z</dcterms:created>
  <dcterms:modified xsi:type="dcterms:W3CDTF">2024-10-19T16:50:02Z</dcterms:modified>
</cp:coreProperties>
</file>