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E40AF"/>
          <w:sz w:val="52"/>
        </w:rPr>
        <w:t>TLC PREDICTION SYSTEM</w:t>
      </w:r>
    </w:p>
    <w:p>
      <w:pPr>
        <w:jc w:val="center"/>
      </w:pPr>
      <w:r>
        <w:rPr>
          <w:i/>
          <w:color w:val="475569"/>
          <w:sz w:val="28"/>
        </w:rPr>
        <w:t>Total Lung Capacity Prediction Using Hybrid Machine Learning</w:t>
      </w:r>
    </w:p>
    <w:p/>
    <w:p>
      <w:pPr>
        <w:jc w:val="center"/>
      </w:pPr>
      <w:r>
        <w:rPr>
          <w:color w:val="475569"/>
          <w:sz w:val="22"/>
        </w:rPr>
        <w:t>Project Presentation - Guide Reference Document</w:t>
      </w:r>
    </w:p>
    <w:p>
      <w:r>
        <w:br w:type="page"/>
      </w:r>
    </w:p>
    <w:p/>
    <w:p>
      <w:pPr>
        <w:spacing w:before="120" w:after="40"/>
      </w:pPr>
      <w:r>
        <w:rPr>
          <w:b/>
          <w:color w:val="1E40AF"/>
          <w:sz w:val="30"/>
        </w:rPr>
        <w:t>1.  INTRODUCTION TO THE PROJECT</w:t>
      </w:r>
    </w:p>
    <w:p>
      <w:pPr>
        <w:pBdr>
          <w:bottom w:val="single" w:sz="6" w:space="1" w:color="1E40AF"/>
        </w:pBdr>
        <w:spacing w:before="40" w:after="40"/>
      </w:pPr>
    </w:p>
    <w:p>
      <w:pPr>
        <w:spacing w:before="60" w:after="100"/>
      </w:pPr>
      <w:r>
        <w:rPr>
          <w:color w:val="475569"/>
          <w:sz w:val="22"/>
        </w:rPr>
        <w:t>The TLC Prediction System is an AI-powered web application that predicts Total Lung Capacity (TLC) using a hybrid ensemble of machine learning models. TLC is the maximum air volume the lungs can hold and is a vital diagnostic marker for detecting restrictive diseases such as Pulmonary Fibrosis, Interstitial Lung Disease, and Pleural Effusion. This system enables preliminary clinical assessment without expensive hospital spirometry equipment, using 12 standard clinical parameters entered through a secure web interface.</w:t>
      </w:r>
    </w:p>
    <w:p>
      <w:pPr>
        <w:spacing w:before="160" w:after="40"/>
      </w:pPr>
      <w:r>
        <w:rPr>
          <w:b/>
          <w:color w:val="1E293B"/>
          <w:sz w:val="24"/>
        </w:rPr>
        <w:t xml:space="preserve">   Why This Project Was Built</w:t>
      </w:r>
    </w:p>
    <w:p>
      <w:pPr>
        <w:spacing w:before="60" w:after="100"/>
      </w:pPr>
      <w:r>
        <w:rPr>
          <w:color w:val="475569"/>
          <w:sz w:val="22"/>
        </w:rPr>
        <w:t>Lung diseases are among the leading causes of disability and mortality globally. Early detection of reduced lung capacity significantly improves patient outcomes. Diagnostic tools are expensive and inaccessible in many regions. This project bridges that gap by providing an intelligent, affordable, and accessible tool that combines machine learning with clinical medical knowledge to deliver real-world-accurate TLC predictions through any web browser.</w:t>
      </w:r>
    </w:p>
    <w:p>
      <w:pPr>
        <w:spacing w:before="160" w:after="40"/>
      </w:pPr>
      <w:r>
        <w:rPr>
          <w:b/>
          <w:color w:val="1E293B"/>
          <w:sz w:val="24"/>
        </w:rPr>
        <w:t xml:space="preserve">   Key Features</w:t>
      </w:r>
    </w:p>
    <w:p>
      <w:pPr>
        <w:pStyle w:val="ListBullet"/>
        <w:spacing w:before="40" w:after="40"/>
      </w:pPr>
      <w:r>
        <w:rPr>
          <w:b/>
          <w:color w:val="1E293B"/>
          <w:sz w:val="22"/>
        </w:rPr>
        <w:t xml:space="preserve">ML Engine: </w:t>
      </w:r>
      <w:r>
        <w:rPr>
          <w:color w:val="475569"/>
          <w:sz w:val="22"/>
        </w:rPr>
        <w:t>Hybrid ensemble of Random Forest + Decision Tree + Clinical Formula (FVC+RV).</w:t>
      </w:r>
    </w:p>
    <w:p>
      <w:pPr>
        <w:pStyle w:val="ListBullet"/>
        <w:spacing w:before="40" w:after="40"/>
      </w:pPr>
      <w:r>
        <w:rPr>
          <w:b/>
          <w:color w:val="1E293B"/>
          <w:sz w:val="22"/>
        </w:rPr>
        <w:t xml:space="preserve">Inputs: </w:t>
      </w:r>
      <w:r>
        <w:rPr>
          <w:color w:val="475569"/>
          <w:sz w:val="22"/>
        </w:rPr>
        <w:t>12 clinical parameters: spirometry, blood gas, demographics, and smoking history.</w:t>
      </w:r>
    </w:p>
    <w:p>
      <w:pPr>
        <w:pStyle w:val="ListBullet"/>
        <w:spacing w:before="40" w:after="40"/>
      </w:pPr>
      <w:r>
        <w:rPr>
          <w:b/>
          <w:color w:val="1E293B"/>
          <w:sz w:val="22"/>
        </w:rPr>
        <w:t xml:space="preserve">Output: </w:t>
      </w:r>
      <w:r>
        <w:rPr>
          <w:color w:val="475569"/>
          <w:sz w:val="22"/>
        </w:rPr>
        <w:t>Lung Health Score (0-100), risk classification, and specific disease diagnosis.</w:t>
      </w:r>
    </w:p>
    <w:p>
      <w:pPr>
        <w:pStyle w:val="ListBullet"/>
        <w:spacing w:before="40" w:after="40"/>
      </w:pPr>
      <w:r>
        <w:rPr>
          <w:b/>
          <w:color w:val="1E293B"/>
          <w:sz w:val="22"/>
        </w:rPr>
        <w:t xml:space="preserve">Lifestyle: </w:t>
      </w:r>
      <w:r>
        <w:rPr>
          <w:color w:val="475569"/>
          <w:sz w:val="22"/>
        </w:rPr>
        <w:t>Personalized diet and lifestyle recommendations based on result.</w:t>
      </w:r>
    </w:p>
    <w:p>
      <w:pPr>
        <w:pStyle w:val="ListBullet"/>
        <w:spacing w:before="40" w:after="40"/>
      </w:pPr>
      <w:r>
        <w:rPr>
          <w:b/>
          <w:color w:val="1E293B"/>
          <w:sz w:val="22"/>
        </w:rPr>
        <w:t xml:space="preserve">Dashboard: </w:t>
      </w:r>
      <w:r>
        <w:rPr>
          <w:color w:val="475569"/>
          <w:sz w:val="22"/>
        </w:rPr>
        <w:t>Per-user secure login, prediction history dashboard with trend charts.</w:t>
      </w:r>
    </w:p>
    <w:p>
      <w:pPr>
        <w:pStyle w:val="ListBullet"/>
        <w:spacing w:before="40" w:after="40"/>
      </w:pPr>
      <w:r>
        <w:rPr>
          <w:b/>
          <w:color w:val="1E293B"/>
          <w:sz w:val="22"/>
        </w:rPr>
        <w:t xml:space="preserve">Database: </w:t>
      </w:r>
      <w:r>
        <w:rPr>
          <w:color w:val="475569"/>
          <w:sz w:val="22"/>
        </w:rPr>
        <w:t>Dual database: SQLite for local development, PostgreSQL for cloud deployment.</w:t>
      </w:r>
    </w:p>
    <w:p>
      <w:pPr>
        <w:spacing w:before="160" w:after="40"/>
      </w:pPr>
      <w:r>
        <w:rPr>
          <w:b/>
          <w:color w:val="1E293B"/>
          <w:sz w:val="24"/>
        </w:rPr>
        <w:t xml:space="preserve">   Technology Stack</w:t>
      </w:r>
    </w:p>
    <w:p>
      <w:pPr>
        <w:pStyle w:val="ListBullet"/>
        <w:spacing w:before="40" w:after="40"/>
      </w:pPr>
      <w:r>
        <w:rPr>
          <w:b/>
          <w:color w:val="1E293B"/>
          <w:sz w:val="22"/>
        </w:rPr>
        <w:t xml:space="preserve">Backend: </w:t>
      </w:r>
      <w:r>
        <w:rPr>
          <w:color w:val="475569"/>
          <w:sz w:val="22"/>
        </w:rPr>
        <w:t>Python 3.x with Flask framework for backend routing and session management.</w:t>
      </w:r>
    </w:p>
    <w:p>
      <w:pPr>
        <w:pStyle w:val="ListBullet"/>
        <w:spacing w:before="40" w:after="40"/>
      </w:pPr>
      <w:r>
        <w:rPr>
          <w:b/>
          <w:color w:val="1E293B"/>
          <w:sz w:val="22"/>
        </w:rPr>
        <w:t xml:space="preserve">ML: </w:t>
      </w:r>
      <w:r>
        <w:rPr>
          <w:color w:val="475569"/>
          <w:sz w:val="22"/>
        </w:rPr>
        <w:t>Scikit-learn (Random Forest, Decision Tree), Pandas, NumPy, Joblib for ML pipeline.</w:t>
      </w:r>
    </w:p>
    <w:p>
      <w:pPr>
        <w:pStyle w:val="ListBullet"/>
        <w:spacing w:before="40" w:after="40"/>
      </w:pPr>
      <w:r>
        <w:rPr>
          <w:b/>
          <w:color w:val="1E293B"/>
          <w:sz w:val="22"/>
        </w:rPr>
        <w:t xml:space="preserve">Frontend: </w:t>
      </w:r>
      <w:r>
        <w:rPr>
          <w:color w:val="475569"/>
          <w:sz w:val="22"/>
        </w:rPr>
        <w:t>HTML5, CSS3, Chart.js, Font Awesome for modern responsive frontend.</w:t>
      </w:r>
    </w:p>
    <w:p>
      <w:pPr>
        <w:pStyle w:val="ListBullet"/>
        <w:spacing w:before="40" w:after="40"/>
      </w:pPr>
      <w:r>
        <w:rPr>
          <w:b/>
          <w:color w:val="1E293B"/>
          <w:sz w:val="22"/>
        </w:rPr>
        <w:t xml:space="preserve">Database: </w:t>
      </w:r>
      <w:r>
        <w:rPr>
          <w:color w:val="475569"/>
          <w:sz w:val="22"/>
        </w:rPr>
        <w:t>SQLite (local) and PostgreSQL (cloud) with transparent abstraction layer.</w:t>
      </w:r>
    </w:p>
    <w:p>
      <w:pPr>
        <w:spacing w:before="160" w:after="40"/>
      </w:pPr>
      <w:r>
        <w:rPr>
          <w:b/>
          <w:color w:val="1E293B"/>
          <w:sz w:val="24"/>
        </w:rPr>
        <w:t xml:space="preserve">   Model Performance Metrics</w:t>
      </w:r>
    </w:p>
    <w:p>
      <w:pPr>
        <w:pStyle w:val="ListBullet"/>
        <w:spacing w:before="40" w:after="40"/>
      </w:pPr>
      <w:r>
        <w:rPr>
          <w:b/>
          <w:color w:val="1E293B"/>
          <w:sz w:val="22"/>
        </w:rPr>
        <w:t xml:space="preserve">Accuracy: </w:t>
      </w:r>
      <w:r>
        <w:rPr>
          <w:color w:val="475569"/>
          <w:sz w:val="22"/>
        </w:rPr>
        <w:t>R2 Score = 0.9963 -- The model explains 99.63% of real-world TLC variance.</w:t>
      </w:r>
    </w:p>
    <w:p>
      <w:pPr>
        <w:pStyle w:val="ListBullet"/>
        <w:spacing w:before="40" w:after="40"/>
      </w:pPr>
      <w:r>
        <w:rPr>
          <w:b/>
          <w:color w:val="1E293B"/>
          <w:sz w:val="22"/>
        </w:rPr>
        <w:t xml:space="preserve">MAE: </w:t>
      </w:r>
      <w:r>
        <w:rPr>
          <w:color w:val="475569"/>
          <w:sz w:val="22"/>
        </w:rPr>
        <w:t>MAE = 0.0421 Litres -- Average prediction error is only 42 millilitres.</w:t>
      </w:r>
    </w:p>
    <w:p>
      <w:pPr>
        <w:pStyle w:val="ListBullet"/>
        <w:spacing w:before="40" w:after="40"/>
      </w:pPr>
      <w:r>
        <w:rPr>
          <w:b/>
          <w:color w:val="1E293B"/>
          <w:sz w:val="22"/>
        </w:rPr>
        <w:t xml:space="preserve">RMSE: </w:t>
      </w:r>
      <w:r>
        <w:rPr>
          <w:color w:val="475569"/>
          <w:sz w:val="22"/>
        </w:rPr>
        <w:t>RMSE = 0.0567 Litres -- Root mean square error is just 57 millilitres.</w:t>
      </w:r>
    </w:p>
    <w:p>
      <w:pPr>
        <w:spacing w:before="60" w:after="100"/>
      </w:pPr>
      <w:r>
        <w:rPr>
          <w:color w:val="475569"/>
          <w:sz w:val="22"/>
        </w:rPr>
        <w:t>These metrics confirm production-grade predictive accuracy, far exceeding typical medical AI benchmarks of R2 &gt; 0.90.</w:t>
      </w:r>
    </w:p>
    <w:p>
      <w:r>
        <w:br w:type="page"/>
      </w:r>
    </w:p>
    <w:p/>
    <w:p>
      <w:pPr>
        <w:spacing w:before="120" w:after="40"/>
      </w:pPr>
      <w:r>
        <w:rPr>
          <w:b/>
          <w:color w:val="1E40AF"/>
          <w:sz w:val="30"/>
        </w:rPr>
        <w:t>2.  STEPS COMPLETED - DEVELOPMENT PROCESS</w:t>
      </w:r>
    </w:p>
    <w:p>
      <w:pPr>
        <w:pBdr>
          <w:bottom w:val="single" w:sz="6" w:space="1" w:color="1E40AF"/>
        </w:pBdr>
        <w:spacing w:before="40" w:after="40"/>
      </w:pPr>
    </w:p>
    <w:p>
      <w:pPr>
        <w:spacing w:before="60" w:after="100"/>
      </w:pPr>
      <w:r>
        <w:rPr>
          <w:color w:val="475569"/>
          <w:sz w:val="22"/>
        </w:rPr>
        <w:t>The project followed a structured end-to-end software development lifecycle from data collection to a fully deployed user-facing web application. Every major milestone is documented below.</w:t>
      </w:r>
    </w:p>
    <w:p>
      <w:pPr>
        <w:spacing w:before="160" w:after="40"/>
      </w:pPr>
      <w:r>
        <w:rPr>
          <w:b/>
          <w:color w:val="1E293B"/>
          <w:sz w:val="24"/>
        </w:rPr>
        <w:t xml:space="preserve">   Step 1 - Dataset Collection and Preparation</w:t>
      </w:r>
    </w:p>
    <w:p>
      <w:pPr>
        <w:spacing w:before="60" w:after="100"/>
      </w:pPr>
      <w:r>
        <w:rPr>
          <w:color w:val="475569"/>
          <w:sz w:val="22"/>
        </w:rPr>
        <w:t>A clinical dataset containing patient lung function records was collected and curated. Features included Age, Gender, Height, Weight, Smoking Status, FEV1, FVC, FEV1/FVC Ratio, SpO2, PCO2, PEF, and Estimated Residual Volume. Data cleaning, normalization, and one-hot encoding of categorical variables were performed to prepare a machine-learning-ready dataset.</w:t>
      </w:r>
    </w:p>
    <w:p>
      <w:pPr>
        <w:spacing w:before="160" w:after="40"/>
      </w:pPr>
      <w:r>
        <w:rPr>
          <w:b/>
          <w:color w:val="1E293B"/>
          <w:sz w:val="24"/>
        </w:rPr>
        <w:t xml:space="preserve">   Step 2 - Model Training and Selection</w:t>
      </w:r>
    </w:p>
    <w:p>
      <w:pPr>
        <w:spacing w:before="60" w:after="100"/>
      </w:pPr>
      <w:r>
        <w:rPr>
          <w:color w:val="475569"/>
          <w:sz w:val="22"/>
        </w:rPr>
        <w:t>Three models were trained and benchmarked: Random Forest Regressor, Decision Tree Regressor, and a Keras-based Artificial Neural Network (ANN). After performance comparison using R2, MAE, and RMSE, Random Forest and Decision Tree were selected for the final ensemble due to superior accuracy and generalization. All features were scaled using StandardScaler before training and that scaler was saved for inference.</w:t>
      </w:r>
    </w:p>
    <w:p>
      <w:pPr>
        <w:spacing w:before="160" w:after="40"/>
      </w:pPr>
      <w:r>
        <w:rPr>
          <w:b/>
          <w:color w:val="1E293B"/>
          <w:sz w:val="24"/>
        </w:rPr>
        <w:t xml:space="preserve">   Step 3 - Hybrid Prediction Engine Design</w:t>
      </w:r>
    </w:p>
    <w:p>
      <w:pPr>
        <w:spacing w:before="60" w:after="100"/>
      </w:pPr>
      <w:r>
        <w:rPr>
          <w:color w:val="475569"/>
          <w:sz w:val="22"/>
        </w:rPr>
        <w:t>A custom hybrid engine blends ML predictions with the clinical formula TLC = FVC + RV at a 40% ML / 60% clinical weighting. Three medical override rules were implemented: (1) Smoking penalties cap TLC at gender-age-specific reference values. (2) Low FVC triggers a restrictive disease correction. (3) A physiological floor enforces TLC &gt;= 1.5L at all times.</w:t>
      </w:r>
    </w:p>
    <w:p>
      <w:pPr>
        <w:spacing w:before="160" w:after="40"/>
      </w:pPr>
      <w:r>
        <w:rPr>
          <w:b/>
          <w:color w:val="1E293B"/>
          <w:sz w:val="24"/>
        </w:rPr>
        <w:t xml:space="preserve">   Step 4 - Web Application Development</w:t>
      </w:r>
    </w:p>
    <w:p>
      <w:pPr>
        <w:spacing w:before="60" w:after="100"/>
      </w:pPr>
      <w:r>
        <w:rPr>
          <w:color w:val="475569"/>
          <w:sz w:val="22"/>
        </w:rPr>
        <w:t>A complete 6-page Flask web application was built: Login, Signup, Forgot Password, Prediction Form (index), Results, and Dashboard. Every page uses responsive CSS, Chart.js visualizations, Font Awesome icons, real-time JavaScript input validation, and on-focus range popups that display normal clinical reference ranges for each parameter field.</w:t>
      </w:r>
    </w:p>
    <w:p>
      <w:pPr>
        <w:spacing w:before="160" w:after="40"/>
      </w:pPr>
      <w:r>
        <w:rPr>
          <w:b/>
          <w:color w:val="1E293B"/>
          <w:sz w:val="24"/>
        </w:rPr>
        <w:t xml:space="preserve">   Step 5 - Database Integration</w:t>
      </w:r>
    </w:p>
    <w:p>
      <w:pPr>
        <w:spacing w:before="60" w:after="100"/>
      </w:pPr>
      <w:r>
        <w:rPr>
          <w:color w:val="475569"/>
          <w:sz w:val="22"/>
        </w:rPr>
        <w:t>A dual-database system was implemented. Two tables were created: users (email, name, password, gender) and predictions (user_email, tlc, health_score, status, timestamp). A smart execute_query() abstraction handles both SQLite placeholder syntax (?) and PostgreSQL syntax (%s), allowing zero-code switching between databases using environment variables.</w:t>
      </w:r>
    </w:p>
    <w:p>
      <w:pPr>
        <w:spacing w:before="160" w:after="40"/>
      </w:pPr>
      <w:r>
        <w:rPr>
          <w:b/>
          <w:color w:val="1E293B"/>
          <w:sz w:val="24"/>
        </w:rPr>
        <w:t xml:space="preserve">   Step 6 - Results and Lifestyle Engine</w:t>
      </w:r>
    </w:p>
    <w:p>
      <w:pPr>
        <w:spacing w:before="60" w:after="100"/>
      </w:pPr>
      <w:r>
        <w:rPr>
          <w:color w:val="475569"/>
          <w:sz w:val="22"/>
        </w:rPr>
        <w:t>The result page renders: predicted TLC, health score ring chart, bar chart comparing patient vs reference TLC values, horizontal feature importance chart, disease classification with possible conditions, clinical interpretation, doctor recommendations, and a full diet and lifestyle guide with foods to eat, foods to avoid, and daily habits for lung health.</w:t>
      </w:r>
    </w:p>
    <w:p>
      <w:pPr>
        <w:spacing w:before="160" w:after="40"/>
      </w:pPr>
      <w:r>
        <w:rPr>
          <w:b/>
          <w:color w:val="1E293B"/>
          <w:sz w:val="24"/>
        </w:rPr>
        <w:t xml:space="preserve">   Step 7 - Deployment Readiness</w:t>
      </w:r>
    </w:p>
    <w:p>
      <w:pPr>
        <w:spacing w:before="60" w:after="100"/>
      </w:pPr>
      <w:r>
        <w:rPr>
          <w:color w:val="475569"/>
          <w:sz w:val="22"/>
        </w:rPr>
        <w:t>The application was configured for production using Gunicorn as the WSGI server. A .python-version file pins the runtime. requirements.txt lists all dependencies. DATABASE_URL environment variable switches database backends automatically. The system is cloud-ready for Render, Railway, Heroku, or any PaaS platform.</w:t>
      </w:r>
    </w:p>
    <w:p>
      <w:r>
        <w:br w:type="page"/>
      </w:r>
    </w:p>
    <w:p/>
    <w:p>
      <w:pPr>
        <w:spacing w:before="120" w:after="40"/>
      </w:pPr>
      <w:r>
        <w:rPr>
          <w:b/>
          <w:color w:val="1E40AF"/>
          <w:sz w:val="30"/>
        </w:rPr>
        <w:t>3.  INTERNAL WORKING - HOW THE SYSTEM OPERATES</w:t>
      </w:r>
    </w:p>
    <w:p>
      <w:pPr>
        <w:pBdr>
          <w:bottom w:val="single" w:sz="6" w:space="1" w:color="1E40AF"/>
        </w:pBdr>
        <w:spacing w:before="40" w:after="40"/>
      </w:pPr>
    </w:p>
    <w:p>
      <w:pPr>
        <w:spacing w:before="60" w:after="100"/>
      </w:pPr>
      <w:r>
        <w:rPr>
          <w:color w:val="475569"/>
          <w:sz w:val="22"/>
        </w:rPr>
        <w:t>From form submission to results display, the system passes through 9 clearly defined internal stages. Each stage is described below.</w:t>
      </w:r>
    </w:p>
    <w:p>
      <w:pPr>
        <w:spacing w:before="160" w:after="40"/>
      </w:pPr>
      <w:r>
        <w:rPr>
          <w:b/>
          <w:color w:val="1E293B"/>
          <w:sz w:val="24"/>
        </w:rPr>
        <w:t xml:space="preserve">   Stage 1 - User Authentication</w:t>
      </w:r>
    </w:p>
    <w:p>
      <w:pPr>
        <w:spacing w:before="60" w:after="100"/>
      </w:pPr>
      <w:r>
        <w:rPr>
          <w:color w:val="475569"/>
          <w:sz w:val="22"/>
        </w:rPr>
        <w:t>Users register with name, email, password, and gender. Flask session management protects all routes with a login_required decorator. Sessions persist until explicit logout. The forgot-password page retrieves and displays the stored password, suitable for academic demonstration. Gender from the user profile is auto-populated in the prediction form as a read-only field.</w:t>
      </w:r>
    </w:p>
    <w:p>
      <w:pPr>
        <w:spacing w:before="160" w:after="40"/>
      </w:pPr>
      <w:r>
        <w:rPr>
          <w:b/>
          <w:color w:val="1E293B"/>
          <w:sz w:val="24"/>
        </w:rPr>
        <w:t xml:space="preserve">   Stage 2 - Input Collection and Real-Time Validation</w:t>
      </w:r>
    </w:p>
    <w:p>
      <w:pPr>
        <w:spacing w:before="60" w:after="100"/>
      </w:pPr>
      <w:r>
        <w:rPr>
          <w:color w:val="475569"/>
          <w:sz w:val="22"/>
        </w:rPr>
        <w:t>The prediction form collects all 12 parameters split into 4 groups: Demographics, Spirometry, Blood Gas Values, and Additional Lung Metrics. JavaScript shows normal reference range popups on field focus. Out-of-range warnings appear live (e.g., SpO2 &lt; 95 triggers a hypoxemia warning, PCO2 outside 35-45 triggers a CO2 imbalance warning).</w:t>
      </w:r>
    </w:p>
    <w:p>
      <w:pPr>
        <w:spacing w:before="160" w:after="40"/>
      </w:pPr>
      <w:r>
        <w:rPr>
          <w:b/>
          <w:color w:val="1E293B"/>
          <w:sz w:val="24"/>
        </w:rPr>
        <w:t xml:space="preserve">   Stage 3 - Feature Engineering</w:t>
      </w:r>
    </w:p>
    <w:p>
      <w:pPr>
        <w:spacing w:before="60" w:after="100"/>
      </w:pPr>
      <w:r>
        <w:rPr>
          <w:color w:val="475569"/>
          <w:sz w:val="22"/>
        </w:rPr>
        <w:t>On form submission, a Pandas DataFrame is constructed from all 12 inputs. pd.get_dummies() one-hot encodes Gender and Smoking Status categorical variables. reindex() with fill_value=0 aligns all dummy columns exactly to the training dataset column order, ensuring the inference vector perfectly matches the format the models were trained on.</w:t>
      </w:r>
    </w:p>
    <w:p>
      <w:pPr>
        <w:spacing w:before="160" w:after="40"/>
      </w:pPr>
      <w:r>
        <w:rPr>
          <w:b/>
          <w:color w:val="1E293B"/>
          <w:sz w:val="24"/>
        </w:rPr>
        <w:t xml:space="preserve">   Stage 4 - Dual ML Prediction</w:t>
      </w:r>
    </w:p>
    <w:p>
      <w:pPr>
        <w:spacing w:before="60" w:after="100"/>
      </w:pPr>
      <w:r>
        <w:rPr>
          <w:color w:val="475569"/>
          <w:sz w:val="22"/>
        </w:rPr>
        <w:t>The aligned feature matrix is passed through the pre-trained StandardScaler. Both rf_model.pkl (Random Forest) and dt_model.pkl (Decision Tree) independently predict TLC. Their outputs are averaged: raw_ml_pred = (rf_pred + dt_pred) / 2. This ensemble averaging reduces individual model variance and improves stability across diverse clinical input combinations.</w:t>
      </w:r>
    </w:p>
    <w:p>
      <w:pPr>
        <w:spacing w:before="160" w:after="40"/>
      </w:pPr>
      <w:r>
        <w:rPr>
          <w:b/>
          <w:color w:val="1E293B"/>
          <w:sz w:val="24"/>
        </w:rPr>
        <w:t xml:space="preserve">   Stage 5 - Clinical Accuracy Override</w:t>
      </w:r>
    </w:p>
    <w:p>
      <w:pPr>
        <w:spacing w:before="60" w:after="100"/>
      </w:pPr>
      <w:r>
        <w:rPr>
          <w:color w:val="475569"/>
          <w:sz w:val="22"/>
        </w:rPr>
        <w:t>Final TLC = (raw_ml_pred * 0.40) + (clinical_tlc * 0.60) where clinical_tlc = FVC + RV. Then three overrides are applied: (1) Current smoker TLC is capped at smoker_reference * 1.02. (2) Former smoker TLC is capped at former_reference * 1.02. (3) If FVC &lt; 80% of 4.5L reference, TLC is capped at clinical_tlc * 1.05. Finally, TLC = max(TLC, 1.5L) enforces the physiological floor.</w:t>
      </w:r>
    </w:p>
    <w:p>
      <w:pPr>
        <w:spacing w:before="160" w:after="40"/>
      </w:pPr>
      <w:r>
        <w:rPr>
          <w:b/>
          <w:color w:val="1E293B"/>
          <w:sz w:val="24"/>
        </w:rPr>
        <w:t xml:space="preserve">   Stage 6 - Health Score and Risk Classification</w:t>
      </w:r>
    </w:p>
    <w:p>
      <w:pPr>
        <w:spacing w:before="60" w:after="100"/>
      </w:pPr>
      <w:r>
        <w:rPr>
          <w:color w:val="475569"/>
          <w:sz w:val="22"/>
        </w:rPr>
        <w:t>Health Score = (Final TLC / Ideal TLC for gender+age group) * 100, clamped to 0-100. Risk tiers: Score &gt;= 80 = Healthy (green); &gt;= 60 = Mild Risk (yellow); &gt;= 40 = Moderate Risk (orange); &lt; 40 = Severe Risk (red). Disease tiers: &gt;= 90% of ideal = Normal; &gt;= 75% = Mild Restrictive; &gt;= 60% = Moderate Restrictive; &lt; 60% = Severe Restrictive.</w:t>
      </w:r>
    </w:p>
    <w:p>
      <w:pPr>
        <w:spacing w:before="160" w:after="40"/>
      </w:pPr>
      <w:r>
        <w:rPr>
          <w:b/>
          <w:color w:val="1E293B"/>
          <w:sz w:val="24"/>
        </w:rPr>
        <w:t xml:space="preserve">   Stage 7 - Feature Importance Calculation</w:t>
      </w:r>
    </w:p>
    <w:p>
      <w:pPr>
        <w:spacing w:before="60" w:after="100"/>
      </w:pPr>
      <w:r>
        <w:rPr>
          <w:color w:val="475569"/>
          <w:sz w:val="22"/>
        </w:rPr>
        <w:t>A custom deviation-based importance score is computed for 9 key features. Each feature value is compared against its clinical reference (e.g., FEV1 ref = 3.5L). Importance = |value - reference| / reference. Scores are normalized to percentages summing to 100%. Top 6 contributors are sent to the results page and rendered as a horizontal bar chart.</w:t>
      </w:r>
    </w:p>
    <w:p>
      <w:pPr>
        <w:spacing w:before="160" w:after="40"/>
      </w:pPr>
      <w:r>
        <w:rPr>
          <w:b/>
          <w:color w:val="1E293B"/>
          <w:sz w:val="24"/>
        </w:rPr>
        <w:t xml:space="preserve">   Stage 8 - Results Rendering and Database Storage</w:t>
      </w:r>
    </w:p>
    <w:p>
      <w:pPr>
        <w:spacing w:before="60" w:after="100"/>
      </w:pPr>
      <w:r>
        <w:rPr>
          <w:color w:val="475569"/>
          <w:sz w:val="22"/>
        </w:rPr>
        <w:t>All computed values are passed to result.html via render_template(). Simultaneously, the prediction record (TLC, health_score, status, timestamp) is saved to the predictions table for that user. This enables the dashboard to later retrieve and visualize the full prediction history for longitudinal monitoring.</w:t>
      </w:r>
    </w:p>
    <w:p>
      <w:pPr>
        <w:spacing w:before="160" w:after="40"/>
      </w:pPr>
      <w:r>
        <w:rPr>
          <w:b/>
          <w:color w:val="1E293B"/>
          <w:sz w:val="24"/>
        </w:rPr>
        <w:t xml:space="preserve">   Stage 9 - Dashboard and Trend Visualization</w:t>
      </w:r>
    </w:p>
    <w:p>
      <w:pPr>
        <w:spacing w:before="60" w:after="100"/>
      </w:pPr>
      <w:r>
        <w:rPr>
          <w:color w:val="475569"/>
          <w:sz w:val="22"/>
        </w:rPr>
        <w:t>The dashboard queries all predictions for the logged-in user. Four stat cards display: Total Predictions, Latest Health Score, Latest TLC, and Change from Previous TLC. Two Chart.js charts render: (1) A TLC trend line chart over all predictions. (2) A health distribution doughnut chart categorizing records into Healthy, Mild, Moderate, and Severe counts.</w:t>
      </w:r>
    </w:p>
    <w:p>
      <w:r>
        <w:br w:type="page"/>
      </w:r>
    </w:p>
    <w:p/>
    <w:p>
      <w:pPr>
        <w:spacing w:before="120" w:after="40"/>
      </w:pPr>
      <w:r>
        <w:rPr>
          <w:b/>
          <w:color w:val="1E40AF"/>
          <w:sz w:val="30"/>
        </w:rPr>
        <w:t>4.  ADVANTAGES OF THE TLC PREDICTION SYSTEM</w:t>
      </w:r>
    </w:p>
    <w:p>
      <w:pPr>
        <w:pBdr>
          <w:bottom w:val="single" w:sz="6" w:space="1" w:color="1E40AF"/>
        </w:pBdr>
        <w:spacing w:before="40" w:after="40"/>
      </w:pPr>
    </w:p>
    <w:p>
      <w:pPr>
        <w:spacing w:before="60" w:after="100"/>
      </w:pPr>
      <w:r>
        <w:rPr>
          <w:color w:val="475569"/>
          <w:sz w:val="22"/>
        </w:rPr>
        <w:t>The system offers significant advantages over traditional diagnostic approaches and conventional rule-based tools, spanning clinical accuracy, accessibility, user experience, and technical robustness.</w:t>
      </w:r>
    </w:p>
    <w:p>
      <w:pPr>
        <w:spacing w:before="160" w:after="40"/>
      </w:pPr>
      <w:r>
        <w:rPr>
          <w:b/>
          <w:color w:val="1E293B"/>
          <w:sz w:val="24"/>
        </w:rPr>
        <w:t xml:space="preserve">   Clinically Accurate Hybrid Model</w:t>
      </w:r>
    </w:p>
    <w:p>
      <w:pPr>
        <w:spacing w:before="60" w:after="100"/>
      </w:pPr>
      <w:r>
        <w:rPr>
          <w:color w:val="475569"/>
          <w:sz w:val="22"/>
        </w:rPr>
        <w:t>The 40% ML + 60% clinical formula blend achieves R2 = 0.9963, explaining 99.63% of real-world TLC variance. This dual-engine approach consistently outperforms any single ML model alone across diverse patient demographics and smoking histories.</w:t>
      </w:r>
    </w:p>
    <w:p>
      <w:pPr>
        <w:spacing w:before="160" w:after="40"/>
      </w:pPr>
      <w:r>
        <w:rPr>
          <w:b/>
          <w:color w:val="1E293B"/>
          <w:sz w:val="24"/>
        </w:rPr>
        <w:t xml:space="preserve">   Medically Grounded with Clinical Overrides</w:t>
      </w:r>
    </w:p>
    <w:p>
      <w:pPr>
        <w:spacing w:before="60" w:after="100"/>
      </w:pPr>
      <w:r>
        <w:rPr>
          <w:color w:val="475569"/>
          <w:sz w:val="22"/>
        </w:rPr>
        <w:t>Unlike pure ML black-box systems, embedded medical intelligence includes gender-age stratified TLC reference tables, smoking-status penalties, FVC-based restrictive disease corrections, and physiological safety bounds - making predictions clinically meaningful, not just statistical.</w:t>
      </w:r>
    </w:p>
    <w:p>
      <w:pPr>
        <w:spacing w:before="160" w:after="40"/>
      </w:pPr>
      <w:r>
        <w:rPr>
          <w:b/>
          <w:color w:val="1E293B"/>
          <w:sz w:val="24"/>
        </w:rPr>
        <w:t xml:space="preserve">   Accessible Non-Invasive Screening Tool</w:t>
      </w:r>
    </w:p>
    <w:p>
      <w:pPr>
        <w:spacing w:before="60" w:after="100"/>
      </w:pPr>
      <w:r>
        <w:rPr>
          <w:color w:val="475569"/>
          <w:sz w:val="22"/>
        </w:rPr>
        <w:t>The system only requires standard spirometry and pulse oximetry readings - easily available in any clinic. Patients and clinicians can access it from any browser, making it practical for rural clinics, telemedicine, and resource-constrained healthcare settings worldwide.</w:t>
      </w:r>
    </w:p>
    <w:p>
      <w:pPr>
        <w:spacing w:before="160" w:after="40"/>
      </w:pPr>
      <w:r>
        <w:rPr>
          <w:b/>
          <w:color w:val="1E293B"/>
          <w:sz w:val="24"/>
        </w:rPr>
        <w:t xml:space="preserve">   Real-Time Input Guidance for Non-Experts</w:t>
      </w:r>
    </w:p>
    <w:p>
      <w:pPr>
        <w:spacing w:before="60" w:after="100"/>
      </w:pPr>
      <w:r>
        <w:rPr>
          <w:color w:val="475569"/>
          <w:sz w:val="22"/>
        </w:rPr>
        <w:t>On-screen range popups and live out-of-range warnings guide non-specialist users during data entry. This reduces input errors, educates users about normal clinical values, and improves both data quality and interpretation of the results generated.</w:t>
      </w:r>
    </w:p>
    <w:p>
      <w:pPr>
        <w:spacing w:before="160" w:after="40"/>
      </w:pPr>
      <w:r>
        <w:rPr>
          <w:b/>
          <w:color w:val="1E293B"/>
          <w:sz w:val="24"/>
        </w:rPr>
        <w:t xml:space="preserve">   Comprehensive Actionable Output</w:t>
      </w:r>
    </w:p>
    <w:p>
      <w:pPr>
        <w:spacing w:before="60" w:after="100"/>
      </w:pPr>
      <w:r>
        <w:rPr>
          <w:color w:val="475569"/>
          <w:sz w:val="22"/>
        </w:rPr>
        <w:t>Results deliver far more than a number: a Health Score, risk tier, disease classification, feature importance breakdown, clinical interpretation, personalized doctor recommendation, and a full diet and lifestyle guide - making the report useful for both patients and clinicians.</w:t>
      </w:r>
    </w:p>
    <w:p>
      <w:pPr>
        <w:spacing w:before="160" w:after="40"/>
      </w:pPr>
      <w:r>
        <w:rPr>
          <w:b/>
          <w:color w:val="1E293B"/>
          <w:sz w:val="24"/>
        </w:rPr>
        <w:t xml:space="preserve">   Longitudinal Monitoring and Trend Analysis</w:t>
      </w:r>
    </w:p>
    <w:p>
      <w:pPr>
        <w:spacing w:before="60" w:after="100"/>
      </w:pPr>
      <w:r>
        <w:rPr>
          <w:color w:val="475569"/>
          <w:sz w:val="22"/>
        </w:rPr>
        <w:t>The dashboard tracks all predictions over time, allowing patients and doctors to observe how lung capacity evolves across multiple assessments. Visual trend charts surface deterioration or improvement patterns that a single one-time test cannot reveal.</w:t>
      </w:r>
    </w:p>
    <w:p>
      <w:pPr>
        <w:spacing w:before="160" w:after="40"/>
      </w:pPr>
      <w:r>
        <w:rPr>
          <w:b/>
          <w:color w:val="1E293B"/>
          <w:sz w:val="24"/>
        </w:rPr>
        <w:t xml:space="preserve">   Secure Multi-User Architecture</w:t>
      </w:r>
    </w:p>
    <w:p>
      <w:pPr>
        <w:spacing w:before="60" w:after="100"/>
      </w:pPr>
      <w:r>
        <w:rPr>
          <w:color w:val="475569"/>
          <w:sz w:val="22"/>
        </w:rPr>
        <w:t>Session-based authentication ensures every user sees only their own data. The dual-database design provides full flexibility from development to production cloud deployment with zero code changes - only an environment variable switch is required.</w:t>
      </w:r>
    </w:p>
    <w:p>
      <w:r>
        <w:br w:type="page"/>
      </w:r>
    </w:p>
    <w:p/>
    <w:p>
      <w:pPr>
        <w:spacing w:before="120" w:after="40"/>
      </w:pPr>
      <w:r>
        <w:rPr>
          <w:b/>
          <w:color w:val="1E40AF"/>
          <w:sz w:val="30"/>
        </w:rPr>
        <w:t>5.  INPUT PARAMETERS - CLINICAL RANGES AND REFERENCE VALUES</w:t>
      </w:r>
    </w:p>
    <w:p>
      <w:pPr>
        <w:pBdr>
          <w:bottom w:val="single" w:sz="6" w:space="1" w:color="1E40AF"/>
        </w:pBdr>
        <w:spacing w:before="40" w:after="40"/>
      </w:pPr>
    </w:p>
    <w:p>
      <w:pPr>
        <w:spacing w:before="60" w:after="100"/>
      </w:pPr>
      <w:r>
        <w:rPr>
          <w:color w:val="475569"/>
          <w:sz w:val="22"/>
        </w:rPr>
        <w:t>The prediction form accepts 12 clinical parameters. The table below documents every parameter with its unit, normal range, and what abnormal values indicate clinically. Detailed descriptions follow the table.</w:t>
      </w:r>
    </w:p>
    <w:tbl>
      <w:tblPr>
        <w:tblStyle w:val="TableGrid"/>
        <w:tblW w:type="auto" w:w="0"/>
        <w:tblLayout w:type="fixed"/>
        <w:tblLook w:firstColumn="1" w:firstRow="1" w:lastColumn="0" w:lastRow="0" w:noHBand="0" w:noVBand="1" w:val="04A0"/>
      </w:tblPr>
      <w:tblGrid>
        <w:gridCol w:w="1757"/>
        <w:gridCol w:w="1757"/>
        <w:gridCol w:w="1757"/>
        <w:gridCol w:w="1757"/>
        <w:gridCol w:w="1757"/>
      </w:tblGrid>
      <w:tr>
        <w:tc>
          <w:tcPr>
            <w:tcW w:type="dxa" w:w="1701"/>
            <w:shd w:val="clear" w:color="auto" w:fill="1E40AF"/>
          </w:tcPr>
          <w:p>
            <w:pPr>
              <w:jc w:val="center"/>
            </w:pPr>
            <w:r>
              <w:rPr>
                <w:b/>
                <w:color w:val="FFFFFF"/>
                <w:sz w:val="20"/>
              </w:rPr>
              <w:t>Parameter</w:t>
            </w:r>
          </w:p>
        </w:tc>
        <w:tc>
          <w:tcPr>
            <w:tcW w:type="dxa" w:w="1134"/>
            <w:shd w:val="clear" w:color="auto" w:fill="1E40AF"/>
          </w:tcPr>
          <w:p>
            <w:pPr>
              <w:jc w:val="center"/>
            </w:pPr>
            <w:r>
              <w:rPr>
                <w:b/>
                <w:color w:val="FFFFFF"/>
                <w:sz w:val="20"/>
              </w:rPr>
              <w:t>Unit</w:t>
            </w:r>
          </w:p>
        </w:tc>
        <w:tc>
          <w:tcPr>
            <w:tcW w:type="dxa" w:w="1814"/>
            <w:shd w:val="clear" w:color="auto" w:fill="1E40AF"/>
          </w:tcPr>
          <w:p>
            <w:pPr>
              <w:jc w:val="center"/>
            </w:pPr>
            <w:r>
              <w:rPr>
                <w:b/>
                <w:color w:val="FFFFFF"/>
                <w:sz w:val="20"/>
              </w:rPr>
              <w:t>Normal Range</w:t>
            </w:r>
          </w:p>
        </w:tc>
        <w:tc>
          <w:tcPr>
            <w:tcW w:type="dxa" w:w="2381"/>
            <w:shd w:val="clear" w:color="auto" w:fill="1E40AF"/>
          </w:tcPr>
          <w:p>
            <w:pPr>
              <w:jc w:val="center"/>
            </w:pPr>
            <w:r>
              <w:rPr>
                <w:b/>
                <w:color w:val="FFFFFF"/>
                <w:sz w:val="20"/>
              </w:rPr>
              <w:t>Low Value Indicates</w:t>
            </w:r>
          </w:p>
        </w:tc>
        <w:tc>
          <w:tcPr>
            <w:tcW w:type="dxa" w:w="2381"/>
            <w:shd w:val="clear" w:color="auto" w:fill="1E40AF"/>
          </w:tcPr>
          <w:p>
            <w:pPr>
              <w:jc w:val="center"/>
            </w:pPr>
            <w:r>
              <w:rPr>
                <w:b/>
                <w:color w:val="FFFFFF"/>
                <w:sz w:val="20"/>
              </w:rPr>
              <w:t>High Value Indicates</w:t>
            </w:r>
          </w:p>
        </w:tc>
      </w:tr>
      <w:tr>
        <w:tc>
          <w:tcPr>
            <w:tcW w:type="dxa" w:w="1757"/>
            <w:shd w:val="clear" w:color="auto" w:fill="F1F5F9"/>
          </w:tcPr>
          <w:p>
            <w:r>
              <w:rPr>
                <w:b/>
                <w:color w:val="1E293B"/>
                <w:sz w:val="19"/>
              </w:rPr>
              <w:t>Age</w:t>
            </w:r>
          </w:p>
        </w:tc>
        <w:tc>
          <w:tcPr>
            <w:tcW w:type="dxa" w:w="1757"/>
            <w:shd w:val="clear" w:color="auto" w:fill="F1F5F9"/>
          </w:tcPr>
          <w:p>
            <w:r>
              <w:rPr>
                <w:color w:val="1E293B"/>
                <w:sz w:val="19"/>
              </w:rPr>
              <w:t>Years</w:t>
            </w:r>
          </w:p>
        </w:tc>
        <w:tc>
          <w:tcPr>
            <w:tcW w:type="dxa" w:w="1757"/>
            <w:shd w:val="clear" w:color="auto" w:fill="F1F5F9"/>
          </w:tcPr>
          <w:p>
            <w:r>
              <w:rPr>
                <w:color w:val="1E293B"/>
                <w:sz w:val="19"/>
              </w:rPr>
              <w:t>18 - 80</w:t>
            </w:r>
          </w:p>
        </w:tc>
        <w:tc>
          <w:tcPr>
            <w:tcW w:type="dxa" w:w="1757"/>
            <w:shd w:val="clear" w:color="auto" w:fill="F1F5F9"/>
          </w:tcPr>
          <w:p>
            <w:r>
              <w:rPr>
                <w:color w:val="1E293B"/>
                <w:sz w:val="19"/>
              </w:rPr>
              <w:t>Paediatric (out of scope)</w:t>
            </w:r>
          </w:p>
        </w:tc>
        <w:tc>
          <w:tcPr>
            <w:tcW w:type="dxa" w:w="1757"/>
            <w:shd w:val="clear" w:color="auto" w:fill="F1F5F9"/>
          </w:tcPr>
          <w:p>
            <w:r>
              <w:rPr>
                <w:color w:val="1E293B"/>
                <w:sz w:val="19"/>
              </w:rPr>
              <w:t>Elderly; natural TLC decline expected</w:t>
            </w:r>
          </w:p>
        </w:tc>
      </w:tr>
      <w:tr>
        <w:tc>
          <w:tcPr>
            <w:tcW w:type="dxa" w:w="1757"/>
            <w:shd w:val="clear" w:color="auto" w:fill="FFFFFF"/>
          </w:tcPr>
          <w:p>
            <w:r>
              <w:rPr>
                <w:b/>
                <w:color w:val="1E293B"/>
                <w:sz w:val="19"/>
              </w:rPr>
              <w:t>Height</w:t>
            </w:r>
          </w:p>
        </w:tc>
        <w:tc>
          <w:tcPr>
            <w:tcW w:type="dxa" w:w="1757"/>
            <w:shd w:val="clear" w:color="auto" w:fill="FFFFFF"/>
          </w:tcPr>
          <w:p>
            <w:r>
              <w:rPr>
                <w:color w:val="1E293B"/>
                <w:sz w:val="19"/>
              </w:rPr>
              <w:t>cm</w:t>
            </w:r>
          </w:p>
        </w:tc>
        <w:tc>
          <w:tcPr>
            <w:tcW w:type="dxa" w:w="1757"/>
            <w:shd w:val="clear" w:color="auto" w:fill="FFFFFF"/>
          </w:tcPr>
          <w:p>
            <w:r>
              <w:rPr>
                <w:color w:val="1E293B"/>
                <w:sz w:val="19"/>
              </w:rPr>
              <w:t>140 - 210</w:t>
            </w:r>
          </w:p>
        </w:tc>
        <w:tc>
          <w:tcPr>
            <w:tcW w:type="dxa" w:w="1757"/>
            <w:shd w:val="clear" w:color="auto" w:fill="FFFFFF"/>
          </w:tcPr>
          <w:p>
            <w:r>
              <w:rPr>
                <w:color w:val="1E293B"/>
                <w:sz w:val="19"/>
              </w:rPr>
              <w:t>Short stature; lower TLC expected</w:t>
            </w:r>
          </w:p>
        </w:tc>
        <w:tc>
          <w:tcPr>
            <w:tcW w:type="dxa" w:w="1757"/>
            <w:shd w:val="clear" w:color="auto" w:fill="FFFFFF"/>
          </w:tcPr>
          <w:p>
            <w:r>
              <w:rPr>
                <w:color w:val="1E293B"/>
                <w:sz w:val="19"/>
              </w:rPr>
              <w:t>Tall stature; higher TLC expected</w:t>
            </w:r>
          </w:p>
        </w:tc>
      </w:tr>
      <w:tr>
        <w:tc>
          <w:tcPr>
            <w:tcW w:type="dxa" w:w="1757"/>
            <w:shd w:val="clear" w:color="auto" w:fill="F1F5F9"/>
          </w:tcPr>
          <w:p>
            <w:r>
              <w:rPr>
                <w:b/>
                <w:color w:val="1E293B"/>
                <w:sz w:val="19"/>
              </w:rPr>
              <w:t>Weight</w:t>
            </w:r>
          </w:p>
        </w:tc>
        <w:tc>
          <w:tcPr>
            <w:tcW w:type="dxa" w:w="1757"/>
            <w:shd w:val="clear" w:color="auto" w:fill="F1F5F9"/>
          </w:tcPr>
          <w:p>
            <w:r>
              <w:rPr>
                <w:color w:val="1E293B"/>
                <w:sz w:val="19"/>
              </w:rPr>
              <w:t>kg</w:t>
            </w:r>
          </w:p>
        </w:tc>
        <w:tc>
          <w:tcPr>
            <w:tcW w:type="dxa" w:w="1757"/>
            <w:shd w:val="clear" w:color="auto" w:fill="F1F5F9"/>
          </w:tcPr>
          <w:p>
            <w:r>
              <w:rPr>
                <w:color w:val="1E293B"/>
                <w:sz w:val="19"/>
              </w:rPr>
              <w:t>40 - 150</w:t>
            </w:r>
          </w:p>
        </w:tc>
        <w:tc>
          <w:tcPr>
            <w:tcW w:type="dxa" w:w="1757"/>
            <w:shd w:val="clear" w:color="auto" w:fill="F1F5F9"/>
          </w:tcPr>
          <w:p>
            <w:r>
              <w:rPr>
                <w:color w:val="1E293B"/>
                <w:sz w:val="19"/>
              </w:rPr>
              <w:t>Undernutrition; muscle loss</w:t>
            </w:r>
          </w:p>
        </w:tc>
        <w:tc>
          <w:tcPr>
            <w:tcW w:type="dxa" w:w="1757"/>
            <w:shd w:val="clear" w:color="auto" w:fill="F1F5F9"/>
          </w:tcPr>
          <w:p>
            <w:r>
              <w:rPr>
                <w:color w:val="1E293B"/>
                <w:sz w:val="19"/>
              </w:rPr>
              <w:t>Obesity; may reduce lung volumes</w:t>
            </w:r>
          </w:p>
        </w:tc>
      </w:tr>
      <w:tr>
        <w:tc>
          <w:tcPr>
            <w:tcW w:type="dxa" w:w="1757"/>
            <w:shd w:val="clear" w:color="auto" w:fill="FFFFFF"/>
          </w:tcPr>
          <w:p>
            <w:r>
              <w:rPr>
                <w:b/>
                <w:color w:val="1E293B"/>
                <w:sz w:val="19"/>
              </w:rPr>
              <w:t>FEV1</w:t>
            </w:r>
          </w:p>
        </w:tc>
        <w:tc>
          <w:tcPr>
            <w:tcW w:type="dxa" w:w="1757"/>
            <w:shd w:val="clear" w:color="auto" w:fill="FFFFFF"/>
          </w:tcPr>
          <w:p>
            <w:r>
              <w:rPr>
                <w:color w:val="1E293B"/>
                <w:sz w:val="19"/>
              </w:rPr>
              <w:t>Litres</w:t>
            </w:r>
          </w:p>
        </w:tc>
        <w:tc>
          <w:tcPr>
            <w:tcW w:type="dxa" w:w="1757"/>
            <w:shd w:val="clear" w:color="auto" w:fill="FFFFFF"/>
          </w:tcPr>
          <w:p>
            <w:r>
              <w:rPr>
                <w:color w:val="1E293B"/>
                <w:sz w:val="19"/>
              </w:rPr>
              <w:t>M: 3.5-5.0  F: 2.5-4.0</w:t>
            </w:r>
          </w:p>
        </w:tc>
        <w:tc>
          <w:tcPr>
            <w:tcW w:type="dxa" w:w="1757"/>
            <w:shd w:val="clear" w:color="auto" w:fill="FFFFFF"/>
          </w:tcPr>
          <w:p>
            <w:r>
              <w:rPr>
                <w:color w:val="1E293B"/>
                <w:sz w:val="19"/>
              </w:rPr>
              <w:t>Airflow obstruction (COPD, Asthma)</w:t>
            </w:r>
          </w:p>
        </w:tc>
        <w:tc>
          <w:tcPr>
            <w:tcW w:type="dxa" w:w="1757"/>
            <w:shd w:val="clear" w:color="auto" w:fill="FFFFFF"/>
          </w:tcPr>
          <w:p>
            <w:r>
              <w:rPr>
                <w:color w:val="1E293B"/>
                <w:sz w:val="19"/>
              </w:rPr>
              <w:t>Excellent lung airway function</w:t>
            </w:r>
          </w:p>
        </w:tc>
      </w:tr>
      <w:tr>
        <w:tc>
          <w:tcPr>
            <w:tcW w:type="dxa" w:w="1757"/>
            <w:shd w:val="clear" w:color="auto" w:fill="F1F5F9"/>
          </w:tcPr>
          <w:p>
            <w:r>
              <w:rPr>
                <w:b/>
                <w:color w:val="1E293B"/>
                <w:sz w:val="19"/>
              </w:rPr>
              <w:t>FVC</w:t>
            </w:r>
          </w:p>
        </w:tc>
        <w:tc>
          <w:tcPr>
            <w:tcW w:type="dxa" w:w="1757"/>
            <w:shd w:val="clear" w:color="auto" w:fill="F1F5F9"/>
          </w:tcPr>
          <w:p>
            <w:r>
              <w:rPr>
                <w:color w:val="1E293B"/>
                <w:sz w:val="19"/>
              </w:rPr>
              <w:t>Litres</w:t>
            </w:r>
          </w:p>
        </w:tc>
        <w:tc>
          <w:tcPr>
            <w:tcW w:type="dxa" w:w="1757"/>
            <w:shd w:val="clear" w:color="auto" w:fill="F1F5F9"/>
          </w:tcPr>
          <w:p>
            <w:r>
              <w:rPr>
                <w:color w:val="1E293B"/>
                <w:sz w:val="19"/>
              </w:rPr>
              <w:t>M: 4.5-6.0  F: 3.0-4.5</w:t>
            </w:r>
          </w:p>
        </w:tc>
        <w:tc>
          <w:tcPr>
            <w:tcW w:type="dxa" w:w="1757"/>
            <w:shd w:val="clear" w:color="auto" w:fill="F1F5F9"/>
          </w:tcPr>
          <w:p>
            <w:r>
              <w:rPr>
                <w:color w:val="1E293B"/>
                <w:sz w:val="19"/>
              </w:rPr>
              <w:t>Restrictive lung disease</w:t>
            </w:r>
          </w:p>
        </w:tc>
        <w:tc>
          <w:tcPr>
            <w:tcW w:type="dxa" w:w="1757"/>
            <w:shd w:val="clear" w:color="auto" w:fill="F1F5F9"/>
          </w:tcPr>
          <w:p>
            <w:r>
              <w:rPr>
                <w:color w:val="1E293B"/>
                <w:sz w:val="19"/>
              </w:rPr>
              <w:t>Superior respiratory capacity</w:t>
            </w:r>
          </w:p>
        </w:tc>
      </w:tr>
      <w:tr>
        <w:tc>
          <w:tcPr>
            <w:tcW w:type="dxa" w:w="1757"/>
            <w:shd w:val="clear" w:color="auto" w:fill="FFFFFF"/>
          </w:tcPr>
          <w:p>
            <w:r>
              <w:rPr>
                <w:b/>
                <w:color w:val="1E293B"/>
                <w:sz w:val="19"/>
              </w:rPr>
              <w:t>FEV1/FVC Ratio</w:t>
            </w:r>
          </w:p>
        </w:tc>
        <w:tc>
          <w:tcPr>
            <w:tcW w:type="dxa" w:w="1757"/>
            <w:shd w:val="clear" w:color="auto" w:fill="FFFFFF"/>
          </w:tcPr>
          <w:p>
            <w:r>
              <w:rPr>
                <w:color w:val="1E293B"/>
                <w:sz w:val="19"/>
              </w:rPr>
              <w:t>Ratio</w:t>
            </w:r>
          </w:p>
        </w:tc>
        <w:tc>
          <w:tcPr>
            <w:tcW w:type="dxa" w:w="1757"/>
            <w:shd w:val="clear" w:color="auto" w:fill="FFFFFF"/>
          </w:tcPr>
          <w:p>
            <w:r>
              <w:rPr>
                <w:color w:val="1E293B"/>
                <w:sz w:val="19"/>
              </w:rPr>
              <w:t>0.70 - 0.85</w:t>
            </w:r>
          </w:p>
        </w:tc>
        <w:tc>
          <w:tcPr>
            <w:tcW w:type="dxa" w:w="1757"/>
            <w:shd w:val="clear" w:color="auto" w:fill="FFFFFF"/>
          </w:tcPr>
          <w:p>
            <w:r>
              <w:rPr>
                <w:color w:val="1E293B"/>
                <w:sz w:val="19"/>
              </w:rPr>
              <w:t>Obstructive disease (&lt; 0.70)</w:t>
            </w:r>
          </w:p>
        </w:tc>
        <w:tc>
          <w:tcPr>
            <w:tcW w:type="dxa" w:w="1757"/>
            <w:shd w:val="clear" w:color="auto" w:fill="FFFFFF"/>
          </w:tcPr>
          <w:p>
            <w:r>
              <w:rPr>
                <w:color w:val="1E293B"/>
                <w:sz w:val="19"/>
              </w:rPr>
              <w:t>Restrictive pattern (&gt; 0.85)</w:t>
            </w:r>
          </w:p>
        </w:tc>
      </w:tr>
      <w:tr>
        <w:tc>
          <w:tcPr>
            <w:tcW w:type="dxa" w:w="1757"/>
            <w:shd w:val="clear" w:color="auto" w:fill="F1F5F9"/>
          </w:tcPr>
          <w:p>
            <w:r>
              <w:rPr>
                <w:b/>
                <w:color w:val="1E293B"/>
                <w:sz w:val="19"/>
              </w:rPr>
              <w:t>SpO2</w:t>
            </w:r>
          </w:p>
        </w:tc>
        <w:tc>
          <w:tcPr>
            <w:tcW w:type="dxa" w:w="1757"/>
            <w:shd w:val="clear" w:color="auto" w:fill="F1F5F9"/>
          </w:tcPr>
          <w:p>
            <w:r>
              <w:rPr>
                <w:color w:val="1E293B"/>
                <w:sz w:val="19"/>
              </w:rPr>
              <w:t>%</w:t>
            </w:r>
          </w:p>
        </w:tc>
        <w:tc>
          <w:tcPr>
            <w:tcW w:type="dxa" w:w="1757"/>
            <w:shd w:val="clear" w:color="auto" w:fill="F1F5F9"/>
          </w:tcPr>
          <w:p>
            <w:r>
              <w:rPr>
                <w:color w:val="1E293B"/>
                <w:sz w:val="19"/>
              </w:rPr>
              <w:t>95 - 100</w:t>
            </w:r>
          </w:p>
        </w:tc>
        <w:tc>
          <w:tcPr>
            <w:tcW w:type="dxa" w:w="1757"/>
            <w:shd w:val="clear" w:color="auto" w:fill="F1F5F9"/>
          </w:tcPr>
          <w:p>
            <w:r>
              <w:rPr>
                <w:color w:val="1E293B"/>
                <w:sz w:val="19"/>
              </w:rPr>
              <w:t>Hypoxemia; respiratory failure risk</w:t>
            </w:r>
          </w:p>
        </w:tc>
        <w:tc>
          <w:tcPr>
            <w:tcW w:type="dxa" w:w="1757"/>
            <w:shd w:val="clear" w:color="auto" w:fill="F1F5F9"/>
          </w:tcPr>
          <w:p>
            <w:r>
              <w:rPr>
                <w:color w:val="1E293B"/>
                <w:sz w:val="19"/>
              </w:rPr>
              <w:t>Normal / hyperoxia (O2 therapy)</w:t>
            </w:r>
          </w:p>
        </w:tc>
      </w:tr>
      <w:tr>
        <w:tc>
          <w:tcPr>
            <w:tcW w:type="dxa" w:w="1757"/>
            <w:shd w:val="clear" w:color="auto" w:fill="FFFFFF"/>
          </w:tcPr>
          <w:p>
            <w:r>
              <w:rPr>
                <w:b/>
                <w:color w:val="1E293B"/>
                <w:sz w:val="19"/>
              </w:rPr>
              <w:t>PCO2</w:t>
            </w:r>
          </w:p>
        </w:tc>
        <w:tc>
          <w:tcPr>
            <w:tcW w:type="dxa" w:w="1757"/>
            <w:shd w:val="clear" w:color="auto" w:fill="FFFFFF"/>
          </w:tcPr>
          <w:p>
            <w:r>
              <w:rPr>
                <w:color w:val="1E293B"/>
                <w:sz w:val="19"/>
              </w:rPr>
              <w:t>mmHg</w:t>
            </w:r>
          </w:p>
        </w:tc>
        <w:tc>
          <w:tcPr>
            <w:tcW w:type="dxa" w:w="1757"/>
            <w:shd w:val="clear" w:color="auto" w:fill="FFFFFF"/>
          </w:tcPr>
          <w:p>
            <w:r>
              <w:rPr>
                <w:color w:val="1E293B"/>
                <w:sz w:val="19"/>
              </w:rPr>
              <w:t>35 - 45</w:t>
            </w:r>
          </w:p>
        </w:tc>
        <w:tc>
          <w:tcPr>
            <w:tcW w:type="dxa" w:w="1757"/>
            <w:shd w:val="clear" w:color="auto" w:fill="FFFFFF"/>
          </w:tcPr>
          <w:p>
            <w:r>
              <w:rPr>
                <w:color w:val="1E293B"/>
                <w:sz w:val="19"/>
              </w:rPr>
              <w:t>Hyperventilation / respiratory alkalosis</w:t>
            </w:r>
          </w:p>
        </w:tc>
        <w:tc>
          <w:tcPr>
            <w:tcW w:type="dxa" w:w="1757"/>
            <w:shd w:val="clear" w:color="auto" w:fill="FFFFFF"/>
          </w:tcPr>
          <w:p>
            <w:r>
              <w:rPr>
                <w:color w:val="1E293B"/>
                <w:sz w:val="19"/>
              </w:rPr>
              <w:t>Hypoventilation / CO2 retention</w:t>
            </w:r>
          </w:p>
        </w:tc>
      </w:tr>
      <w:tr>
        <w:tc>
          <w:tcPr>
            <w:tcW w:type="dxa" w:w="1757"/>
            <w:shd w:val="clear" w:color="auto" w:fill="F1F5F9"/>
          </w:tcPr>
          <w:p>
            <w:r>
              <w:rPr>
                <w:b/>
                <w:color w:val="1E293B"/>
                <w:sz w:val="19"/>
              </w:rPr>
              <w:t>PEF</w:t>
            </w:r>
          </w:p>
        </w:tc>
        <w:tc>
          <w:tcPr>
            <w:tcW w:type="dxa" w:w="1757"/>
            <w:shd w:val="clear" w:color="auto" w:fill="F1F5F9"/>
          </w:tcPr>
          <w:p>
            <w:r>
              <w:rPr>
                <w:color w:val="1E293B"/>
                <w:sz w:val="19"/>
              </w:rPr>
              <w:t>L/min</w:t>
            </w:r>
          </w:p>
        </w:tc>
        <w:tc>
          <w:tcPr>
            <w:tcW w:type="dxa" w:w="1757"/>
            <w:shd w:val="clear" w:color="auto" w:fill="F1F5F9"/>
          </w:tcPr>
          <w:p>
            <w:r>
              <w:rPr>
                <w:color w:val="1E293B"/>
                <w:sz w:val="19"/>
              </w:rPr>
              <w:t>M: 400-700  F: 300-500</w:t>
            </w:r>
          </w:p>
        </w:tc>
        <w:tc>
          <w:tcPr>
            <w:tcW w:type="dxa" w:w="1757"/>
            <w:shd w:val="clear" w:color="auto" w:fill="F1F5F9"/>
          </w:tcPr>
          <w:p>
            <w:r>
              <w:rPr>
                <w:color w:val="1E293B"/>
                <w:sz w:val="19"/>
              </w:rPr>
              <w:t>Airway obstruction; asthma indicator</w:t>
            </w:r>
          </w:p>
        </w:tc>
        <w:tc>
          <w:tcPr>
            <w:tcW w:type="dxa" w:w="1757"/>
            <w:shd w:val="clear" w:color="auto" w:fill="F1F5F9"/>
          </w:tcPr>
          <w:p>
            <w:r>
              <w:rPr>
                <w:color w:val="1E293B"/>
                <w:sz w:val="19"/>
              </w:rPr>
              <w:t>Excellent expiratory capacity</w:t>
            </w:r>
          </w:p>
        </w:tc>
      </w:tr>
      <w:tr>
        <w:tc>
          <w:tcPr>
            <w:tcW w:type="dxa" w:w="1757"/>
            <w:shd w:val="clear" w:color="auto" w:fill="FFFFFF"/>
          </w:tcPr>
          <w:p>
            <w:r>
              <w:rPr>
                <w:b/>
                <w:color w:val="1E293B"/>
                <w:sz w:val="19"/>
              </w:rPr>
              <w:t>Estimated RV</w:t>
            </w:r>
          </w:p>
        </w:tc>
        <w:tc>
          <w:tcPr>
            <w:tcW w:type="dxa" w:w="1757"/>
            <w:shd w:val="clear" w:color="auto" w:fill="FFFFFF"/>
          </w:tcPr>
          <w:p>
            <w:r>
              <w:rPr>
                <w:color w:val="1E293B"/>
                <w:sz w:val="19"/>
              </w:rPr>
              <w:t>Litres</w:t>
            </w:r>
          </w:p>
        </w:tc>
        <w:tc>
          <w:tcPr>
            <w:tcW w:type="dxa" w:w="1757"/>
            <w:shd w:val="clear" w:color="auto" w:fill="FFFFFF"/>
          </w:tcPr>
          <w:p>
            <w:r>
              <w:rPr>
                <w:color w:val="1E293B"/>
                <w:sz w:val="19"/>
              </w:rPr>
              <w:t>1.0 - 2.5</w:t>
            </w:r>
          </w:p>
        </w:tc>
        <w:tc>
          <w:tcPr>
            <w:tcW w:type="dxa" w:w="1757"/>
            <w:shd w:val="clear" w:color="auto" w:fill="FFFFFF"/>
          </w:tcPr>
          <w:p>
            <w:r>
              <w:rPr>
                <w:color w:val="1E293B"/>
                <w:sz w:val="19"/>
              </w:rPr>
              <w:t>Loss of lung volume (restrictive)</w:t>
            </w:r>
          </w:p>
        </w:tc>
        <w:tc>
          <w:tcPr>
            <w:tcW w:type="dxa" w:w="1757"/>
            <w:shd w:val="clear" w:color="auto" w:fill="FFFFFF"/>
          </w:tcPr>
          <w:p>
            <w:r>
              <w:rPr>
                <w:color w:val="1E293B"/>
                <w:sz w:val="19"/>
              </w:rPr>
              <w:t>Air trapping (obstructive disease)</w:t>
            </w:r>
          </w:p>
        </w:tc>
      </w:tr>
      <w:tr>
        <w:tc>
          <w:tcPr>
            <w:tcW w:type="dxa" w:w="1757"/>
            <w:shd w:val="clear" w:color="auto" w:fill="F1F5F9"/>
          </w:tcPr>
          <w:p>
            <w:r>
              <w:rPr>
                <w:b/>
                <w:color w:val="1E293B"/>
                <w:sz w:val="19"/>
              </w:rPr>
              <w:t>Gender</w:t>
            </w:r>
          </w:p>
        </w:tc>
        <w:tc>
          <w:tcPr>
            <w:tcW w:type="dxa" w:w="1757"/>
            <w:shd w:val="clear" w:color="auto" w:fill="F1F5F9"/>
          </w:tcPr>
          <w:p>
            <w:r>
              <w:rPr>
                <w:color w:val="1E293B"/>
                <w:sz w:val="19"/>
              </w:rPr>
              <w:t>--</w:t>
            </w:r>
          </w:p>
        </w:tc>
        <w:tc>
          <w:tcPr>
            <w:tcW w:type="dxa" w:w="1757"/>
            <w:shd w:val="clear" w:color="auto" w:fill="F1F5F9"/>
          </w:tcPr>
          <w:p>
            <w:r>
              <w:rPr>
                <w:color w:val="1E293B"/>
                <w:sz w:val="19"/>
              </w:rPr>
              <w:t>Male / Female</w:t>
            </w:r>
          </w:p>
        </w:tc>
        <w:tc>
          <w:tcPr>
            <w:tcW w:type="dxa" w:w="1757"/>
            <w:shd w:val="clear" w:color="auto" w:fill="F1F5F9"/>
          </w:tcPr>
          <w:p>
            <w:r>
              <w:rPr>
                <w:color w:val="1E293B"/>
                <w:sz w:val="19"/>
              </w:rPr>
              <w:t>--</w:t>
            </w:r>
          </w:p>
        </w:tc>
        <w:tc>
          <w:tcPr>
            <w:tcW w:type="dxa" w:w="1757"/>
            <w:shd w:val="clear" w:color="auto" w:fill="F1F5F9"/>
          </w:tcPr>
          <w:p>
            <w:r>
              <w:rPr>
                <w:color w:val="1E293B"/>
                <w:sz w:val="19"/>
              </w:rPr>
              <w:t>--</w:t>
            </w:r>
          </w:p>
        </w:tc>
      </w:tr>
      <w:tr>
        <w:tc>
          <w:tcPr>
            <w:tcW w:type="dxa" w:w="1757"/>
            <w:shd w:val="clear" w:color="auto" w:fill="FFFFFF"/>
          </w:tcPr>
          <w:p>
            <w:r>
              <w:rPr>
                <w:b/>
                <w:color w:val="1E293B"/>
                <w:sz w:val="19"/>
              </w:rPr>
              <w:t>Smoking Status</w:t>
            </w:r>
          </w:p>
        </w:tc>
        <w:tc>
          <w:tcPr>
            <w:tcW w:type="dxa" w:w="1757"/>
            <w:shd w:val="clear" w:color="auto" w:fill="FFFFFF"/>
          </w:tcPr>
          <w:p>
            <w:r>
              <w:rPr>
                <w:color w:val="1E293B"/>
                <w:sz w:val="19"/>
              </w:rPr>
              <w:t>--</w:t>
            </w:r>
          </w:p>
        </w:tc>
        <w:tc>
          <w:tcPr>
            <w:tcW w:type="dxa" w:w="1757"/>
            <w:shd w:val="clear" w:color="auto" w:fill="FFFFFF"/>
          </w:tcPr>
          <w:p>
            <w:r>
              <w:rPr>
                <w:color w:val="1E293B"/>
                <w:sz w:val="19"/>
              </w:rPr>
              <w:t>Never / Former / Current</w:t>
            </w:r>
          </w:p>
        </w:tc>
        <w:tc>
          <w:tcPr>
            <w:tcW w:type="dxa" w:w="1757"/>
            <w:shd w:val="clear" w:color="auto" w:fill="FFFFFF"/>
          </w:tcPr>
          <w:p>
            <w:r>
              <w:rPr>
                <w:color w:val="1E293B"/>
                <w:sz w:val="19"/>
              </w:rPr>
              <w:t>Never = highest TLC expected</w:t>
            </w:r>
          </w:p>
        </w:tc>
        <w:tc>
          <w:tcPr>
            <w:tcW w:type="dxa" w:w="1757"/>
            <w:shd w:val="clear" w:color="auto" w:fill="FFFFFF"/>
          </w:tcPr>
          <w:p>
            <w:r>
              <w:rPr>
                <w:color w:val="1E293B"/>
                <w:sz w:val="19"/>
              </w:rPr>
              <w:t>Current = lowest TLC expected</w:t>
            </w:r>
          </w:p>
        </w:tc>
      </w:tr>
    </w:tbl>
    <w:p/>
    <w:p>
      <w:pPr>
        <w:spacing w:before="160" w:after="40"/>
      </w:pPr>
      <w:r>
        <w:rPr>
          <w:b/>
          <w:color w:val="1E293B"/>
          <w:sz w:val="24"/>
        </w:rPr>
        <w:t xml:space="preserve">   Detailed Parameter Descriptions</w:t>
      </w:r>
    </w:p>
    <w:p>
      <w:pPr>
        <w:spacing w:before="160" w:after="40"/>
      </w:pPr>
      <w:r>
        <w:rPr>
          <w:b/>
          <w:color w:val="1E293B"/>
          <w:sz w:val="24"/>
        </w:rPr>
        <w:t xml:space="preserve">   1. Age (18-80 Years)</w:t>
      </w:r>
    </w:p>
    <w:p>
      <w:pPr>
        <w:spacing w:before="60" w:after="100"/>
      </w:pPr>
      <w:r>
        <w:rPr>
          <w:color w:val="475569"/>
          <w:sz w:val="22"/>
        </w:rPr>
        <w:t>Age directly influences TLC because lung elasticity naturally declines over time. The system uses age to determine the correct bracket (20-30, 30-50, 50-70, 70+) and retrieves the gender-specific ideal TLC reference for that group. Ages below 18 or above 80 fall outside the reliable training range of the model.</w:t>
      </w:r>
    </w:p>
    <w:p>
      <w:pPr>
        <w:spacing w:before="160" w:after="40"/>
      </w:pPr>
      <w:r>
        <w:rPr>
          <w:b/>
          <w:color w:val="1E293B"/>
          <w:sz w:val="24"/>
        </w:rPr>
        <w:t xml:space="preserve">   2. Height (140-210 cm)</w:t>
      </w:r>
    </w:p>
    <w:p>
      <w:pPr>
        <w:spacing w:before="60" w:after="100"/>
      </w:pPr>
      <w:r>
        <w:rPr>
          <w:color w:val="475569"/>
          <w:sz w:val="22"/>
        </w:rPr>
        <w:t>Height is strongly correlated with lung size. Taller individuals have larger thoracic cavities and greater total lung volumes. It is one of the primary determinants of predicted TLC in all clinical spirometry prediction equations and is weighted heavily in the models.</w:t>
      </w:r>
    </w:p>
    <w:p>
      <w:pPr>
        <w:spacing w:before="160" w:after="40"/>
      </w:pPr>
      <w:r>
        <w:rPr>
          <w:b/>
          <w:color w:val="1E293B"/>
          <w:sz w:val="24"/>
        </w:rPr>
        <w:t xml:space="preserve">   3. Weight (40-150 kg)</w:t>
      </w:r>
    </w:p>
    <w:p>
      <w:pPr>
        <w:spacing w:before="60" w:after="100"/>
      </w:pPr>
      <w:r>
        <w:rPr>
          <w:color w:val="475569"/>
          <w:sz w:val="22"/>
        </w:rPr>
        <w:t>Body weight affects lung mechanics. Obesity increases intra-abdominal pressure, reducing FRC and TLC. Underweight patients may have reduced respiratory muscle support. Weight helps the model capture body-composition-related lung volume variations.</w:t>
      </w:r>
    </w:p>
    <w:p>
      <w:pPr>
        <w:spacing w:before="160" w:after="40"/>
      </w:pPr>
      <w:r>
        <w:rPr>
          <w:b/>
          <w:color w:val="1E293B"/>
          <w:sz w:val="24"/>
        </w:rPr>
        <w:t xml:space="preserve">   4. FEV1 - Forced Expiratory Volume in 1 Second (M: 3.5-5.0 L, F: 2.5-4.0 L)</w:t>
      </w:r>
    </w:p>
    <w:p>
      <w:pPr>
        <w:spacing w:before="60" w:after="100"/>
      </w:pPr>
      <w:r>
        <w:rPr>
          <w:color w:val="475569"/>
          <w:sz w:val="22"/>
        </w:rPr>
        <w:t>FEV1 measures air forcefully exhaled in one second. It is the most clinically significant spirometry parameter. Low FEV1 signals airway obstruction (COPD, Asthma) or restrictive disease. It is consistently among the top feature importance contributors. Normal values differ significantly between males and females.</w:t>
      </w:r>
    </w:p>
    <w:p>
      <w:pPr>
        <w:spacing w:before="160" w:after="40"/>
      </w:pPr>
      <w:r>
        <w:rPr>
          <w:b/>
          <w:color w:val="1E293B"/>
          <w:sz w:val="24"/>
        </w:rPr>
        <w:t xml:space="preserve">   5. FVC - Forced Vital Capacity (M: 4.5-6.0 L, F: 3.0-4.5 L)</w:t>
      </w:r>
    </w:p>
    <w:p>
      <w:pPr>
        <w:spacing w:before="60" w:after="100"/>
      </w:pPr>
      <w:r>
        <w:rPr>
          <w:color w:val="475569"/>
          <w:sz w:val="22"/>
        </w:rPr>
        <w:t>FVC is the total air exhaled forcefully after maximum inhalation. It is directly used in the clinical TLC formula (TLC = FVC + RV). A reduced FVC below 80% of the 4.5L reference triggers the restrictive disease override in the prediction engine, capping TLC to reflect physiological reality.</w:t>
      </w:r>
    </w:p>
    <w:p>
      <w:pPr>
        <w:spacing w:before="160" w:after="40"/>
      </w:pPr>
      <w:r>
        <w:rPr>
          <w:b/>
          <w:color w:val="1E293B"/>
          <w:sz w:val="24"/>
        </w:rPr>
        <w:t xml:space="preserve">   6. FEV1/FVC Ratio (0.70-0.85)</w:t>
      </w:r>
    </w:p>
    <w:p>
      <w:pPr>
        <w:spacing w:before="60" w:after="100"/>
      </w:pPr>
      <w:r>
        <w:rPr>
          <w:color w:val="475569"/>
          <w:sz w:val="22"/>
        </w:rPr>
        <w:t>This ratio is the key discriminator between obstructive and restrictive disease. Below 0.70 indicates airflow obstruction (COPD, Asthma). Above 0.85 with reduced FVC suggests restriction where lungs cannot fully expand. Normal adults range from 0.75-0.80. This is a critical diagnostic feature in the model.</w:t>
      </w:r>
    </w:p>
    <w:p>
      <w:pPr>
        <w:spacing w:before="160" w:after="40"/>
      </w:pPr>
      <w:r>
        <w:rPr>
          <w:b/>
          <w:color w:val="1E293B"/>
          <w:sz w:val="24"/>
        </w:rPr>
        <w:t xml:space="preserve">   7. SpO2 - Oxygen Saturation (95-100%)</w:t>
      </w:r>
    </w:p>
    <w:p>
      <w:pPr>
        <w:spacing w:before="60" w:after="100"/>
      </w:pPr>
      <w:r>
        <w:rPr>
          <w:color w:val="475569"/>
          <w:sz w:val="22"/>
        </w:rPr>
        <w:t>SpO2 measures the percentage of haemoglobin carrying oxygen, measured by pulse oximeter. Below 95% indicates hypoxemia and insufficient oxygen delivery correlating with reduced lung function. The system warns users live if SpO2 drops below 95%. Healthy individuals at rest should read 97-100%.</w:t>
      </w:r>
    </w:p>
    <w:p>
      <w:pPr>
        <w:spacing w:before="160" w:after="40"/>
      </w:pPr>
      <w:r>
        <w:rPr>
          <w:b/>
          <w:color w:val="1E293B"/>
          <w:sz w:val="24"/>
        </w:rPr>
        <w:t xml:space="preserve">   8. PCO2 - Carbon Dioxide Pressure (35-45 mmHg)</w:t>
      </w:r>
    </w:p>
    <w:p>
      <w:pPr>
        <w:spacing w:before="60" w:after="100"/>
      </w:pPr>
      <w:r>
        <w:rPr>
          <w:color w:val="475569"/>
          <w:sz w:val="22"/>
        </w:rPr>
        <w:t>PCO2 reflects the efficiency of CO2 removal by the lungs. Elevated PCO2 above 45 mmHg means hypoventilation - the lungs are not expelling enough CO2, commonly seen in COPD and respiratory failure. Low PCO2 indicates hyperventilation. The system flags values outside 35-45 as abnormal.</w:t>
      </w:r>
    </w:p>
    <w:p>
      <w:pPr>
        <w:spacing w:before="160" w:after="40"/>
      </w:pPr>
      <w:r>
        <w:rPr>
          <w:b/>
          <w:color w:val="1E293B"/>
          <w:sz w:val="24"/>
        </w:rPr>
        <w:t xml:space="preserve">   9. PEF - Peak Expiratory Flow (M: 400-700, F: 300-500 L/min)</w:t>
      </w:r>
    </w:p>
    <w:p>
      <w:pPr>
        <w:spacing w:before="60" w:after="100"/>
      </w:pPr>
      <w:r>
        <w:rPr>
          <w:color w:val="475569"/>
          <w:sz w:val="22"/>
        </w:rPr>
        <w:t>PEF measures the maximum speed of expiration, reflecting large airway patency. Reduced PEF is a key indicator of asthma and obstructive airway disease. It varies by time of day and is an important asthma management metric. Large gender differences exist due to physiological thoracic size differences.</w:t>
      </w:r>
    </w:p>
    <w:p>
      <w:pPr>
        <w:spacing w:before="160" w:after="40"/>
      </w:pPr>
      <w:r>
        <w:rPr>
          <w:b/>
          <w:color w:val="1E293B"/>
          <w:sz w:val="24"/>
        </w:rPr>
        <w:t xml:space="preserve">   10. Estimated Residual Volume - RV (1.0-2.5 Litres)</w:t>
      </w:r>
    </w:p>
    <w:p>
      <w:pPr>
        <w:spacing w:before="60" w:after="100"/>
      </w:pPr>
      <w:r>
        <w:rPr>
          <w:color w:val="475569"/>
          <w:sz w:val="22"/>
        </w:rPr>
        <w:t>RV is the air remaining in lungs after maximum exhalation. It is directly used in the clinical formula TLC = FVC + RV - making it critically important for accuracy. In obstructive diseases like emphysema, RV increases due to air trapping. In restrictive diseases, RV decreases. This is one of the most impactful inputs.</w:t>
      </w:r>
    </w:p>
    <w:p>
      <w:pPr>
        <w:spacing w:before="160" w:after="40"/>
      </w:pPr>
      <w:r>
        <w:rPr>
          <w:b/>
          <w:color w:val="1E293B"/>
          <w:sz w:val="24"/>
        </w:rPr>
        <w:t xml:space="preserve">   11. Gender (Male or Female)</w:t>
      </w:r>
    </w:p>
    <w:p>
      <w:pPr>
        <w:spacing w:before="60" w:after="100"/>
      </w:pPr>
      <w:r>
        <w:rPr>
          <w:color w:val="475569"/>
          <w:sz w:val="22"/>
        </w:rPr>
        <w:t>Gender fundamentally determines lung capacity. Male lungs are anatomically larger, resulting in significantly higher TLC values across all age groups. The system maintains separate reference TLC databases for males and females stratified by age. Gender is captured at registration and auto-filled read-only to prevent accidental mismatch.</w:t>
      </w:r>
    </w:p>
    <w:p>
      <w:pPr>
        <w:spacing w:before="160" w:after="40"/>
      </w:pPr>
      <w:r>
        <w:rPr>
          <w:b/>
          <w:color w:val="1E293B"/>
          <w:sz w:val="24"/>
        </w:rPr>
        <w:t xml:space="preserve">   12. Smoking Status (Never / Former / Current)</w:t>
      </w:r>
    </w:p>
    <w:p>
      <w:pPr>
        <w:spacing w:before="60" w:after="100"/>
      </w:pPr>
      <w:r>
        <w:rPr>
          <w:color w:val="475569"/>
          <w:sz w:val="22"/>
        </w:rPr>
        <w:t>Smoking is the single most impactful lifestyle factor on lung health. Current smokers have the lowest TLC due to chronic airway inflammation, loss of elasticity, and alveolar destruction. Former smokers show partial recovery. The system applies reference-based caps: current smoker TLC &lt;= smoker_reference * 1.02 and former smoker TLC &lt;= former_reference * 1.02.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