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SYNTHETIC TRAINING DATA - NOT A REAL TAX DOCUMENT</w:t>
      </w:r>
    </w:p>
    <w:p>
      <w:pPr>
        <w:pStyle w:val="Heading1"/>
      </w:pPr>
      <w:r>
        <w:t>Client Interview Memo - EVG1010 Kim - Tax Year 2025</w:t>
      </w:r>
    </w:p>
    <w:p>
      <w:pPr>
        <w:pStyle w:val="Heading2"/>
      </w:pPr>
      <w:r>
        <w:t>Attendees / date</w:t>
      </w:r>
    </w:p>
    <w:p>
      <w:r>
        <w:t>Grace Kim (client), P. Anand (preparer) - phone, 02/20/2026, 25 min.</w:t>
      </w:r>
    </w:p>
    <w:p>
      <w:pPr>
        <w:pStyle w:val="Heading2"/>
      </w:pPr>
      <w:r>
        <w:t>Topics</w:t>
      </w:r>
    </w:p>
    <w:p>
      <w:pPr>
        <w:pStyle w:val="ListBullet"/>
      </w:pPr>
      <w:r>
        <w:t>Nanny (Maria Lopez): works in clients' home, clients set hours/duties, uses clients' car, paid weekly, no other clients -&gt; common-law employee (household employee) - NOT an independent contractor. Clients issued a 1099-NEC ($28,000).</w:t>
      </w:r>
    </w:p>
    <w:p>
      <w:pPr>
        <w:pStyle w:val="ListBullet"/>
      </w:pPr>
      <w:r>
        <w:t>Need: EIN (SS-4) for household employer, Schedule H, W-2/W-3 for Maria, corrected (zeroed) 1099-NEC, WA ESD registration; 2024 cash wages $6,240 &gt;= 2024 $2,700 threshold -&gt; 2024 Schedule H also required (separate MISC project - amended 2024 return).</w:t>
      </w:r>
    </w:p>
    <w:p>
      <w:pPr>
        <w:pStyle w:val="ListBullet"/>
      </w:pPr>
      <w:r>
        <w:t>Kids: Ethan sold part of his UTMA fund in July -&gt; capital gain. Grace asked for Form 8814 again 'like last year'. Explained 8814 is not available when the child has capital gains from a sale (or wages) -&gt; Ethan must file his own return. Need new client ID + project code for Ethan (EVG1021). Chloe: interest only -&gt; 8814 OK.</w:t>
      </w:r>
    </w:p>
    <w:p>
      <w:pPr>
        <w:pStyle w:val="ListBullet"/>
      </w:pPr>
      <w:r>
        <w:t>WA529 $10,000 paid to Lakeside Hills Academy (K-12 tuition) - qualified; no taxable portion.</w:t>
      </w:r>
    </w:p>
    <w:p>
      <w:pPr>
        <w:pStyle w:val="ListBullet"/>
      </w:pPr>
      <w:r>
        <w:t>No estimated payments. Clients understand balance may be due because nanny taxes were not withheld/paid in 2025.</w:t>
      </w:r>
    </w:p>
    <w:p>
      <w:pPr>
        <w:pStyle w:val="Heading2"/>
      </w:pPr>
      <w:r>
        <w:t>Follow-ups</w:t>
      </w:r>
    </w:p>
    <w:p>
      <w:pPr>
        <w:pStyle w:val="ListBullet"/>
      </w:pPr>
      <w:r>
        <w:t>Email engagement addendum for EVG1021 (child return) and MISC household-employer project.</w:t>
      </w:r>
    </w:p>
    <w:p>
      <w:pPr>
        <w:pStyle w:val="ListBullet"/>
      </w:pPr>
      <w:r>
        <w:t>Send client the household employer checklist (SS-4, W-4 for 2026, WA ESD, L&amp;I and WA PFML guidance to be confirmed with payroll provider).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