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A5" w:rsidRDefault="004A3797" w:rsidP="004A3797">
      <w:pPr>
        <w:pStyle w:val="1"/>
      </w:pPr>
      <w:r w:rsidRPr="004A3797">
        <w:t>Введение</w:t>
      </w:r>
    </w:p>
    <w:p w:rsidR="004A3797" w:rsidRDefault="00871DBB" w:rsidP="004A3797">
      <w:pPr>
        <w:pStyle w:val="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Гипотеза: Можно создать иерархическую структуру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parent-child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Oracle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Business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Intelligence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Oracle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BI), которая будет адекватно отображать предметную область "Подразделение" с сохранением ранее созданных связей и данных, а так же сможет стать основой при разработке иерархических структур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parent-child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для других предметных областей компании АО "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Эр-Телеком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Холдинг"</w:t>
      </w:r>
      <w:r w:rsidR="00CB5C51">
        <w:rPr>
          <w:rFonts w:ascii="Segoe UI" w:hAnsi="Segoe UI" w:cs="Segoe UI"/>
          <w:color w:val="24292E"/>
          <w:shd w:val="clear" w:color="auto" w:fill="FFFFFF"/>
        </w:rPr>
        <w:t>.</w:t>
      </w:r>
    </w:p>
    <w:p w:rsidR="00CB5C51" w:rsidRDefault="00CB5C51" w:rsidP="004A3797">
      <w:pPr>
        <w:pStyle w:val="1"/>
      </w:pPr>
      <w:r>
        <w:rPr>
          <w:rFonts w:ascii="Segoe UI" w:hAnsi="Segoe UI" w:cs="Segoe UI"/>
          <w:color w:val="24292E"/>
          <w:shd w:val="clear" w:color="auto" w:fill="FFFFFF"/>
        </w:rPr>
        <w:t>Далее в тексте «заказчик» равнозначно «компания АО "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Эр-Телеком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Холдинг"».</w:t>
      </w:r>
    </w:p>
    <w:p w:rsidR="004A3797" w:rsidRDefault="004A3797" w:rsidP="004A3797">
      <w:pPr>
        <w:pStyle w:val="1"/>
      </w:pPr>
      <w:r>
        <w:t xml:space="preserve">Задача 1. Анализ </w:t>
      </w:r>
      <w:proofErr w:type="gramStart"/>
      <w:r>
        <w:t>ПО</w:t>
      </w:r>
      <w:proofErr w:type="gramEnd"/>
      <w:r w:rsidR="00AF33EB">
        <w:t>, инструментов, уже имеющихся разработок в компании и за её пределами</w:t>
      </w:r>
    </w:p>
    <w:p w:rsidR="004A3797" w:rsidRPr="005E008C" w:rsidRDefault="005C2CC0" w:rsidP="004A3797">
      <w:pPr>
        <w:keepNext/>
        <w:keepLines/>
        <w:numPr>
          <w:ilvl w:val="1"/>
          <w:numId w:val="1"/>
        </w:numPr>
        <w:spacing w:before="120" w:after="120" w:line="240" w:lineRule="auto"/>
        <w:outlineLvl w:val="0"/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</w:pPr>
      <w:r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>СУБД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Данные в компании хранятся в реляционных базах данных, которые обеспечиваются СУБД </w:t>
      </w:r>
      <w:proofErr w:type="spell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Реляционная база данных – это связанная информация, представленная в виде двумерных таблиц. Двумерные таблицы состоят из строк и столбцов. У каждой строки есть уникальный идентификатор – это может быть одно </w:t>
      </w:r>
      <w:proofErr w:type="gram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поле</w:t>
      </w:r>
      <w:proofErr w:type="gram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или несколько – </w:t>
      </w:r>
      <w:proofErr w:type="gram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который</w:t>
      </w:r>
      <w:proofErr w:type="gram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называется первичным ключом. По нему легко выполнить поиск в таблице одной конкретной строки. Вся информация в базе хранится в виде строк – множества полей, привязанных к конкретному идентификатору, причем число этих полей совпадает с числом столбцов.[1]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доступа к реляционным базам данных используется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декларативный язык программирования </w:t>
      </w: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SQL.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SQL (</w:t>
      </w:r>
      <w:proofErr w:type="spell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Structured</w:t>
      </w:r>
      <w:proofErr w:type="spell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Query</w:t>
      </w:r>
      <w:proofErr w:type="spell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Language</w:t>
      </w:r>
      <w:proofErr w:type="spell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 — это структурированный язык запросов. На этом языке можно формулировать выражения (запросы), которые извлекают требуемые данные, модифицируют их, создают таблицы и изменяют их структуры, определяют права доступа к данным и многое другое. [2]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СУБД – это программное обеспечение, которое используется для создания и работы с базами данных. Главная функция СУБД – это управление данными (которые могут быть как во внешней, так и в </w:t>
      </w: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оперативной памяти). СУБД обязательно поддерживает языки баз данных, а также отвечает за копирование и восстановление данных после каких-либо сбоев. [3]</w:t>
      </w:r>
    </w:p>
    <w:p w:rsidR="004A3797" w:rsidRPr="00946D8E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ко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мпании АО «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ЭР-Телеком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Холдинг»</w:t>
      </w: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используется СУБД </w:t>
      </w:r>
      <w:proofErr w:type="spell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В основе большей части </w:t>
      </w:r>
      <w:proofErr w:type="spell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лежит PL/SQL — язык программирования, который предоставляет процедурные расширения используемой в </w:t>
      </w:r>
      <w:proofErr w:type="spell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версии SQL, а также служит языком программирования инструментария </w:t>
      </w:r>
      <w:proofErr w:type="spellStart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46D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[4]</w:t>
      </w:r>
    </w:p>
    <w:p w:rsidR="004A3797" w:rsidRDefault="004A3797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37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СУБД </w:t>
      </w:r>
      <w:proofErr w:type="spellStart"/>
      <w:r w:rsidRPr="004A37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расположена на двух основных серверах: </w:t>
      </w:r>
      <w:proofErr w:type="gramStart"/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SA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DWH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gramEnd"/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4A3797" w:rsidRDefault="004A3797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Сервер 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SA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System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Administration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</w:t>
      </w:r>
      <w:r w:rsidRPr="004A37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взаимодействует с другими источниками данных, обрабатывает данные, хранит данные короткие промежутки времени. Отсутствует историчность. Лишние данные и таблицы регулярно вычищаются.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На этом сервере можно производить основную обработку данных и приведение </w:t>
      </w:r>
      <w:r w:rsid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 необходимому виду.</w:t>
      </w:r>
    </w:p>
    <w:p w:rsidR="005C2CC0" w:rsidRDefault="0002565F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Сервер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позволяет хранить большой объем данных, на нем содержаться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исторические данные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многим направлениям деятельности, включая блок продаж,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HR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-блок, блок выручки/затрат и т.д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Информация на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пополняется ежедневно, напрямую записывается в таблицы, без дополнительной обработки. Обработка данных на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производится в исключительных случаях. </w:t>
      </w:r>
    </w:p>
    <w:p w:rsidR="005C2CC0" w:rsidRDefault="005C2CC0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одном из источников предложено следующее определение для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:rsidR="0002565F" w:rsidRPr="0002565F" w:rsidRDefault="005C2CC0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DWH — это система данных, отдельная от оперативной системы обработки данных. В корпоративных хранилищах в удобном для анализа виде хранятся архивные данные из разных, иногда очень разнородных источников. Эти данные предварительно обрабатываются и загружаются в хранилище в ходе процессов извлечения, преобразования и загрузки, называемых ETL. Решения ETL и DWH — это одна система для работы с корпоративной информацией и ее хранения. 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</w:t>
      </w:r>
      <w:r w:rsidR="00C8347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.д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https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://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mcs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mail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/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blog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chto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takoe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pochemu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bez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nih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dannye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kompanii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bespolezny</w:t>
      </w:r>
      <w:proofErr w:type="spellEnd"/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]</w:t>
      </w:r>
    </w:p>
    <w:p w:rsidR="005C2CC0" w:rsidRPr="005C2CC0" w:rsidRDefault="005C2CC0" w:rsidP="005C2CC0">
      <w:pPr>
        <w:pStyle w:val="a4"/>
        <w:keepNext/>
        <w:keepLines/>
        <w:numPr>
          <w:ilvl w:val="1"/>
          <w:numId w:val="1"/>
        </w:numPr>
        <w:spacing w:before="120" w:after="120" w:line="240" w:lineRule="auto"/>
        <w:outlineLvl w:val="0"/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</w:pPr>
      <w:bookmarkStart w:id="0" w:name="_Toc50013729"/>
      <w:bookmarkStart w:id="1" w:name="_Toc58274537"/>
      <w:r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lastRenderedPageBreak/>
        <w:t>OLAP кубы, метрики, и</w:t>
      </w:r>
      <w:r w:rsidRPr="005C2CC0"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>змерения</w:t>
      </w:r>
      <w:bookmarkEnd w:id="0"/>
      <w:bookmarkEnd w:id="1"/>
      <w:r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 xml:space="preserve">; </w:t>
      </w:r>
      <w:r>
        <w:rPr>
          <w:rFonts w:ascii="Cambria" w:eastAsia="Times New Roman" w:hAnsi="Cambria" w:cs="Times New Roman"/>
          <w:b/>
          <w:bCs/>
          <w:sz w:val="32"/>
          <w:szCs w:val="32"/>
          <w:lang w:val="en-US" w:eastAsia="ru-RU"/>
        </w:rPr>
        <w:t>ETL</w:t>
      </w:r>
    </w:p>
    <w:p w:rsidR="00C83475" w:rsidRPr="00C83475" w:rsidRDefault="00C83475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[6.д </w:t>
      </w:r>
      <w:r w:rsidRPr="00C8347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https://cyberleninka.ru/article/n/olap-tehnologii]</w:t>
      </w:r>
    </w:p>
    <w:p w:rsidR="005C2CC0" w:rsidRPr="005C2CC0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Куб OLAP представляет собой структуру данных, которая обеспечивает возможность быстрого анализа данных за рамками ограничений реляционных баз данных. Кубы способны отображать и суммировать большие объемы данных, также предоставляя пользователям доступ к любым точкам данных с возможностью поиска. Таким образом, данные могут быть сведены, фрагментированы и обработаны по мере необходимости для решения самых широкого спектра вопросов, относящихся к интересующей вас области пользователя.</w:t>
      </w:r>
    </w:p>
    <w:p w:rsidR="005C2CC0" w:rsidRPr="005C2CC0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Измерение примерно эквивалентно классу пакета управления. Каждый класс пакета управления имеет набор свойств, а каждое измерение — набор атрибутов, при этом каждый атрибут сопоставляется с одним свойством класса. Измерения позволяют выполнять фильтрацию, группирование и маркировку данных. К примеру, можно отфильтровать компьютеры по установленной операционной системе или сгруппировать людей по категориям, используя пол или возраст. Затем данные могут быть представлены в формате, где данные классифицируются по категориям и категориям, что позволяет более - глубоко анализировать анализ. Измерения также могут иметь естественные иерархии, позволяющие пользователям "детализировать" до более детального уровня детализации. К примеру, измерение даты обладает иерархией, позволяющей выполнять детализацию до уровня лет, затем — до уровней кварталов, месяцев, недель и отдельных дней.</w:t>
      </w:r>
    </w:p>
    <w:p w:rsidR="005C2CC0" w:rsidRPr="005C2CC0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040D5C" wp14:editId="46816B06">
            <wp:extent cx="2238375" cy="1285875"/>
            <wp:effectExtent l="0" t="0" r="9525" b="9525"/>
            <wp:docPr id="20" name="Рисунок 20" descr="Схема измерений ку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змерений куб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C0" w:rsidRPr="005C2CC0" w:rsidRDefault="005C2CC0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</w:t>
      </w:r>
      <w:r w:rsidR="00946D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 – OLAP куб</w:t>
      </w:r>
    </w:p>
    <w:p w:rsidR="005C2CC0" w:rsidRPr="005C2CC0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В этом рисунке 1 показан куб OLAP, содержащий измерения даты, региона и продукта.</w:t>
      </w:r>
    </w:p>
    <w:p w:rsidR="005C2CC0" w:rsidRPr="005C2CC0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Меры, метрики — это числовые значения, позволяющие пользователям создавать плоскостные и объемные срезы, выполнять агрегирование и анализ. Они являются одной из основных причин построения кубов OLAP на основании инфраструктуры хранилищ данных. При помощи служб SSAS можно создавать кубы OLAP, использующие бизнес-правила и вычисления для форматирования и отображения мер в настраиваемом формате. Большой объем времени разработки куба OLAP тратится на определение того, какие меры будут отображены, и каким образом они будут вычисляться.</w:t>
      </w:r>
    </w:p>
    <w:p w:rsidR="004A3797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Когда пользователь детализирует данные куба OLAP, он анализирует данные на другом уровне уплотнения. Уровень детальности данных повышается с каждой операцией детализации, что позволяет пользователю изучать данные на разных уровнях иерархии. По мере детализации пользователь переходит от общей информации к данным, имеющим более узкий фокус. [5]</w:t>
      </w:r>
    </w:p>
    <w:p w:rsidR="00946D8E" w:rsidRPr="00603D31" w:rsidRDefault="00946D8E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текущий момент в компании АО «ЭР-Телеком Холдинг» </w:t>
      </w:r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реализована уровневая иерархия</w:t>
      </w:r>
      <w:proofErr w:type="gramStart"/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Она принципиально отличается от того, что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хотели</w:t>
      </w:r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бы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видеть конечные пользователи. Ниже на рис.2 представлена текущая </w:t>
      </w:r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уровневая иерархия по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измерени</w:t>
      </w:r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ю «</w:t>
      </w:r>
      <w:proofErr w:type="spellStart"/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Каллендарь</w:t>
      </w:r>
      <w:proofErr w:type="spellEnd"/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OLAP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-куба.</w:t>
      </w:r>
    </w:p>
    <w:p w:rsidR="00946D8E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833355" wp14:editId="23D5B801">
            <wp:extent cx="2010056" cy="55824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8E" w:rsidRPr="00946D8E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Рис.2 – Данные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OLAP</w:t>
      </w:r>
      <w:r w:rsidRPr="00946D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куба </w:t>
      </w:r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разрезе уровневой иерархии «Календарь»</w:t>
      </w:r>
    </w:p>
    <w:p w:rsidR="00000C37" w:rsidRDefault="00946D8E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 рис.2 представлены данные, которые можно посмотреть в разрезе года, месяца, дня. Их можно посмотреть одновременно во всех разрезах, но каждый из них будет выглядеть, как отдельный столбец</w:t>
      </w:r>
      <w:r w:rsidR="00000C3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Конечные пользователи же хотят видеть иерархию на подобии файловой структуры (рис.3), которую можно свернуть/развернуть и в которой можно посмотреть метрики на каждом уровне иерархии.</w:t>
      </w:r>
    </w:p>
    <w:p w:rsidR="00946D8E" w:rsidRDefault="00776832" w:rsidP="00000C3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466850" cy="2533650"/>
            <wp:effectExtent l="0" t="0" r="0" b="0"/>
            <wp:docPr id="4" name="Рисунок 4" descr="https://www.rittmanmead.com/blog/content/images/2016/05/05948Picture_3-thum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ittmanmead.com/blog/content/images/2016/05/05948Picture_3-thum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37" w:rsidRDefault="00000C37" w:rsidP="00000C3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Рис.3 – Пример иерархической структуры</w:t>
      </w:r>
    </w:p>
    <w:p w:rsidR="00000C37" w:rsidRDefault="00000C37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 рис.3 представлена иерархическая структура, которая является прототипом того, что конечные пользователи хотят видеть в анализах вместо того, что представлено на рис.2.</w:t>
      </w:r>
      <w:r w:rsidR="0077683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Видно, что элементы структуры могут содержать элементы нижнего уровня, разворачивать их, и, наоборот, прятать. При это расчетные метрики должны выводить для каждого уровня корректные значения, включающие как значения самого уровня, так и все </w:t>
      </w:r>
      <w:proofErr w:type="gramStart"/>
      <w:r w:rsidR="0077683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внутренних</w:t>
      </w:r>
      <w:proofErr w:type="gramEnd"/>
      <w:r w:rsidR="0077683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686F2F" w:rsidRPr="00686F2F" w:rsidRDefault="00686F2F" w:rsidP="00686F2F">
      <w:pPr>
        <w:pStyle w:val="a4"/>
        <w:keepNext/>
        <w:keepLines/>
        <w:numPr>
          <w:ilvl w:val="1"/>
          <w:numId w:val="1"/>
        </w:numPr>
        <w:spacing w:before="120" w:after="120" w:line="240" w:lineRule="auto"/>
        <w:outlineLvl w:val="0"/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</w:pPr>
      <w:bookmarkStart w:id="2" w:name="_Toc58274538"/>
      <w:bookmarkStart w:id="3" w:name="_Toc50013730"/>
      <w:r w:rsidRPr="00686F2F"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>BI</w:t>
      </w:r>
      <w:bookmarkEnd w:id="2"/>
      <w:bookmarkEnd w:id="3"/>
    </w:p>
    <w:p w:rsidR="00686F2F" w:rsidRDefault="00686F2F" w:rsidP="00686F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Business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Intelligence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 (BI, Бизнес-аналитика) — это набор IT-технологий для сбора, хранения и анализа данных, позволяющих предоставлять пользователям достоверную аналитику в удобном формате, на основе которой можно принимать эффективные решения для управления бизнес-процессами компании. </w:t>
      </w:r>
      <w:r w:rsidRPr="00686F2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[6]</w:t>
      </w:r>
    </w:p>
    <w:p w:rsidR="00686F2F" w:rsidRDefault="00686F2F" w:rsidP="00686F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Все уровни пользователей, от сотрудников до учредителей, получают гибкий доступ к необходимой им управленческой отчетности, не прибегая к помощи IT-специалистов.</w:t>
      </w:r>
    </w:p>
    <w:p w:rsidR="00686F2F" w:rsidRPr="00686F2F" w:rsidRDefault="000C4B3F" w:rsidP="00686F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P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</w:t>
      </w:r>
      <w:r w:rsidRP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</w:t>
      </w:r>
      <w:r w:rsidR="00686F2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то основной инструмент для аналитической работы с данными, который используют конечные пользователи, предоставленный компанией АО «ЭР-Телеком Холдинг». Именно с помощью этого инструмента строятся анализы, которые должны будут содержать </w:t>
      </w:r>
      <w:r w:rsidR="00686F2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иерархическую структуру. </w:t>
      </w:r>
      <w:r w:rsidR="00CB5C5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Заказчиком</w:t>
      </w:r>
      <w:r w:rsidR="00686F2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предоставлено обеспечение взаимодействия </w:t>
      </w:r>
      <w:r w:rsidR="00686F2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</w:t>
      </w:r>
      <w:r w:rsidR="00686F2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серверов баз данных. Для сохранения корректного взаимодействия при описании новой структуры данных необходимо придерживаться регламентов компании.</w:t>
      </w:r>
    </w:p>
    <w:p w:rsidR="00686F2F" w:rsidRDefault="00686F2F" w:rsidP="00686F2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AE884D" wp14:editId="51AFE74F">
            <wp:extent cx="5019675" cy="3314700"/>
            <wp:effectExtent l="0" t="0" r="0" b="0"/>
            <wp:docPr id="3" name="Рисунок 3" descr="BIWEB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BIWEB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" t="11899" r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2F" w:rsidRDefault="00686F2F" w:rsidP="00686F2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Рисунок 2 – Концепция платформы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</w:t>
      </w:r>
    </w:p>
    <w:p w:rsidR="00686F2F" w:rsidRDefault="00686F2F" w:rsidP="00686F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Концепция платформы BI, представленная на рисунке 2, состоит из следующих компонентов:</w:t>
      </w:r>
    </w:p>
    <w:p w:rsidR="00686F2F" w:rsidRDefault="00686F2F" w:rsidP="00686F2F">
      <w:pPr>
        <w:numPr>
          <w:ilvl w:val="0"/>
          <w:numId w:val="5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ETL-инструменты: программы, позволяющие выполнять загрузку данных в DWH из различных учетных систем. </w:t>
      </w:r>
      <w:r w:rsidR="00CB5C5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Заказчиком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 качестве ETL-инструмента предоставлена программа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Pr="00686F2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Date</w:t>
      </w:r>
      <w:r w:rsidRPr="00686F2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Integrator</w:t>
      </w:r>
      <w:r w:rsidRPr="00686F2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11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g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686F2F" w:rsidRDefault="00686F2F" w:rsidP="00686F2F">
      <w:pPr>
        <w:numPr>
          <w:ilvl w:val="0"/>
          <w:numId w:val="5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DWH-хранилище: полноценная база данных SQL для подготовки и хранения данных для аналитики.</w:t>
      </w:r>
    </w:p>
    <w:p w:rsidR="00686F2F" w:rsidRDefault="00686F2F" w:rsidP="00686F2F">
      <w:pPr>
        <w:numPr>
          <w:ilvl w:val="0"/>
          <w:numId w:val="5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OLAP-кубы: технология, позволяющая делать в реальном времени (1-5 секунд) любые отчеты и проводить полноценный анализ данных.</w:t>
      </w:r>
    </w:p>
    <w:p w:rsidR="00686F2F" w:rsidRDefault="00686F2F" w:rsidP="00686F2F">
      <w:pPr>
        <w:numPr>
          <w:ilvl w:val="0"/>
          <w:numId w:val="5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Клиентские приложения: как правило, для детального анализа данных и построения динамических о</w:t>
      </w:r>
      <w:r w:rsid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тчетов пользователи используют 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водные таблицы, подключенные к OLAP-кубам. </w:t>
      </w:r>
      <w:r w:rsid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компании АО «</w:t>
      </w:r>
      <w:proofErr w:type="gramStart"/>
      <w:r w:rsid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ЭР-Телеком</w:t>
      </w:r>
      <w:proofErr w:type="gramEnd"/>
      <w:r w:rsid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Холдинг» в качестве клиентского приложения выступает </w:t>
      </w:r>
      <w:r w:rsidR="000C4B3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="000C4B3F" w:rsidRP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4B3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686F2F" w:rsidRDefault="00686F2F" w:rsidP="00686F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Основные преимущества BI: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Скорость построения отчетов.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Динамический анализ данных в любой детализации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Быстрый анализ любого объема данных (технология OLAP).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Автоматизация подготовки данных для отчетов и построения корпоративной отчетности.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Консолидация данных (данные для отчетов могут быть в разных учетных системах).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Анализ показателей План/Факта, Анализ выполнения различных KPI.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Удобная визуализация данных </w:t>
      </w:r>
      <w:r w:rsidR="000C4B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(при этом обновленные данные в отчет поступают автоматически).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Единый и удобный доступ к аналитической отчетности для всех сотрудников через корпоративный BI портал.</w:t>
      </w:r>
    </w:p>
    <w:p w:rsidR="00686F2F" w:rsidRDefault="00686F2F" w:rsidP="00686F2F">
      <w:pPr>
        <w:numPr>
          <w:ilvl w:val="0"/>
          <w:numId w:val="6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Уменьшение нагрузки на Учетные системы.</w:t>
      </w:r>
    </w:p>
    <w:p w:rsidR="00686F2F" w:rsidRPr="00934B8A" w:rsidRDefault="00686F2F" w:rsidP="009B119B">
      <w:pPr>
        <w:jc w:val="both"/>
        <w:rPr>
          <w:rFonts w:ascii="inherit" w:eastAsia="Times New Roman" w:hAnsi="inherit" w:cs="Arial"/>
          <w:color w:val="000000"/>
          <w:sz w:val="18"/>
          <w:szCs w:val="1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целом — повышение общей управляемости и эффективности бизнеса.</w:t>
      </w:r>
      <w:r w:rsidR="009B119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119B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="00934B8A" w:rsidRPr="00934B8A">
        <w:rPr>
          <w:rFonts w:ascii="Arial" w:hAnsi="Arial" w:cs="Arial"/>
          <w:color w:val="212529"/>
          <w:shd w:val="clear" w:color="auto" w:fill="FFFFFF"/>
          <w:lang w:val="en-US"/>
        </w:rPr>
        <w:t>Navid</w:t>
      </w:r>
      <w:proofErr w:type="spellEnd"/>
      <w:r w:rsidR="00934B8A" w:rsidRPr="00934B8A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 w:rsidR="00934B8A" w:rsidRPr="00934B8A">
        <w:rPr>
          <w:rFonts w:ascii="Arial" w:hAnsi="Arial" w:cs="Arial"/>
          <w:color w:val="212529"/>
          <w:shd w:val="clear" w:color="auto" w:fill="FFFFFF"/>
          <w:lang w:val="en-US"/>
        </w:rPr>
        <w:t>Mahlouji</w:t>
      </w:r>
      <w:proofErr w:type="spellEnd"/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. </w:t>
      </w:r>
      <w:r w:rsidR="00934B8A" w:rsidRPr="00934B8A">
        <w:rPr>
          <w:rFonts w:ascii="Arial" w:hAnsi="Arial" w:cs="Arial"/>
          <w:color w:val="212529"/>
          <w:shd w:val="clear" w:color="auto" w:fill="FFFFFF"/>
          <w:lang w:val="en-US"/>
        </w:rPr>
        <w:t>Information Technologies for Business Intelligence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// </w:t>
      </w:r>
      <w:proofErr w:type="spellStart"/>
      <w:r w:rsid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>CiteseerX</w:t>
      </w:r>
      <w:proofErr w:type="spellEnd"/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>. – 20</w:t>
      </w:r>
      <w:r w:rsid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>14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. </w:t>
      </w:r>
      <w:proofErr w:type="gramStart"/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– </w:t>
      </w:r>
      <w:r w:rsidR="00934B8A">
        <w:rPr>
          <w:rFonts w:ascii="Roboto" w:hAnsi="Roboto"/>
          <w:color w:val="484848"/>
          <w:sz w:val="21"/>
          <w:szCs w:val="21"/>
          <w:shd w:val="clear" w:color="auto" w:fill="FFFFFF"/>
        </w:rPr>
        <w:t>С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. </w:t>
      </w:r>
      <w:r w:rsid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>102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 / [</w:t>
      </w:r>
      <w:r w:rsidR="00934B8A">
        <w:rPr>
          <w:rFonts w:ascii="Roboto" w:hAnsi="Roboto"/>
          <w:color w:val="484848"/>
          <w:sz w:val="21"/>
          <w:szCs w:val="21"/>
          <w:shd w:val="clear" w:color="auto" w:fill="FFFFFF"/>
        </w:rPr>
        <w:t>Электронный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 </w:t>
      </w:r>
      <w:r w:rsidR="00934B8A">
        <w:rPr>
          <w:rFonts w:ascii="Roboto" w:hAnsi="Roboto"/>
          <w:color w:val="484848"/>
          <w:sz w:val="21"/>
          <w:szCs w:val="21"/>
          <w:shd w:val="clear" w:color="auto" w:fill="FFFFFF"/>
        </w:rPr>
        <w:t>ресурс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>].</w:t>
      </w:r>
      <w:proofErr w:type="gramEnd"/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 – </w:t>
      </w:r>
      <w:r w:rsidR="00934B8A">
        <w:rPr>
          <w:rFonts w:ascii="Roboto" w:hAnsi="Roboto"/>
          <w:color w:val="484848"/>
          <w:sz w:val="21"/>
          <w:szCs w:val="21"/>
          <w:shd w:val="clear" w:color="auto" w:fill="FFFFFF"/>
        </w:rPr>
        <w:t>Режим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 </w:t>
      </w:r>
      <w:r w:rsidR="00934B8A">
        <w:rPr>
          <w:rFonts w:ascii="Roboto" w:hAnsi="Roboto"/>
          <w:color w:val="484848"/>
          <w:sz w:val="21"/>
          <w:szCs w:val="21"/>
          <w:shd w:val="clear" w:color="auto" w:fill="FFFFFF"/>
        </w:rPr>
        <w:t>доступа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 xml:space="preserve">: URL: </w:t>
      </w:r>
      <w:r w:rsidR="00934B8A" w:rsidRPr="00934B8A">
        <w:rPr>
          <w:rFonts w:ascii="Roboto" w:hAnsi="Roboto"/>
          <w:color w:val="484848"/>
          <w:sz w:val="21"/>
          <w:szCs w:val="21"/>
          <w:shd w:val="clear" w:color="auto" w:fill="FFFFFF"/>
          <w:lang w:val="en-US"/>
        </w:rPr>
        <w:t>https://citeseerx.ist.psu.edu/viewdoc/summary?doi=10.1.1.978.7425</w:t>
      </w:r>
      <w:r w:rsidR="009B119B" w:rsidRPr="00934B8A">
        <w:rPr>
          <w:rFonts w:ascii="inherit" w:eastAsia="Times New Roman" w:hAnsi="inherit" w:cs="Arial"/>
          <w:color w:val="000000"/>
          <w:sz w:val="18"/>
          <w:szCs w:val="18"/>
          <w:lang w:val="en-US" w:eastAsia="ru-RU"/>
        </w:rPr>
        <w:t>]</w:t>
      </w:r>
    </w:p>
    <w:p w:rsidR="00CB5C51" w:rsidRDefault="00CB5C51" w:rsidP="00CB5C51">
      <w:pPr>
        <w:pStyle w:val="a4"/>
        <w:keepNext/>
        <w:keepLines/>
        <w:numPr>
          <w:ilvl w:val="1"/>
          <w:numId w:val="1"/>
        </w:numPr>
        <w:spacing w:before="120" w:after="120" w:line="240" w:lineRule="auto"/>
        <w:outlineLvl w:val="0"/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</w:pPr>
      <w:bookmarkStart w:id="4" w:name="_Toc58274539"/>
      <w:r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>Инструменты</w:t>
      </w:r>
      <w:bookmarkEnd w:id="4"/>
    </w:p>
    <w:p w:rsidR="00CB5C51" w:rsidRPr="00CB5C51" w:rsidRDefault="00CB5C51" w:rsidP="00CB5C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разработки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измерения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заказчиком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были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предоставлены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следующие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Integrator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11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g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ODI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Tool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for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Application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Developers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TOAD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Business</w:t>
      </w:r>
      <w:proofErr w:type="spellEnd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Intelligence</w:t>
      </w:r>
      <w:proofErr w:type="spellEnd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Enterprise</w:t>
      </w:r>
      <w:proofErr w:type="spellEnd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Edition</w:t>
      </w:r>
      <w:proofErr w:type="spellEnd"/>
      <w:r w:rsidR="00E256B7"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(OBIEE).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Заказчи</w:t>
      </w:r>
      <w:r w:rsid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 строго ограничил использование каких-либо других инструментов, </w:t>
      </w:r>
      <w:proofErr w:type="gramStart"/>
      <w:r w:rsid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помимо</w:t>
      </w:r>
      <w:proofErr w:type="gramEnd"/>
      <w:r w:rsid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указанных.</w:t>
      </w:r>
    </w:p>
    <w:p w:rsidR="00CB5C51" w:rsidRDefault="00CB5C51" w:rsidP="00CB5C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Далее приведено краткое описание каждой из используемых программ и их назначение.</w:t>
      </w:r>
    </w:p>
    <w:p w:rsidR="00CB5C51" w:rsidRDefault="00CB5C51" w:rsidP="00CB5C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Oracle</w:t>
      </w:r>
      <w:proofErr w:type="spellEnd"/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Data</w:t>
      </w:r>
      <w:proofErr w:type="spellEnd"/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>Integrator</w:t>
      </w:r>
      <w:proofErr w:type="spellEnd"/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ru-RU"/>
        </w:rPr>
        <w:t xml:space="preserve"> (ODI)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 — это интеграционная платформа корпоративного уровня, которая обеспечивает извлечение, преобразование 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загрузку данных из разнообразных источников: баз данных, файлов и других источников (например, LDAP каталогов или WEB-сервисов). Позволяет создавать автоматические пакеты сбора и обработки данных. [7]</w:t>
      </w:r>
    </w:p>
    <w:p w:rsidR="00E256B7" w:rsidRDefault="00E256B7" w:rsidP="00E256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Tool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for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Application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Developers 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TOAD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-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инструмент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разработчиков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приложений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Позволяет просматривать базы данных, выполнять PL/SQL код, использовать средства отладки. [8]</w:t>
      </w:r>
    </w:p>
    <w:p w:rsidR="00E256B7" w:rsidRDefault="00E256B7" w:rsidP="00E256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 Business Intelligence Enterprise Edition (OBIEE)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инструмент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описания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структуры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Позволяет описать структуру таблиц, их связи, пути поиска данных при построении анализов. Описанная в АТ структура является основной связи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E256B7" w:rsidRDefault="00E256B7" w:rsidP="00E256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Структура данных в АТ состоит из трех частей: </w:t>
      </w:r>
    </w:p>
    <w:p w:rsidR="00E256B7" w:rsidRDefault="00E256B7" w:rsidP="00E256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Физический уровень – здесь хранится полное описание таблиц сервера: название, поля, типы полей, первичные ключи, внешние ключи и так далее.</w:t>
      </w:r>
    </w:p>
    <w:p w:rsidR="00E256B7" w:rsidRDefault="00E256B7" w:rsidP="00E256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Бизнес-уровень – здесь хранится описание структур запросов, а именно: к каким таблицам необходимо делать запрос в каком случае, если есть несколько таблиц агрегатов; на какую таблицу связей опираться при создан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ии ие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рархического запроса; как считать метрики в разрезе измерений; и так далее.</w:t>
      </w:r>
    </w:p>
    <w:p w:rsidR="00603D31" w:rsidRPr="00603D31" w:rsidRDefault="00E256B7" w:rsidP="00E256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Презентационный уровень – здесь хранится структура в таком виде, в каком видят её пользователи. Сюда выносятся необходимые метрики и измерения, группируются по предметным областям. 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[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http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://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www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olap</w:t>
      </w:r>
      <w:proofErr w:type="spellEnd"/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/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home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asp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?</w:t>
      </w:r>
      <w:proofErr w:type="spellStart"/>
      <w:r w:rsidRPr="00E256B7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artId</w:t>
      </w:r>
      <w:proofErr w:type="spellEnd"/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=2344]</w:t>
      </w:r>
    </w:p>
    <w:p w:rsidR="00603D31" w:rsidRPr="00603D31" w:rsidRDefault="00603D3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03D31" w:rsidRDefault="00603D31" w:rsidP="00603D3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2.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Что уже есть</w:t>
      </w:r>
    </w:p>
    <w:p w:rsidR="00A93019" w:rsidRPr="00934B8A" w:rsidRDefault="00556331" w:rsidP="00E256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текущий момент в компании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АО «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ЭР-Телеком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Холдинг»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нет ни одного примера успешной реализации иерархической структуры 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Данная разработка является принципиально новой</w:t>
      </w:r>
      <w:r w:rsidR="00934B8A"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На текущий момент в компании </w:t>
      </w:r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АО «</w:t>
      </w:r>
      <w:proofErr w:type="gramStart"/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ЭР-Телеком</w:t>
      </w:r>
      <w:proofErr w:type="gramEnd"/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Холдинг»</w:t>
      </w:r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реализована </w:t>
      </w:r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уровневая иерархия</w:t>
      </w:r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представлен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</w:t>
      </w:r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</w:t>
      </w:r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</w:t>
      </w:r>
      <w:r w:rsid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.2. </w:t>
      </w:r>
    </w:p>
    <w:p w:rsidR="00934B8A" w:rsidRDefault="00934B8A" w:rsidP="00934B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решения поставленной задачи было исследовано множество литературы. 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статье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BI</w:t>
      </w:r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EE 11g – </w:t>
      </w:r>
      <w:proofErr w:type="spellStart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Parent</w:t>
      </w:r>
      <w:proofErr w:type="spellEnd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Hierarchies</w:t>
      </w:r>
      <w:proofErr w:type="spellEnd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Multiple</w:t>
      </w:r>
      <w:proofErr w:type="spellEnd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Modeling</w:t>
      </w:r>
      <w:proofErr w:type="spellEnd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34B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Methods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3C07B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[</w:t>
      </w:r>
      <w:hyperlink r:id="rId12" w:history="1">
        <w:r w:rsidRPr="0096755E">
          <w:rPr>
            <w:rStyle w:val="a7"/>
            <w:rFonts w:ascii="Times New Roman" w:eastAsia="Calibri" w:hAnsi="Times New Roman" w:cs="Times New Roman"/>
            <w:sz w:val="28"/>
            <w:szCs w:val="28"/>
            <w:lang w:eastAsia="ru-RU"/>
          </w:rPr>
          <w:t>https://www.rittmanmead.com/blog/2010/11/oracle-bi-ee-11g-parent-child-hierarchies-multiple-modeling-methods/</w:t>
        </w:r>
      </w:hyperlink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- статья по созданию иерархии</w:t>
      </w:r>
      <w:r w:rsidRPr="003C07B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]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продемонстрировано возможное решение поставленной задачи через иерархическую структуру в 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OBIEE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Описанная в статье структура не удовлетворяет условиям, поставленным регламентами компании, но доказывает, что существует возможность решения поставленной задачи.</w:t>
      </w:r>
    </w:p>
    <w:p w:rsidR="00806BA1" w:rsidRDefault="00806BA1" w:rsidP="00806B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Однако в статье не указано на чем строится данная иерархическая структура. В технической документации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Oracle</w:t>
      </w:r>
      <w:r w:rsidRP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было найдено описание построения ключевых объектов и связей для создания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parent</w:t>
      </w:r>
      <w:r w:rsidRP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child</w:t>
      </w:r>
      <w:r w:rsidRPr="00806B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иерархии. 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[https://docs.oracle.com/middleware/12211/biee/BIEMG/GUID-0424E7A7-C7DB-447A-B0C4-0BD6790888EA.htm#hpp_l_value_dimension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–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документация по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OBIEE</w:t>
      </w:r>
      <w:r w:rsidRPr="00603D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806BA1" w:rsidRDefault="00806BA1" w:rsidP="00806B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основе этих документов составлено описание будущей разработки, которые было бы понятно и разработчикам, и конечным пользователям, и заказчикам в рамках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компании АО «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ЭР-Телеком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Холдинг»</w:t>
      </w:r>
      <w:r w:rsidR="003A45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И указано её отличие от существующей уровневой иерархии, так как далее подразумевается переход от одной структуры к другой.</w:t>
      </w:r>
    </w:p>
    <w:p w:rsidR="00806BA1" w:rsidRDefault="00806BA1" w:rsidP="00806B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Создание многоуровневой иерархии, где каждый элемент, кр</w:t>
      </w:r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оме </w:t>
      </w:r>
      <w:proofErr w:type="gramStart"/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корневых</w:t>
      </w:r>
      <w:proofErr w:type="gramEnd"/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имеет вышестоящий элемент. </w:t>
      </w:r>
      <w:r w:rsidR="003A45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Данная иерархия называется </w:t>
      </w:r>
      <w:r w:rsidR="003A4572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parent</w:t>
      </w:r>
      <w:r w:rsidR="003A4572" w:rsidRPr="003A45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3A4572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child</w:t>
      </w:r>
      <w:r w:rsidR="003A45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A4572" w:rsidRP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«родитель-потомок»</w:t>
      </w:r>
      <w:r w:rsidR="003A45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="001242AF" w:rsidRP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отличие от </w:t>
      </w:r>
      <w:r w:rsid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уровневой </w:t>
      </w:r>
      <w:r w:rsidR="001242AF" w:rsidRPr="001242A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иерархий, все элементы измерения иерархии «родитель-потомок» находятся в одном логическом столбце.</w:t>
      </w:r>
    </w:p>
    <w:p w:rsidR="003A4572" w:rsidRDefault="003A4572" w:rsidP="00806BA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A45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В иерархии «родитель-потомок» родительский элемент элемента находится в другой строке того же логического столбца, на который указывает родительский ключ. Это отличается от иерархии на основе уровней, где родительский элемент элемента находится в другом логическом столбце в той же строке. Другими словами, навигация в иерархии «родитель-потомок» следует за значениями данных, а навигация в иерархии на основе уровней следует за структурой метаданных.</w:t>
      </w:r>
      <w:bookmarkStart w:id="5" w:name="_GoBack"/>
      <w:bookmarkEnd w:id="5"/>
    </w:p>
    <w:p w:rsidR="00806BA1" w:rsidRPr="00806BA1" w:rsidRDefault="00806BA1" w:rsidP="00934B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934B8A" w:rsidRPr="00934B8A" w:rsidRDefault="00934B8A" w:rsidP="00E256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9B119B" w:rsidRPr="00934B8A" w:rsidRDefault="009B119B" w:rsidP="00E256B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E256B7" w:rsidRPr="00934B8A" w:rsidRDefault="00E256B7" w:rsidP="00E256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256B7" w:rsidRPr="00934B8A" w:rsidRDefault="00E256B7" w:rsidP="00E256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CB5C51" w:rsidRPr="00934B8A" w:rsidRDefault="00CB5C51" w:rsidP="00CB5C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686F2F" w:rsidRPr="00934B8A" w:rsidRDefault="00686F2F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A3797" w:rsidRPr="00934B8A" w:rsidRDefault="004A3797" w:rsidP="004A3797">
      <w:pPr>
        <w:pStyle w:val="1"/>
      </w:pPr>
    </w:p>
    <w:sectPr w:rsidR="004A3797" w:rsidRPr="0093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DF3"/>
    <w:multiLevelType w:val="hybridMultilevel"/>
    <w:tmpl w:val="3F2CFBD6"/>
    <w:lvl w:ilvl="0" w:tplc="2CD8D0EA">
      <w:start w:val="1"/>
      <w:numFmt w:val="decimal"/>
      <w:lvlText w:val="%1)"/>
      <w:lvlJc w:val="left"/>
      <w:pPr>
        <w:ind w:left="1391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94C397F"/>
    <w:multiLevelType w:val="hybridMultilevel"/>
    <w:tmpl w:val="D4C8A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BDC1F24"/>
    <w:multiLevelType w:val="multilevel"/>
    <w:tmpl w:val="DADCE2A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>
    <w:nsid w:val="4AB70B95"/>
    <w:multiLevelType w:val="hybridMultilevel"/>
    <w:tmpl w:val="0942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B251AD6"/>
    <w:multiLevelType w:val="multilevel"/>
    <w:tmpl w:val="DADCE2A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0A"/>
    <w:rsid w:val="00000C37"/>
    <w:rsid w:val="0002565F"/>
    <w:rsid w:val="0005523A"/>
    <w:rsid w:val="000C4B3F"/>
    <w:rsid w:val="001242AF"/>
    <w:rsid w:val="003A4572"/>
    <w:rsid w:val="003C07B6"/>
    <w:rsid w:val="004A3797"/>
    <w:rsid w:val="005231E7"/>
    <w:rsid w:val="00556331"/>
    <w:rsid w:val="0056510A"/>
    <w:rsid w:val="005C2CC0"/>
    <w:rsid w:val="00603D31"/>
    <w:rsid w:val="00686F2F"/>
    <w:rsid w:val="00717B76"/>
    <w:rsid w:val="00776832"/>
    <w:rsid w:val="00806BA1"/>
    <w:rsid w:val="00836FD8"/>
    <w:rsid w:val="00871DBB"/>
    <w:rsid w:val="00934B8A"/>
    <w:rsid w:val="00946D8E"/>
    <w:rsid w:val="009B119B"/>
    <w:rsid w:val="00A93019"/>
    <w:rsid w:val="00AF33EB"/>
    <w:rsid w:val="00BC6FE8"/>
    <w:rsid w:val="00C83475"/>
    <w:rsid w:val="00CB5C51"/>
    <w:rsid w:val="00E256B7"/>
    <w:rsid w:val="00E7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A3797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4A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4A3797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4A3797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F2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86F2F"/>
    <w:rPr>
      <w:color w:val="0000FF"/>
      <w:u w:val="single"/>
    </w:rPr>
  </w:style>
  <w:style w:type="character" w:styleId="a8">
    <w:name w:val="Emphasis"/>
    <w:basedOn w:val="a0"/>
    <w:uiPriority w:val="20"/>
    <w:qFormat/>
    <w:rsid w:val="009B11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A3797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4A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4A3797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4A3797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F2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86F2F"/>
    <w:rPr>
      <w:color w:val="0000FF"/>
      <w:u w:val="single"/>
    </w:rPr>
  </w:style>
  <w:style w:type="character" w:styleId="a8">
    <w:name w:val="Emphasis"/>
    <w:basedOn w:val="a0"/>
    <w:uiPriority w:val="20"/>
    <w:qFormat/>
    <w:rsid w:val="009B11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rittmanmead.com/blog/2010/11/oracle-bi-ee-11g-parent-child-hierarchies-multiple-modeling-metho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biweb.ru/wp-content/uploads/2016/09/BI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85F64-2EF9-4F58-A092-74A29142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Граничникова Анна Сергеевна</cp:lastModifiedBy>
  <cp:revision>12</cp:revision>
  <dcterms:created xsi:type="dcterms:W3CDTF">2021-03-29T04:48:00Z</dcterms:created>
  <dcterms:modified xsi:type="dcterms:W3CDTF">2021-04-06T10:40:00Z</dcterms:modified>
</cp:coreProperties>
</file>