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3E6B"/>
          <w:sz w:val="56"/>
        </w:rPr>
        <w:t>PENTEST REPORT</w:t>
      </w:r>
    </w:p>
    <w:p>
      <w:pPr>
        <w:jc w:val="center"/>
      </w:pPr>
      <w:r>
        <w:rPr>
          <w:b/>
          <w:color w:val="16213E"/>
          <w:sz w:val="36"/>
        </w:rPr>
        <w:t>OpenMRS REST Webservices Module</w:t>
      </w:r>
    </w:p>
    <w:p/>
    <w:p>
      <w:pPr>
        <w:jc w:val="center"/>
      </w:pPr>
      <w:r>
        <w:rPr>
          <w:color w:val="1A1A2E"/>
          <w:sz w:val="24"/>
        </w:rPr>
        <w:t>Informatica — ATIx IN-B2.4 Softwarearchitectuur &amp; -kwaliteit 2025-26 P4</w:t>
      </w:r>
    </w:p>
    <w:p>
      <w:pPr>
        <w:jc w:val="center"/>
      </w:pPr>
      <w:r>
        <w:rPr>
          <w:color w:val="1A1A2E"/>
          <w:sz w:val="24"/>
        </w:rPr>
        <w:t>Groep: LU2 Groep 17</w:t>
      </w:r>
    </w:p>
    <w:p/>
    <w:p>
      <w:pPr>
        <w:jc w:val="center"/>
      </w:pPr>
      <w:r>
        <w:rPr>
          <w:sz w:val="22"/>
        </w:rPr>
        <w:t>Wassim Balouda</w:t>
      </w:r>
    </w:p>
    <w:p>
      <w:pPr>
        <w:jc w:val="center"/>
      </w:pPr>
      <w:r>
        <w:rPr>
          <w:sz w:val="22"/>
        </w:rPr>
        <w:t>Daniël [achternaam]</w:t>
      </w:r>
    </w:p>
    <w:p>
      <w:pPr>
        <w:jc w:val="center"/>
      </w:pPr>
      <w:r>
        <w:rPr>
          <w:sz w:val="22"/>
        </w:rPr>
        <w:t>[Groepslid 3]</w:t>
      </w:r>
    </w:p>
    <w:p>
      <w:pPr>
        <w:jc w:val="center"/>
      </w:pPr>
      <w:r>
        <w:rPr>
          <w:sz w:val="22"/>
        </w:rPr>
        <w:t>[Groepslid 4]</w:t>
      </w:r>
    </w:p>
    <w:p/>
    <w:p>
      <w:pPr>
        <w:jc w:val="center"/>
      </w:pPr>
      <w:r>
        <w:rPr>
          <w:sz w:val="22"/>
        </w:rPr>
        <w:t>Date: June 2026</w:t>
      </w:r>
    </w:p>
    <w:p>
      <w:pPr>
        <w:jc w:val="center"/>
      </w:pPr>
      <w:r>
        <w:rPr>
          <w:sz w:val="22"/>
        </w:rPr>
        <w:t>Version: 1.0</w:t>
      </w:r>
    </w:p>
    <w:p>
      <w:r>
        <w:br w:type="page"/>
      </w:r>
    </w:p>
    <w:p>
      <w:pPr>
        <w:pStyle w:val="Heading1"/>
        <w:jc w:val="left"/>
      </w:pPr>
      <w:r>
        <w:rPr>
          <w:color w:val="0F3E6B"/>
        </w:rPr>
        <w:t>Table of Contents</w:t>
      </w:r>
    </w:p>
    <w:p>
      <w:pPr>
        <w:spacing w:after="40"/>
      </w:pPr>
      <w:r>
        <w:rPr>
          <w:sz w:val="20"/>
        </w:rPr>
        <w:t>1  Executive Summary</w:t>
      </w:r>
    </w:p>
    <w:p>
      <w:pPr>
        <w:spacing w:after="40"/>
      </w:pPr>
      <w:r>
        <w:rPr>
          <w:sz w:val="20"/>
        </w:rPr>
        <w:t>1.1  Overview</w:t>
      </w:r>
    </w:p>
    <w:p>
      <w:pPr>
        <w:spacing w:after="40"/>
      </w:pPr>
      <w:r>
        <w:rPr>
          <w:sz w:val="20"/>
        </w:rPr>
        <w:t>1.2  Identified Vulnerabilities</w:t>
      </w:r>
    </w:p>
    <w:p>
      <w:pPr>
        <w:spacing w:after="40"/>
      </w:pPr>
      <w:r>
        <w:rPr>
          <w:sz w:val="20"/>
        </w:rPr>
        <w:t>2  Methodology</w:t>
      </w:r>
    </w:p>
    <w:p>
      <w:pPr>
        <w:spacing w:after="40"/>
      </w:pPr>
      <w:r>
        <w:rPr>
          <w:sz w:val="20"/>
        </w:rPr>
        <w:t>2.1  Approach</w:t>
      </w:r>
    </w:p>
    <w:p>
      <w:pPr>
        <w:spacing w:after="40"/>
      </w:pPr>
      <w:r>
        <w:rPr>
          <w:sz w:val="20"/>
        </w:rPr>
        <w:t>2.2  Tools</w:t>
      </w:r>
    </w:p>
    <w:p>
      <w:pPr>
        <w:spacing w:after="40"/>
      </w:pPr>
      <w:r>
        <w:rPr>
          <w:sz w:val="20"/>
        </w:rPr>
        <w:t>2.3  Limitations</w:t>
      </w:r>
    </w:p>
    <w:p>
      <w:pPr>
        <w:spacing w:after="40"/>
      </w:pPr>
      <w:r>
        <w:rPr>
          <w:sz w:val="20"/>
        </w:rPr>
        <w:t>2.4  Scope</w:t>
      </w:r>
    </w:p>
    <w:p>
      <w:pPr>
        <w:spacing w:after="40"/>
      </w:pPr>
      <w:r>
        <w:rPr>
          <w:sz w:val="20"/>
        </w:rPr>
        <w:t>3  OWASP Top 10</w:t>
      </w:r>
    </w:p>
    <w:p>
      <w:pPr>
        <w:spacing w:after="40"/>
      </w:pPr>
      <w:r>
        <w:rPr>
          <w:sz w:val="20"/>
        </w:rPr>
        <w:t>4  Findings</w:t>
      </w:r>
    </w:p>
    <w:p>
      <w:pPr>
        <w:spacing w:after="40"/>
      </w:pPr>
      <w:r>
        <w:rPr>
          <w:sz w:val="20"/>
        </w:rPr>
        <w:t xml:space="preserve">            C 1: Auth Bypass — Missing return after sendError</w:t>
      </w:r>
    </w:p>
    <w:p>
      <w:pPr>
        <w:spacing w:after="40"/>
      </w:pPr>
      <w:r>
        <w:rPr>
          <w:sz w:val="20"/>
        </w:rPr>
        <w:t xml:space="preserve">            H 1: Reflected XSS via Swagger Parameter</w:t>
      </w:r>
    </w:p>
    <w:p>
      <w:pPr>
        <w:spacing w:after="40"/>
      </w:pPr>
      <w:r>
        <w:rPr>
          <w:sz w:val="20"/>
        </w:rPr>
        <w:t xml:space="preserve">            H 2: Missing Brute-Force Protection</w:t>
      </w:r>
    </w:p>
    <w:p>
      <w:pPr>
        <w:spacing w:after="40"/>
      </w:pPr>
      <w:r>
        <w:rPr>
          <w:sz w:val="20"/>
        </w:rPr>
        <w:t xml:space="preserve">            H 3: Session Fixation</w:t>
      </w:r>
    </w:p>
    <w:p>
      <w:pPr>
        <w:spacing w:after="40"/>
      </w:pPr>
      <w:r>
        <w:rPr>
          <w:sz w:val="20"/>
        </w:rPr>
        <w:t xml:space="preserve">            M 1: Information Disclosure via /session/diag</w:t>
      </w:r>
    </w:p>
    <w:p>
      <w:pPr>
        <w:spacing w:after="40"/>
      </w:pPr>
      <w:r>
        <w:rPr>
          <w:sz w:val="20"/>
        </w:rPr>
        <w:t xml:space="preserve">            L 1: Sensitive Data in Log Output</w:t>
      </w:r>
    </w:p>
    <w:p>
      <w:pPr>
        <w:spacing w:after="40"/>
      </w:pPr>
      <w:r>
        <w:rPr>
          <w:sz w:val="20"/>
        </w:rPr>
        <w:t xml:space="preserve">            I  1: Integer Overflow in Paging Parameters</w:t>
      </w:r>
    </w:p>
    <w:p>
      <w:pPr>
        <w:spacing w:after="40"/>
      </w:pPr>
      <w:r>
        <w:rPr>
          <w:sz w:val="20"/>
        </w:rPr>
        <w:t>5  Document History</w:t>
      </w:r>
    </w:p>
    <w:p>
      <w:r>
        <w:br w:type="page"/>
      </w:r>
    </w:p>
    <w:p>
      <w:pPr>
        <w:pStyle w:val="Heading1"/>
        <w:jc w:val="left"/>
      </w:pPr>
      <w:r>
        <w:rPr>
          <w:color w:val="0F3E6B"/>
        </w:rPr>
        <w:t>1 Executive Summary</w:t>
      </w:r>
    </w:p>
    <w:p>
      <w:pPr>
        <w:pStyle w:val="Heading2"/>
        <w:jc w:val="left"/>
      </w:pPr>
      <w:r>
        <w:rPr>
          <w:color w:val="0F3E6B"/>
        </w:rPr>
        <w:t>1.1 Overview</w:t>
      </w:r>
    </w:p>
    <w:p>
      <w:pPr>
        <w:jc w:val="left"/>
      </w:pPr>
      <w:r>
        <w:rPr>
          <w:b w:val="0"/>
          <w:i w:val="0"/>
          <w:color w:val="1A1A2E"/>
          <w:sz w:val="22"/>
        </w:rPr>
        <w:t>In het kader van de ATIx IN-B2.4 Softwarearchitectuur &amp; -kwaliteit opdracht is een beveiligingsassessment uitgevoerd op de OpenMRS REST Webservices module (v3.2.0). De module biedt een REST API bovenop OpenMRS en wordt gebruikt voor toegang tot patiëntgegevens, klinische data en systeemconfiguratie. Het doel van deze pentest was het identificeren van kwetsbaarheden die kunnen leiden tot ongeautoriseerde toegang, informatielekken of misbruik van de API.</w:t>
      </w:r>
    </w:p>
    <w:p>
      <w:pPr>
        <w:jc w:val="left"/>
      </w:pPr>
      <w:r>
        <w:rPr>
          <w:b w:val="0"/>
          <w:i w:val="0"/>
          <w:color w:val="1A1A2E"/>
          <w:sz w:val="22"/>
        </w:rPr>
        <w:t>De test is uitgevoerd op een lokale instantie van OpenMRS 2.8.7 met de webservices module geladen, met focus op de OWASP Top 10:2021 en NEN-7510:2024-2 controls A.8.3, A.8.5 en A.8.15. Bevindingen zijn direct gerelateerd aan de code review (zie 04-code-review/04.md) en aangetoond met reproduceerbare teststappen.</w:t>
      </w:r>
    </w:p>
    <w:p>
      <w:pPr>
        <w:jc w:val="left"/>
      </w:pPr>
      <w:r>
        <w:rPr>
          <w:b w:val="0"/>
          <w:i w:val="0"/>
          <w:color w:val="1A1A2E"/>
          <w:sz w:val="22"/>
        </w:rPr>
        <w:t>De meest kritieke bevinding is een authenticatie-bypass in de AuthorizationFilter: bij een verlopen sessie wordt wel een 401-header gezet, maar ontbreekt een return-statement, waardoor de filterchain — en daarmee de REST-endpoints — alsnog bereikt worden. Daarnaast zijn er twee hoge bevindingen: reflected XSS via de Swagger-controller en het volledig ontbreken van brute-force beveiliging op het inlogendpoint. Session fixation is eveneens aangetoond via het hergebruik van session IDs.</w:t>
      </w:r>
    </w:p>
    <w:p>
      <w:pPr>
        <w:jc w:val="left"/>
      </w:pPr>
      <w:r>
        <w:rPr>
          <w:b w:val="0"/>
          <w:i w:val="0"/>
          <w:color w:val="1A1A2E"/>
          <w:sz w:val="22"/>
        </w:rPr>
        <w:t>Prioriteit ligt bij de auth-bypass (directe fix: return toevoegen), gevolgd door XSS-escaping in SwaggerDocController en het implementeren van rate limiting op /ws/rest/v1/session.</w:t>
      </w:r>
    </w:p>
    <w:p>
      <w:pPr>
        <w:pStyle w:val="Heading2"/>
        <w:jc w:val="left"/>
      </w:pPr>
      <w:r>
        <w:rPr>
          <w:color w:val="0F3E6B"/>
        </w:rPr>
        <w:t>1.2 Identified Vulnerabilities</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720"/>
            <w:shd w:val="clear" w:color="auto" w:fill="0F3E6B"/>
          </w:tcPr>
          <w:p>
            <w:r>
              <w:rPr>
                <w:b/>
                <w:color w:val="FFFFFF"/>
                <w:sz w:val="20"/>
              </w:rPr>
              <w:t>#</w:t>
            </w:r>
          </w:p>
        </w:tc>
        <w:tc>
          <w:tcPr>
            <w:tcW w:type="dxa" w:w="1296"/>
            <w:shd w:val="clear" w:color="auto" w:fill="0F3E6B"/>
          </w:tcPr>
          <w:p>
            <w:r>
              <w:rPr>
                <w:b/>
                <w:color w:val="FFFFFF"/>
                <w:sz w:val="20"/>
              </w:rPr>
              <w:t>Severity</w:t>
            </w:r>
          </w:p>
        </w:tc>
        <w:tc>
          <w:tcPr>
            <w:tcW w:type="dxa" w:w="5472"/>
            <w:shd w:val="clear" w:color="auto" w:fill="0F3E6B"/>
          </w:tcPr>
          <w:p>
            <w:r>
              <w:rPr>
                <w:b/>
                <w:color w:val="FFFFFF"/>
                <w:sz w:val="20"/>
              </w:rPr>
              <w:t>Description</w:t>
            </w:r>
          </w:p>
        </w:tc>
        <w:tc>
          <w:tcPr>
            <w:tcW w:type="dxa" w:w="864"/>
            <w:shd w:val="clear" w:color="auto" w:fill="0F3E6B"/>
          </w:tcPr>
          <w:p>
            <w:r>
              <w:rPr>
                <w:b/>
                <w:color w:val="FFFFFF"/>
                <w:sz w:val="20"/>
              </w:rPr>
              <w:t>Page</w:t>
            </w:r>
          </w:p>
        </w:tc>
      </w:tr>
      <w:tr>
        <w:tc>
          <w:tcPr>
            <w:tcW w:type="dxa" w:w="720"/>
          </w:tcPr>
          <w:p>
            <w:r>
              <w:rPr>
                <w:sz w:val="20"/>
              </w:rPr>
              <w:t>C 1</w:t>
            </w:r>
          </w:p>
        </w:tc>
        <w:tc>
          <w:tcPr>
            <w:tcW w:type="dxa" w:w="1296"/>
          </w:tcPr>
          <w:p>
            <w:r>
              <w:rPr>
                <w:sz w:val="20"/>
              </w:rPr>
              <w:t>Critical</w:t>
            </w:r>
          </w:p>
        </w:tc>
        <w:tc>
          <w:tcPr>
            <w:tcW w:type="dxa" w:w="5472"/>
          </w:tcPr>
          <w:p>
            <w:r>
              <w:rPr>
                <w:sz w:val="20"/>
              </w:rPr>
              <w:t>Auth Bypass — Missing return after sendError</w:t>
            </w:r>
          </w:p>
        </w:tc>
        <w:tc>
          <w:tcPr>
            <w:tcW w:type="dxa" w:w="864"/>
          </w:tcPr>
          <w:p>
            <w:r>
              <w:rPr>
                <w:sz w:val="20"/>
              </w:rPr>
              <w:t>7</w:t>
            </w:r>
          </w:p>
        </w:tc>
      </w:tr>
      <w:tr>
        <w:tc>
          <w:tcPr>
            <w:tcW w:type="dxa" w:w="720"/>
            <w:shd w:val="clear" w:color="auto" w:fill="F8F9FA"/>
          </w:tcPr>
          <w:p>
            <w:r>
              <w:rPr>
                <w:sz w:val="20"/>
              </w:rPr>
              <w:t>H 1</w:t>
            </w:r>
          </w:p>
        </w:tc>
        <w:tc>
          <w:tcPr>
            <w:tcW w:type="dxa" w:w="1296"/>
            <w:shd w:val="clear" w:color="auto" w:fill="F8F9FA"/>
          </w:tcPr>
          <w:p>
            <w:r>
              <w:rPr>
                <w:sz w:val="20"/>
              </w:rPr>
              <w:t>High</w:t>
            </w:r>
          </w:p>
        </w:tc>
        <w:tc>
          <w:tcPr>
            <w:tcW w:type="dxa" w:w="5472"/>
            <w:shd w:val="clear" w:color="auto" w:fill="F8F9FA"/>
          </w:tcPr>
          <w:p>
            <w:r>
              <w:rPr>
                <w:sz w:val="20"/>
              </w:rPr>
              <w:t>Reflected XSS via Swagger Parameter</w:t>
            </w:r>
          </w:p>
        </w:tc>
        <w:tc>
          <w:tcPr>
            <w:tcW w:type="dxa" w:w="864"/>
            <w:shd w:val="clear" w:color="auto" w:fill="F8F9FA"/>
          </w:tcPr>
          <w:p>
            <w:r>
              <w:rPr>
                <w:sz w:val="20"/>
              </w:rPr>
              <w:t>9</w:t>
            </w:r>
          </w:p>
        </w:tc>
      </w:tr>
      <w:tr>
        <w:tc>
          <w:tcPr>
            <w:tcW w:type="dxa" w:w="720"/>
          </w:tcPr>
          <w:p>
            <w:r>
              <w:rPr>
                <w:sz w:val="20"/>
              </w:rPr>
              <w:t>H 2</w:t>
            </w:r>
          </w:p>
        </w:tc>
        <w:tc>
          <w:tcPr>
            <w:tcW w:type="dxa" w:w="1296"/>
          </w:tcPr>
          <w:p>
            <w:r>
              <w:rPr>
                <w:sz w:val="20"/>
              </w:rPr>
              <w:t>High</w:t>
            </w:r>
          </w:p>
        </w:tc>
        <w:tc>
          <w:tcPr>
            <w:tcW w:type="dxa" w:w="5472"/>
          </w:tcPr>
          <w:p>
            <w:r>
              <w:rPr>
                <w:sz w:val="20"/>
              </w:rPr>
              <w:t>Missing Brute-Force Protection</w:t>
            </w:r>
          </w:p>
        </w:tc>
        <w:tc>
          <w:tcPr>
            <w:tcW w:type="dxa" w:w="864"/>
          </w:tcPr>
          <w:p>
            <w:r>
              <w:rPr>
                <w:sz w:val="20"/>
              </w:rPr>
              <w:t>11</w:t>
            </w:r>
          </w:p>
        </w:tc>
      </w:tr>
      <w:tr>
        <w:tc>
          <w:tcPr>
            <w:tcW w:type="dxa" w:w="720"/>
            <w:shd w:val="clear" w:color="auto" w:fill="F8F9FA"/>
          </w:tcPr>
          <w:p>
            <w:r>
              <w:rPr>
                <w:sz w:val="20"/>
              </w:rPr>
              <w:t>H 3</w:t>
            </w:r>
          </w:p>
        </w:tc>
        <w:tc>
          <w:tcPr>
            <w:tcW w:type="dxa" w:w="1296"/>
            <w:shd w:val="clear" w:color="auto" w:fill="F8F9FA"/>
          </w:tcPr>
          <w:p>
            <w:r>
              <w:rPr>
                <w:sz w:val="20"/>
              </w:rPr>
              <w:t>High</w:t>
            </w:r>
          </w:p>
        </w:tc>
        <w:tc>
          <w:tcPr>
            <w:tcW w:type="dxa" w:w="5472"/>
            <w:shd w:val="clear" w:color="auto" w:fill="F8F9FA"/>
          </w:tcPr>
          <w:p>
            <w:r>
              <w:rPr>
                <w:sz w:val="20"/>
              </w:rPr>
              <w:t>Session Fixation</w:t>
            </w:r>
          </w:p>
        </w:tc>
        <w:tc>
          <w:tcPr>
            <w:tcW w:type="dxa" w:w="864"/>
            <w:shd w:val="clear" w:color="auto" w:fill="F8F9FA"/>
          </w:tcPr>
          <w:p>
            <w:r>
              <w:rPr>
                <w:sz w:val="20"/>
              </w:rPr>
              <w:t>13</w:t>
            </w:r>
          </w:p>
        </w:tc>
      </w:tr>
      <w:tr>
        <w:tc>
          <w:tcPr>
            <w:tcW w:type="dxa" w:w="720"/>
          </w:tcPr>
          <w:p>
            <w:r>
              <w:rPr>
                <w:sz w:val="20"/>
              </w:rPr>
              <w:t>M 1</w:t>
            </w:r>
          </w:p>
        </w:tc>
        <w:tc>
          <w:tcPr>
            <w:tcW w:type="dxa" w:w="1296"/>
          </w:tcPr>
          <w:p>
            <w:r>
              <w:rPr>
                <w:sz w:val="20"/>
              </w:rPr>
              <w:t>Medium</w:t>
            </w:r>
          </w:p>
        </w:tc>
        <w:tc>
          <w:tcPr>
            <w:tcW w:type="dxa" w:w="5472"/>
          </w:tcPr>
          <w:p>
            <w:r>
              <w:rPr>
                <w:sz w:val="20"/>
              </w:rPr>
              <w:t>Information Disclosure via /session/diag</w:t>
            </w:r>
          </w:p>
        </w:tc>
        <w:tc>
          <w:tcPr>
            <w:tcW w:type="dxa" w:w="864"/>
          </w:tcPr>
          <w:p>
            <w:r>
              <w:rPr>
                <w:sz w:val="20"/>
              </w:rPr>
              <w:t>15</w:t>
            </w:r>
          </w:p>
        </w:tc>
      </w:tr>
      <w:tr>
        <w:tc>
          <w:tcPr>
            <w:tcW w:type="dxa" w:w="720"/>
            <w:shd w:val="clear" w:color="auto" w:fill="F8F9FA"/>
          </w:tcPr>
          <w:p>
            <w:r>
              <w:rPr>
                <w:sz w:val="20"/>
              </w:rPr>
              <w:t>L 1</w:t>
            </w:r>
          </w:p>
        </w:tc>
        <w:tc>
          <w:tcPr>
            <w:tcW w:type="dxa" w:w="1296"/>
            <w:shd w:val="clear" w:color="auto" w:fill="F8F9FA"/>
          </w:tcPr>
          <w:p>
            <w:r>
              <w:rPr>
                <w:sz w:val="20"/>
              </w:rPr>
              <w:t>Low</w:t>
            </w:r>
          </w:p>
        </w:tc>
        <w:tc>
          <w:tcPr>
            <w:tcW w:type="dxa" w:w="5472"/>
            <w:shd w:val="clear" w:color="auto" w:fill="F8F9FA"/>
          </w:tcPr>
          <w:p>
            <w:r>
              <w:rPr>
                <w:sz w:val="20"/>
              </w:rPr>
              <w:t>Sensitive Data in Log Output</w:t>
            </w:r>
          </w:p>
        </w:tc>
        <w:tc>
          <w:tcPr>
            <w:tcW w:type="dxa" w:w="864"/>
            <w:shd w:val="clear" w:color="auto" w:fill="F8F9FA"/>
          </w:tcPr>
          <w:p>
            <w:r>
              <w:rPr>
                <w:sz w:val="20"/>
              </w:rPr>
              <w:t>17</w:t>
            </w:r>
          </w:p>
        </w:tc>
      </w:tr>
      <w:tr>
        <w:tc>
          <w:tcPr>
            <w:tcW w:type="dxa" w:w="720"/>
          </w:tcPr>
          <w:p>
            <w:r>
              <w:rPr>
                <w:sz w:val="20"/>
              </w:rPr>
              <w:t>I 1</w:t>
            </w:r>
          </w:p>
        </w:tc>
        <w:tc>
          <w:tcPr>
            <w:tcW w:type="dxa" w:w="1296"/>
          </w:tcPr>
          <w:p>
            <w:r>
              <w:rPr>
                <w:sz w:val="20"/>
              </w:rPr>
              <w:t>Info</w:t>
            </w:r>
          </w:p>
        </w:tc>
        <w:tc>
          <w:tcPr>
            <w:tcW w:type="dxa" w:w="5472"/>
          </w:tcPr>
          <w:p>
            <w:r>
              <w:rPr>
                <w:sz w:val="20"/>
              </w:rPr>
              <w:t>Integer Overflow in Paging Parameters</w:t>
            </w:r>
          </w:p>
        </w:tc>
        <w:tc>
          <w:tcPr>
            <w:tcW w:type="dxa" w:w="864"/>
          </w:tcPr>
          <w:p>
            <w:r>
              <w:rPr>
                <w:sz w:val="20"/>
              </w:rPr>
              <w:t>18</w:t>
            </w:r>
          </w:p>
        </w:tc>
      </w:tr>
    </w:tbl>
    <w:p/>
    <w:p>
      <w:pPr>
        <w:jc w:val="left"/>
      </w:pPr>
      <w:r>
        <w:rPr>
          <w:b w:val="0"/>
          <w:i/>
          <w:color w:val="1A1A2E"/>
          <w:sz w:val="22"/>
        </w:rPr>
        <w:t>In the course of this penetration test 1 Critical, 3 High, 1 Medium, 1 Low and 1 Informational finding were identified.</w:t>
      </w:r>
    </w:p>
    <w:p>
      <w:r>
        <w:br w:type="page"/>
      </w:r>
    </w:p>
    <w:p>
      <w:pPr>
        <w:pStyle w:val="Heading1"/>
        <w:jc w:val="left"/>
      </w:pPr>
      <w:r>
        <w:rPr>
          <w:color w:val="0F3E6B"/>
        </w:rPr>
        <w:t>2 Methodology</w:t>
      </w:r>
    </w:p>
    <w:p>
      <w:pPr>
        <w:pStyle w:val="Heading2"/>
        <w:jc w:val="left"/>
      </w:pPr>
      <w:r>
        <w:rPr>
          <w:color w:val="0F3E6B"/>
        </w:rPr>
        <w:t>2.1 Approach</w:t>
      </w:r>
    </w:p>
    <w:p>
      <w:pPr>
        <w:jc w:val="left"/>
      </w:pPr>
      <w:r>
        <w:rPr>
          <w:b w:val="0"/>
          <w:i w:val="0"/>
          <w:color w:val="1A1A2E"/>
          <w:sz w:val="22"/>
        </w:rPr>
        <w:t>De pentest is uitgevoerd met het doel realistische aanvalspaden te vinden. De OWASP Testing Guide v4.2 is gebruikt als methodologisch kader. De aanpak volgt een 'breed eerst, dan dieper'-structuur:</w:t>
      </w:r>
    </w:p>
    <w:p>
      <w:pPr>
        <w:pStyle w:val="ListBullet"/>
      </w:pPr>
      <w:r>
        <w:rPr>
          <w:sz w:val="20"/>
        </w:rPr>
        <w:t>Recon &amp; Attack Surface Mapping — endpoint-inventarisatie via Swagger UI en endpoints.md</w:t>
      </w:r>
    </w:p>
    <w:p>
      <w:pPr>
        <w:pStyle w:val="ListBullet"/>
      </w:pPr>
      <w:r>
        <w:rPr>
          <w:sz w:val="20"/>
        </w:rPr>
        <w:t>Threat-driven hypotheses — per bevinding uit de code review een concrete testhypothese geformuleerd</w:t>
      </w:r>
    </w:p>
    <w:p>
      <w:pPr>
        <w:pStyle w:val="ListBullet"/>
      </w:pPr>
      <w:r>
        <w:rPr>
          <w:sz w:val="20"/>
        </w:rPr>
        <w:t>Gericht testen — reproduceerbare teststappen met HTTP requests (curl, Python, Burp Suite)</w:t>
      </w:r>
    </w:p>
    <w:p>
      <w:pPr>
        <w:pStyle w:val="ListBullet"/>
      </w:pPr>
      <w:r>
        <w:rPr>
          <w:sz w:val="20"/>
        </w:rPr>
        <w:t>Bewijs verzamelen — request/response captures, statuscode-observaties, loganalyse</w:t>
      </w:r>
    </w:p>
    <w:p>
      <w:pPr>
        <w:pStyle w:val="ListBullet"/>
      </w:pPr>
      <w:r>
        <w:rPr>
          <w:sz w:val="20"/>
        </w:rPr>
        <w:t>Impact afbakenen — minimale exploitatie: aantonen dat het kan, zonder maximale schade</w:t>
      </w:r>
    </w:p>
    <w:p>
      <w:pPr>
        <w:pStyle w:val="Heading2"/>
        <w:jc w:val="left"/>
      </w:pPr>
      <w:r>
        <w:rPr>
          <w:color w:val="0F3E6B"/>
        </w:rPr>
        <w:t>2.2 Tools</w:t>
      </w:r>
    </w:p>
    <w:tbl>
      <w:tblPr>
        <w:tblStyle w:val="TableGrid"/>
        <w:tblW w:type="auto" w:w="0"/>
        <w:jc w:val="left"/>
        <w:tblLook w:firstColumn="1" w:firstRow="1" w:lastColumn="0" w:lastRow="0" w:noHBand="0" w:noVBand="1" w:val="04A0"/>
      </w:tblPr>
      <w:tblGrid>
        <w:gridCol w:w="2946"/>
        <w:gridCol w:w="2946"/>
        <w:gridCol w:w="2946"/>
      </w:tblGrid>
      <w:tr>
        <w:tc>
          <w:tcPr>
            <w:tcW w:type="dxa" w:w="1872"/>
            <w:shd w:val="clear" w:color="auto" w:fill="0F3E6B"/>
          </w:tcPr>
          <w:p>
            <w:r>
              <w:rPr>
                <w:b/>
                <w:color w:val="FFFFFF"/>
                <w:sz w:val="20"/>
              </w:rPr>
              <w:t>Tool</w:t>
            </w:r>
          </w:p>
        </w:tc>
        <w:tc>
          <w:tcPr>
            <w:tcW w:type="dxa" w:w="3168"/>
            <w:shd w:val="clear" w:color="auto" w:fill="0F3E6B"/>
          </w:tcPr>
          <w:p>
            <w:r>
              <w:rPr>
                <w:b/>
                <w:color w:val="FFFFFF"/>
                <w:sz w:val="20"/>
              </w:rPr>
              <w:t>Doel</w:t>
            </w:r>
          </w:p>
        </w:tc>
        <w:tc>
          <w:tcPr>
            <w:tcW w:type="dxa" w:w="3312"/>
            <w:shd w:val="clear" w:color="auto" w:fill="0F3E6B"/>
          </w:tcPr>
          <w:p>
            <w:r>
              <w:rPr>
                <w:b/>
                <w:color w:val="FFFFFF"/>
                <w:sz w:val="20"/>
              </w:rPr>
              <w:t>Gebruik</w:t>
            </w:r>
          </w:p>
        </w:tc>
      </w:tr>
      <w:tr>
        <w:tc>
          <w:tcPr>
            <w:tcW w:type="dxa" w:w="1872"/>
          </w:tcPr>
          <w:p>
            <w:r>
              <w:rPr>
                <w:sz w:val="20"/>
              </w:rPr>
              <w:t>curl</w:t>
            </w:r>
          </w:p>
        </w:tc>
        <w:tc>
          <w:tcPr>
            <w:tcW w:type="dxa" w:w="3168"/>
          </w:tcPr>
          <w:p>
            <w:r>
              <w:rPr>
                <w:sz w:val="20"/>
              </w:rPr>
              <w:t>HTTP request/response verificatie</w:t>
            </w:r>
          </w:p>
        </w:tc>
        <w:tc>
          <w:tcPr>
            <w:tcW w:type="dxa" w:w="3312"/>
          </w:tcPr>
          <w:p>
            <w:r>
              <w:rPr>
                <w:sz w:val="20"/>
              </w:rPr>
              <w:t>Statuscode-verificatie, header-inspectie</w:t>
            </w:r>
          </w:p>
        </w:tc>
      </w:tr>
      <w:tr>
        <w:tc>
          <w:tcPr>
            <w:tcW w:type="dxa" w:w="1872"/>
            <w:shd w:val="clear" w:color="auto" w:fill="F8F9FA"/>
          </w:tcPr>
          <w:p>
            <w:r>
              <w:rPr>
                <w:sz w:val="20"/>
              </w:rPr>
              <w:t>Python 3</w:t>
            </w:r>
          </w:p>
        </w:tc>
        <w:tc>
          <w:tcPr>
            <w:tcW w:type="dxa" w:w="3168"/>
            <w:shd w:val="clear" w:color="auto" w:fill="F8F9FA"/>
          </w:tcPr>
          <w:p>
            <w:r>
              <w:rPr>
                <w:sz w:val="20"/>
              </w:rPr>
              <w:t>Geautomatiseerde rate-limit test</w:t>
            </w:r>
          </w:p>
        </w:tc>
        <w:tc>
          <w:tcPr>
            <w:tcW w:type="dxa" w:w="3312"/>
            <w:shd w:val="clear" w:color="auto" w:fill="F8F9FA"/>
          </w:tcPr>
          <w:p>
            <w:r>
              <w:rPr>
                <w:sz w:val="20"/>
              </w:rPr>
              <w:t>30 inlogpogingen, timing meten</w:t>
            </w:r>
          </w:p>
        </w:tc>
      </w:tr>
      <w:tr>
        <w:tc>
          <w:tcPr>
            <w:tcW w:type="dxa" w:w="1872"/>
          </w:tcPr>
          <w:p>
            <w:r>
              <w:rPr>
                <w:sz w:val="20"/>
              </w:rPr>
              <w:t>Burp Suite</w:t>
            </w:r>
          </w:p>
        </w:tc>
        <w:tc>
          <w:tcPr>
            <w:tcW w:type="dxa" w:w="3168"/>
          </w:tcPr>
          <w:p>
            <w:r>
              <w:rPr>
                <w:sz w:val="20"/>
              </w:rPr>
              <w:t>Request interceptie en manipulatie</w:t>
            </w:r>
          </w:p>
        </w:tc>
        <w:tc>
          <w:tcPr>
            <w:tcW w:type="dxa" w:w="3312"/>
          </w:tcPr>
          <w:p>
            <w:r>
              <w:rPr>
                <w:sz w:val="20"/>
              </w:rPr>
              <w:t>Session ID manipulatie, replay attacks</w:t>
            </w:r>
          </w:p>
        </w:tc>
      </w:tr>
      <w:tr>
        <w:tc>
          <w:tcPr>
            <w:tcW w:type="dxa" w:w="1872"/>
            <w:shd w:val="clear" w:color="auto" w:fill="F8F9FA"/>
          </w:tcPr>
          <w:p>
            <w:r>
              <w:rPr>
                <w:sz w:val="20"/>
              </w:rPr>
              <w:t>OWASP ZAP</w:t>
            </w:r>
          </w:p>
        </w:tc>
        <w:tc>
          <w:tcPr>
            <w:tcW w:type="dxa" w:w="3168"/>
            <w:shd w:val="clear" w:color="auto" w:fill="F8F9FA"/>
          </w:tcPr>
          <w:p>
            <w:r>
              <w:rPr>
                <w:sz w:val="20"/>
              </w:rPr>
              <w:t>Geautomatiseerde DAST baseline scan</w:t>
            </w:r>
          </w:p>
        </w:tc>
        <w:tc>
          <w:tcPr>
            <w:tcW w:type="dxa" w:w="3312"/>
            <w:shd w:val="clear" w:color="auto" w:fill="F8F9FA"/>
          </w:tcPr>
          <w:p>
            <w:r>
              <w:rPr>
                <w:sz w:val="20"/>
              </w:rPr>
              <w:t>Bredere endpoint-scan, XSS-detectie</w:t>
            </w:r>
          </w:p>
        </w:tc>
      </w:tr>
      <w:tr>
        <w:tc>
          <w:tcPr>
            <w:tcW w:type="dxa" w:w="1872"/>
          </w:tcPr>
          <w:p>
            <w:r>
              <w:rPr>
                <w:sz w:val="20"/>
              </w:rPr>
              <w:t>CodeQL (GitHub)</w:t>
            </w:r>
          </w:p>
        </w:tc>
        <w:tc>
          <w:tcPr>
            <w:tcW w:type="dxa" w:w="3168"/>
          </w:tcPr>
          <w:p>
            <w:r>
              <w:rPr>
                <w:sz w:val="20"/>
              </w:rPr>
              <w:t>SAST — code-niveau kwetsbaarheidsscan</w:t>
            </w:r>
          </w:p>
        </w:tc>
        <w:tc>
          <w:tcPr>
            <w:tcW w:type="dxa" w:w="3312"/>
          </w:tcPr>
          <w:p>
            <w:r>
              <w:rPr>
                <w:sz w:val="20"/>
              </w:rPr>
              <w:t>Verificatie van bevindingen in broncode</w:t>
            </w:r>
          </w:p>
        </w:tc>
      </w:tr>
    </w:tbl>
    <w:p>
      <w:pPr>
        <w:pStyle w:val="Heading2"/>
        <w:jc w:val="left"/>
      </w:pPr>
      <w:r>
        <w:rPr>
          <w:color w:val="0F3E6B"/>
        </w:rPr>
        <w:t>2.3 Limitations</w:t>
      </w:r>
    </w:p>
    <w:p>
      <w:pPr>
        <w:pStyle w:val="ListBullet"/>
      </w:pPr>
      <w:r>
        <w:rPr>
          <w:sz w:val="20"/>
        </w:rPr>
        <w:t>Geen DoS/load testing uitgevoerd.</w:t>
      </w:r>
    </w:p>
    <w:p>
      <w:pPr>
        <w:pStyle w:val="ListBullet"/>
      </w:pPr>
      <w:r>
        <w:rPr>
          <w:sz w:val="20"/>
        </w:rPr>
        <w:t>Rate limiting tests zijn bewust low-impact (kleine aantallen requests).</w:t>
      </w:r>
    </w:p>
    <w:p>
      <w:pPr>
        <w:pStyle w:val="ListBullet"/>
      </w:pPr>
      <w:r>
        <w:rPr>
          <w:sz w:val="20"/>
        </w:rPr>
        <w:t>Bevindingen zijn aangetoond met minimale noodzakelijke stappen — geen maximale exploitatie.</w:t>
      </w:r>
    </w:p>
    <w:p>
      <w:pPr>
        <w:pStyle w:val="ListBullet"/>
      </w:pPr>
      <w:r>
        <w:rPr>
          <w:sz w:val="20"/>
        </w:rPr>
        <w:t>Test uitgevoerd op lokale instantie; productieconfiguratie kan afwijken.</w:t>
      </w:r>
    </w:p>
    <w:p>
      <w:pPr>
        <w:pStyle w:val="ListBullet"/>
      </w:pPr>
      <w:r>
        <w:rPr>
          <w:sz w:val="20"/>
        </w:rPr>
        <w:t>Tijdgebrek: niet ieder edge case is volledig uitputtend getest.</w:t>
      </w:r>
    </w:p>
    <w:p>
      <w:pPr>
        <w:pStyle w:val="Heading2"/>
        <w:jc w:val="left"/>
      </w:pPr>
      <w:r>
        <w:rPr>
          <w:color w:val="0F3E6B"/>
        </w:rPr>
        <w:t>2.4 Scope</w:t>
      </w:r>
    </w:p>
    <w:p>
      <w:pPr>
        <w:jc w:val="left"/>
      </w:pPr>
      <w:r>
        <w:rPr>
          <w:b w:val="0"/>
          <w:i w:val="0"/>
          <w:color w:val="1A1A2E"/>
          <w:sz w:val="22"/>
        </w:rPr>
        <w:t>Testing was performed from June 10–11, 2026.</w:t>
      </w:r>
    </w:p>
    <w:tbl>
      <w:tblPr>
        <w:tblStyle w:val="TableGrid"/>
        <w:tblW w:type="auto" w:w="0"/>
        <w:jc w:val="left"/>
        <w:tblLook w:firstColumn="1" w:firstRow="1" w:lastColumn="0" w:lastRow="0" w:noHBand="0" w:noVBand="1" w:val="04A0"/>
      </w:tblPr>
      <w:tblGrid>
        <w:gridCol w:w="4419"/>
        <w:gridCol w:w="4419"/>
      </w:tblGrid>
      <w:tr>
        <w:tc>
          <w:tcPr>
            <w:tcW w:type="dxa" w:w="2160"/>
            <w:shd w:val="clear" w:color="auto" w:fill="0F3E6B"/>
          </w:tcPr>
          <w:p>
            <w:r>
              <w:rPr>
                <w:b/>
                <w:color w:val="FFFFFF"/>
                <w:sz w:val="20"/>
              </w:rPr>
              <w:t>Item</w:t>
            </w:r>
          </w:p>
        </w:tc>
        <w:tc>
          <w:tcPr>
            <w:tcW w:type="dxa" w:w="6192"/>
            <w:shd w:val="clear" w:color="auto" w:fill="0F3E6B"/>
          </w:tcPr>
          <w:p>
            <w:r>
              <w:rPr>
                <w:b/>
                <w:color w:val="FFFFFF"/>
                <w:sz w:val="20"/>
              </w:rPr>
              <w:t>Details</w:t>
            </w:r>
          </w:p>
        </w:tc>
      </w:tr>
      <w:tr>
        <w:tc>
          <w:tcPr>
            <w:tcW w:type="dxa" w:w="2160"/>
          </w:tcPr>
          <w:p>
            <w:r>
              <w:rPr>
                <w:sz w:val="20"/>
              </w:rPr>
              <w:t>Target</w:t>
            </w:r>
          </w:p>
        </w:tc>
        <w:tc>
          <w:tcPr>
            <w:tcW w:type="dxa" w:w="6192"/>
          </w:tcPr>
          <w:p>
            <w:r>
              <w:rPr>
                <w:sz w:val="20"/>
              </w:rPr>
              <w:t>OpenMRS 2.8.7 + webservices.rest 3.2.0</w:t>
            </w:r>
          </w:p>
        </w:tc>
      </w:tr>
      <w:tr>
        <w:tc>
          <w:tcPr>
            <w:tcW w:type="dxa" w:w="2160"/>
            <w:shd w:val="clear" w:color="auto" w:fill="F8F9FA"/>
          </w:tcPr>
          <w:p>
            <w:r>
              <w:rPr>
                <w:sz w:val="20"/>
              </w:rPr>
              <w:t>Host</w:t>
            </w:r>
          </w:p>
        </w:tc>
        <w:tc>
          <w:tcPr>
            <w:tcW w:type="dxa" w:w="6192"/>
            <w:shd w:val="clear" w:color="auto" w:fill="F8F9FA"/>
          </w:tcPr>
          <w:p>
            <w:r>
              <w:rPr>
                <w:sz w:val="20"/>
              </w:rPr>
              <w:t>http://localhost:8080/openmrs (lokale Docker instantie)</w:t>
            </w:r>
          </w:p>
        </w:tc>
      </w:tr>
      <w:tr>
        <w:tc>
          <w:tcPr>
            <w:tcW w:type="dxa" w:w="2160"/>
          </w:tcPr>
          <w:p>
            <w:r>
              <w:rPr>
                <w:sz w:val="20"/>
              </w:rPr>
              <w:t>In-scope</w:t>
            </w:r>
          </w:p>
        </w:tc>
        <w:tc>
          <w:tcPr>
            <w:tcW w:type="dxa" w:w="6192"/>
          </w:tcPr>
          <w:p>
            <w:r>
              <w:rPr>
                <w:sz w:val="20"/>
              </w:rPr>
              <w:t>/ws/rest/v1/* — alle REST-endpoints van de webservices module</w:t>
            </w:r>
          </w:p>
        </w:tc>
      </w:tr>
      <w:tr>
        <w:tc>
          <w:tcPr>
            <w:tcW w:type="dxa" w:w="2160"/>
            <w:shd w:val="clear" w:color="auto" w:fill="F8F9FA"/>
          </w:tcPr>
          <w:p>
            <w:r>
              <w:rPr>
                <w:sz w:val="20"/>
              </w:rPr>
              <w:t>Out-of-scope</w:t>
            </w:r>
          </w:p>
        </w:tc>
        <w:tc>
          <w:tcPr>
            <w:tcW w:type="dxa" w:w="6192"/>
            <w:shd w:val="clear" w:color="auto" w:fill="F8F9FA"/>
          </w:tcPr>
          <w:p>
            <w:r>
              <w:rPr>
                <w:sz w:val="20"/>
              </w:rPr>
              <w:t>OpenMRS core, database, externe integraties, DoS/load testing</w:t>
            </w:r>
          </w:p>
        </w:tc>
      </w:tr>
      <w:tr>
        <w:tc>
          <w:tcPr>
            <w:tcW w:type="dxa" w:w="2160"/>
          </w:tcPr>
          <w:p>
            <w:r>
              <w:rPr>
                <w:sz w:val="20"/>
              </w:rPr>
              <w:t>Autorisatie</w:t>
            </w:r>
          </w:p>
        </w:tc>
        <w:tc>
          <w:tcPr>
            <w:tcW w:type="dxa" w:w="6192"/>
          </w:tcPr>
          <w:p>
            <w:r>
              <w:rPr>
                <w:sz w:val="20"/>
              </w:rPr>
              <w:t>Lokale gecontroleerde instantie, uitsluitend voor dit beveiligingsonderzoek</w:t>
            </w:r>
          </w:p>
        </w:tc>
      </w:tr>
    </w:tbl>
    <w:p>
      <w:r>
        <w:br w:type="page"/>
      </w:r>
    </w:p>
    <w:p>
      <w:pPr>
        <w:pStyle w:val="Heading1"/>
        <w:jc w:val="left"/>
      </w:pPr>
      <w:r>
        <w:rPr>
          <w:color w:val="0F3E6B"/>
        </w:rPr>
        <w:t>3 OWASP Top 10</w:t>
      </w:r>
    </w:p>
    <w:p>
      <w:pPr>
        <w:jc w:val="left"/>
      </w:pPr>
      <w:r>
        <w:rPr>
          <w:b w:val="0"/>
          <w:i w:val="0"/>
          <w:color w:val="1A1A2E"/>
          <w:sz w:val="22"/>
        </w:rPr>
        <w:t>Versie: OWASP 2021</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4032"/>
            <w:shd w:val="clear" w:color="auto" w:fill="0F3E6B"/>
          </w:tcPr>
          <w:p>
            <w:r>
              <w:rPr>
                <w:b/>
                <w:color w:val="FFFFFF"/>
                <w:sz w:val="20"/>
              </w:rPr>
              <w:t>OWASP Category</w:t>
            </w:r>
          </w:p>
        </w:tc>
        <w:tc>
          <w:tcPr>
            <w:tcW w:type="dxa" w:w="1008"/>
            <w:shd w:val="clear" w:color="auto" w:fill="0F3E6B"/>
          </w:tcPr>
          <w:p>
            <w:r>
              <w:rPr>
                <w:b/>
                <w:color w:val="FFFFFF"/>
                <w:sz w:val="20"/>
              </w:rPr>
              <w:t>Tested</w:t>
            </w:r>
          </w:p>
        </w:tc>
        <w:tc>
          <w:tcPr>
            <w:tcW w:type="dxa" w:w="1008"/>
            <w:shd w:val="clear" w:color="auto" w:fill="0F3E6B"/>
          </w:tcPr>
          <w:p>
            <w:r>
              <w:rPr>
                <w:b/>
                <w:color w:val="FFFFFF"/>
                <w:sz w:val="20"/>
              </w:rPr>
              <w:t>Result</w:t>
            </w:r>
          </w:p>
        </w:tc>
        <w:tc>
          <w:tcPr>
            <w:tcW w:type="dxa" w:w="2304"/>
            <w:shd w:val="clear" w:color="auto" w:fill="0F3E6B"/>
          </w:tcPr>
          <w:p>
            <w:r>
              <w:rPr>
                <w:b/>
                <w:color w:val="FFFFFF"/>
                <w:sz w:val="20"/>
              </w:rPr>
              <w:t>Notes</w:t>
            </w:r>
          </w:p>
        </w:tc>
      </w:tr>
      <w:tr>
        <w:tc>
          <w:tcPr>
            <w:tcW w:type="dxa" w:w="4032"/>
          </w:tcPr>
          <w:p>
            <w:r>
              <w:rPr>
                <w:sz w:val="20"/>
              </w:rPr>
              <w:t>A01 Broken Access Control</w:t>
            </w:r>
          </w:p>
        </w:tc>
        <w:tc>
          <w:tcPr>
            <w:tcW w:type="dxa" w:w="1008"/>
          </w:tcPr>
          <w:p>
            <w:r>
              <w:rPr>
                <w:sz w:val="20"/>
              </w:rPr>
              <w:t>✅</w:t>
            </w:r>
          </w:p>
        </w:tc>
        <w:tc>
          <w:tcPr>
            <w:tcW w:type="dxa" w:w="1008"/>
          </w:tcPr>
          <w:p>
            <w:r>
              <w:rPr>
                <w:sz w:val="20"/>
              </w:rPr>
              <w:t>Open</w:t>
            </w:r>
          </w:p>
        </w:tc>
        <w:tc>
          <w:tcPr>
            <w:tcW w:type="dxa" w:w="2304"/>
          </w:tcPr>
          <w:p>
            <w:r>
              <w:rPr>
                <w:sz w:val="20"/>
              </w:rPr>
              <w:t>1 Finding (auth bypass)</w:t>
            </w:r>
          </w:p>
        </w:tc>
      </w:tr>
      <w:tr>
        <w:tc>
          <w:tcPr>
            <w:tcW w:type="dxa" w:w="4032"/>
            <w:shd w:val="clear" w:color="auto" w:fill="F8F9FA"/>
          </w:tcPr>
          <w:p>
            <w:r>
              <w:rPr>
                <w:sz w:val="20"/>
              </w:rPr>
              <w:t>A02 Security Misconfiguration</w:t>
            </w:r>
          </w:p>
        </w:tc>
        <w:tc>
          <w:tcPr>
            <w:tcW w:type="dxa" w:w="1008"/>
            <w:shd w:val="clear" w:color="auto" w:fill="F8F9FA"/>
          </w:tcPr>
          <w:p>
            <w:r>
              <w:rPr>
                <w:sz w:val="20"/>
              </w:rPr>
              <w:t>✅</w:t>
            </w:r>
          </w:p>
        </w:tc>
        <w:tc>
          <w:tcPr>
            <w:tcW w:type="dxa" w:w="1008"/>
            <w:shd w:val="clear" w:color="auto" w:fill="F8F9FA"/>
          </w:tcPr>
          <w:p>
            <w:r>
              <w:rPr>
                <w:sz w:val="20"/>
              </w:rPr>
              <w:t>OK</w:t>
            </w:r>
          </w:p>
        </w:tc>
        <w:tc>
          <w:tcPr>
            <w:tcW w:type="dxa" w:w="2304"/>
            <w:shd w:val="clear" w:color="auto" w:fill="F8F9FA"/>
          </w:tcPr>
          <w:p>
            <w:r>
              <w:rPr>
                <w:sz w:val="20"/>
              </w:rPr>
              <w:t>No findings</w:t>
            </w:r>
          </w:p>
        </w:tc>
      </w:tr>
      <w:tr>
        <w:tc>
          <w:tcPr>
            <w:tcW w:type="dxa" w:w="4032"/>
          </w:tcPr>
          <w:p>
            <w:r>
              <w:rPr>
                <w:sz w:val="20"/>
              </w:rPr>
              <w:t>A03 Injection</w:t>
            </w:r>
          </w:p>
        </w:tc>
        <w:tc>
          <w:tcPr>
            <w:tcW w:type="dxa" w:w="1008"/>
          </w:tcPr>
          <w:p>
            <w:r>
              <w:rPr>
                <w:sz w:val="20"/>
              </w:rPr>
              <w:t>✅</w:t>
            </w:r>
          </w:p>
        </w:tc>
        <w:tc>
          <w:tcPr>
            <w:tcW w:type="dxa" w:w="1008"/>
          </w:tcPr>
          <w:p>
            <w:r>
              <w:rPr>
                <w:sz w:val="20"/>
              </w:rPr>
              <w:t>Open</w:t>
            </w:r>
          </w:p>
        </w:tc>
        <w:tc>
          <w:tcPr>
            <w:tcW w:type="dxa" w:w="2304"/>
          </w:tcPr>
          <w:p>
            <w:r>
              <w:rPr>
                <w:sz w:val="20"/>
              </w:rPr>
              <w:t>1 Finding (XSS)</w:t>
            </w:r>
          </w:p>
        </w:tc>
      </w:tr>
      <w:tr>
        <w:tc>
          <w:tcPr>
            <w:tcW w:type="dxa" w:w="4032"/>
            <w:shd w:val="clear" w:color="auto" w:fill="F8F9FA"/>
          </w:tcPr>
          <w:p>
            <w:r>
              <w:rPr>
                <w:sz w:val="20"/>
              </w:rPr>
              <w:t>A04 Insecure Design</w:t>
            </w:r>
          </w:p>
        </w:tc>
        <w:tc>
          <w:tcPr>
            <w:tcW w:type="dxa" w:w="1008"/>
            <w:shd w:val="clear" w:color="auto" w:fill="F8F9FA"/>
          </w:tcPr>
          <w:p>
            <w:r>
              <w:rPr>
                <w:sz w:val="20"/>
              </w:rPr>
              <w:t>✅</w:t>
            </w:r>
          </w:p>
        </w:tc>
        <w:tc>
          <w:tcPr>
            <w:tcW w:type="dxa" w:w="1008"/>
            <w:shd w:val="clear" w:color="auto" w:fill="F8F9FA"/>
          </w:tcPr>
          <w:p>
            <w:r>
              <w:rPr>
                <w:sz w:val="20"/>
              </w:rPr>
              <w:t>OK</w:t>
            </w:r>
          </w:p>
        </w:tc>
        <w:tc>
          <w:tcPr>
            <w:tcW w:type="dxa" w:w="2304"/>
            <w:shd w:val="clear" w:color="auto" w:fill="F8F9FA"/>
          </w:tcPr>
          <w:p>
            <w:r>
              <w:rPr>
                <w:sz w:val="20"/>
              </w:rPr>
              <w:t>No findings</w:t>
            </w:r>
          </w:p>
        </w:tc>
      </w:tr>
      <w:tr>
        <w:tc>
          <w:tcPr>
            <w:tcW w:type="dxa" w:w="4032"/>
          </w:tcPr>
          <w:p>
            <w:r>
              <w:rPr>
                <w:sz w:val="20"/>
              </w:rPr>
              <w:t>A05 Security Misconfiguration</w:t>
            </w:r>
          </w:p>
        </w:tc>
        <w:tc>
          <w:tcPr>
            <w:tcW w:type="dxa" w:w="1008"/>
          </w:tcPr>
          <w:p>
            <w:r>
              <w:rPr>
                <w:sz w:val="20"/>
              </w:rPr>
              <w:t>✅</w:t>
            </w:r>
          </w:p>
        </w:tc>
        <w:tc>
          <w:tcPr>
            <w:tcW w:type="dxa" w:w="1008"/>
          </w:tcPr>
          <w:p>
            <w:r>
              <w:rPr>
                <w:sz w:val="20"/>
              </w:rPr>
              <w:t>OK</w:t>
            </w:r>
          </w:p>
        </w:tc>
        <w:tc>
          <w:tcPr>
            <w:tcW w:type="dxa" w:w="2304"/>
          </w:tcPr>
          <w:p>
            <w:r>
              <w:rPr>
                <w:sz w:val="20"/>
              </w:rPr>
              <w:t>No findings</w:t>
            </w:r>
          </w:p>
        </w:tc>
      </w:tr>
      <w:tr>
        <w:tc>
          <w:tcPr>
            <w:tcW w:type="dxa" w:w="4032"/>
            <w:shd w:val="clear" w:color="auto" w:fill="F8F9FA"/>
          </w:tcPr>
          <w:p>
            <w:r>
              <w:rPr>
                <w:sz w:val="20"/>
              </w:rPr>
              <w:t>A06 Vulnerable Components</w:t>
            </w:r>
          </w:p>
        </w:tc>
        <w:tc>
          <w:tcPr>
            <w:tcW w:type="dxa" w:w="1008"/>
            <w:shd w:val="clear" w:color="auto" w:fill="F8F9FA"/>
          </w:tcPr>
          <w:p>
            <w:r>
              <w:rPr>
                <w:sz w:val="20"/>
              </w:rPr>
              <w:t>✅</w:t>
            </w:r>
          </w:p>
        </w:tc>
        <w:tc>
          <w:tcPr>
            <w:tcW w:type="dxa" w:w="1008"/>
            <w:shd w:val="clear" w:color="auto" w:fill="F8F9FA"/>
          </w:tcPr>
          <w:p>
            <w:r>
              <w:rPr>
                <w:sz w:val="20"/>
              </w:rPr>
              <w:t>OK</w:t>
            </w:r>
          </w:p>
        </w:tc>
        <w:tc>
          <w:tcPr>
            <w:tcW w:type="dxa" w:w="2304"/>
            <w:shd w:val="clear" w:color="auto" w:fill="F8F9FA"/>
          </w:tcPr>
          <w:p>
            <w:r>
              <w:rPr>
                <w:sz w:val="20"/>
              </w:rPr>
              <w:t>See SBOM analysis</w:t>
            </w:r>
          </w:p>
        </w:tc>
      </w:tr>
      <w:tr>
        <w:tc>
          <w:tcPr>
            <w:tcW w:type="dxa" w:w="4032"/>
          </w:tcPr>
          <w:p>
            <w:r>
              <w:rPr>
                <w:sz w:val="20"/>
              </w:rPr>
              <w:t>A07 Authentication Failures</w:t>
            </w:r>
          </w:p>
        </w:tc>
        <w:tc>
          <w:tcPr>
            <w:tcW w:type="dxa" w:w="1008"/>
          </w:tcPr>
          <w:p>
            <w:r>
              <w:rPr>
                <w:sz w:val="20"/>
              </w:rPr>
              <w:t>✅</w:t>
            </w:r>
          </w:p>
        </w:tc>
        <w:tc>
          <w:tcPr>
            <w:tcW w:type="dxa" w:w="1008"/>
          </w:tcPr>
          <w:p>
            <w:r>
              <w:rPr>
                <w:sz w:val="20"/>
              </w:rPr>
              <w:t>Open</w:t>
            </w:r>
          </w:p>
        </w:tc>
        <w:tc>
          <w:tcPr>
            <w:tcW w:type="dxa" w:w="2304"/>
          </w:tcPr>
          <w:p>
            <w:r>
              <w:rPr>
                <w:sz w:val="20"/>
              </w:rPr>
              <w:t>3 Findings (brute force, bypass, fixation)</w:t>
            </w:r>
          </w:p>
        </w:tc>
      </w:tr>
      <w:tr>
        <w:tc>
          <w:tcPr>
            <w:tcW w:type="dxa" w:w="4032"/>
            <w:shd w:val="clear" w:color="auto" w:fill="F8F9FA"/>
          </w:tcPr>
          <w:p>
            <w:r>
              <w:rPr>
                <w:sz w:val="20"/>
              </w:rPr>
              <w:t>A08 Software Integrity Failures</w:t>
            </w:r>
          </w:p>
        </w:tc>
        <w:tc>
          <w:tcPr>
            <w:tcW w:type="dxa" w:w="1008"/>
            <w:shd w:val="clear" w:color="auto" w:fill="F8F9FA"/>
          </w:tcPr>
          <w:p>
            <w:r>
              <w:rPr>
                <w:sz w:val="20"/>
              </w:rPr>
              <w:t>✅</w:t>
            </w:r>
          </w:p>
        </w:tc>
        <w:tc>
          <w:tcPr>
            <w:tcW w:type="dxa" w:w="1008"/>
            <w:shd w:val="clear" w:color="auto" w:fill="F8F9FA"/>
          </w:tcPr>
          <w:p>
            <w:r>
              <w:rPr>
                <w:sz w:val="20"/>
              </w:rPr>
              <w:t>OK</w:t>
            </w:r>
          </w:p>
        </w:tc>
        <w:tc>
          <w:tcPr>
            <w:tcW w:type="dxa" w:w="2304"/>
            <w:shd w:val="clear" w:color="auto" w:fill="F8F9FA"/>
          </w:tcPr>
          <w:p>
            <w:r>
              <w:rPr>
                <w:sz w:val="20"/>
              </w:rPr>
              <w:t>No findings</w:t>
            </w:r>
          </w:p>
        </w:tc>
      </w:tr>
      <w:tr>
        <w:tc>
          <w:tcPr>
            <w:tcW w:type="dxa" w:w="4032"/>
          </w:tcPr>
          <w:p>
            <w:r>
              <w:rPr>
                <w:sz w:val="20"/>
              </w:rPr>
              <w:t>A09 Security Logging Failures</w:t>
            </w:r>
          </w:p>
        </w:tc>
        <w:tc>
          <w:tcPr>
            <w:tcW w:type="dxa" w:w="1008"/>
          </w:tcPr>
          <w:p>
            <w:r>
              <w:rPr>
                <w:sz w:val="20"/>
              </w:rPr>
              <w:t>✅</w:t>
            </w:r>
          </w:p>
        </w:tc>
        <w:tc>
          <w:tcPr>
            <w:tcW w:type="dxa" w:w="1008"/>
          </w:tcPr>
          <w:p>
            <w:r>
              <w:rPr>
                <w:sz w:val="20"/>
              </w:rPr>
              <w:t>Open</w:t>
            </w:r>
          </w:p>
        </w:tc>
        <w:tc>
          <w:tcPr>
            <w:tcW w:type="dxa" w:w="2304"/>
          </w:tcPr>
          <w:p>
            <w:r>
              <w:rPr>
                <w:sz w:val="20"/>
              </w:rPr>
              <w:t>1 Finding (sensitive log)</w:t>
            </w:r>
          </w:p>
        </w:tc>
      </w:tr>
      <w:tr>
        <w:tc>
          <w:tcPr>
            <w:tcW w:type="dxa" w:w="4032"/>
            <w:shd w:val="clear" w:color="auto" w:fill="F8F9FA"/>
          </w:tcPr>
          <w:p>
            <w:r>
              <w:rPr>
                <w:sz w:val="20"/>
              </w:rPr>
              <w:t>A10 Server-Side Request Forgery</w:t>
            </w:r>
          </w:p>
        </w:tc>
        <w:tc>
          <w:tcPr>
            <w:tcW w:type="dxa" w:w="1008"/>
            <w:shd w:val="clear" w:color="auto" w:fill="F8F9FA"/>
          </w:tcPr>
          <w:p>
            <w:r>
              <w:rPr>
                <w:sz w:val="20"/>
              </w:rPr>
              <w:t>✅</w:t>
            </w:r>
          </w:p>
        </w:tc>
        <w:tc>
          <w:tcPr>
            <w:tcW w:type="dxa" w:w="1008"/>
            <w:shd w:val="clear" w:color="auto" w:fill="F8F9FA"/>
          </w:tcPr>
          <w:p>
            <w:r>
              <w:rPr>
                <w:sz w:val="20"/>
              </w:rPr>
              <w:t>OK</w:t>
            </w:r>
          </w:p>
        </w:tc>
        <w:tc>
          <w:tcPr>
            <w:tcW w:type="dxa" w:w="2304"/>
            <w:shd w:val="clear" w:color="auto" w:fill="F8F9FA"/>
          </w:tcPr>
          <w:p>
            <w:r>
              <w:rPr>
                <w:sz w:val="20"/>
              </w:rPr>
              <w:t>No findings</w:t>
            </w:r>
          </w:p>
        </w:tc>
      </w:tr>
    </w:tbl>
    <w:p>
      <w:r>
        <w:br w:type="page"/>
      </w:r>
    </w:p>
    <w:p>
      <w:pPr>
        <w:pStyle w:val="Heading1"/>
        <w:jc w:val="left"/>
      </w:pPr>
      <w:r>
        <w:rPr>
          <w:color w:val="0F3E6B"/>
        </w:rPr>
        <w:t>4 Findings</w:t>
      </w:r>
    </w:p>
    <w:p>
      <w:pPr>
        <w:pStyle w:val="Heading2"/>
        <w:jc w:val="left"/>
      </w:pPr>
      <w:r>
        <w:rPr>
          <w:color w:val="0F3E6B"/>
        </w:rPr>
        <w:t>C 1: Auth Bypass — Missing return after sendError</w:t>
      </w:r>
    </w:p>
    <w:tbl>
      <w:tblPr>
        <w:tblStyle w:val="TableGrid"/>
        <w:tblW w:type="auto" w:w="0"/>
        <w:jc w:val="left"/>
        <w:tblLook w:firstColumn="1" w:firstRow="1" w:lastColumn="0" w:lastRow="0" w:noHBand="0" w:noVBand="1" w:val="04A0"/>
      </w:tblPr>
      <w:tblGrid>
        <w:gridCol w:w="4419"/>
        <w:gridCol w:w="4419"/>
      </w:tblGrid>
      <w:tr>
        <w:tc>
          <w:tcPr>
            <w:tcW w:type="dxa" w:w="2160"/>
            <w:shd w:val="clear" w:color="auto" w:fill="0F3E6B"/>
          </w:tcPr>
          <w:p>
            <w:r>
              <w:rPr>
                <w:b/>
                <w:color w:val="FFFFFF"/>
                <w:sz w:val="20"/>
              </w:rPr>
              <w:t>Field</w:t>
            </w:r>
          </w:p>
        </w:tc>
        <w:tc>
          <w:tcPr>
            <w:tcW w:type="dxa" w:w="6192"/>
            <w:shd w:val="clear" w:color="auto" w:fill="0F3E6B"/>
          </w:tcPr>
          <w:p>
            <w:r>
              <w:rPr>
                <w:b/>
                <w:color w:val="FFFFFF"/>
                <w:sz w:val="20"/>
              </w:rPr>
              <w:t>Value</w:t>
            </w:r>
          </w:p>
        </w:tc>
      </w:tr>
      <w:tr>
        <w:tc>
          <w:tcPr>
            <w:tcW w:type="dxa" w:w="2160"/>
          </w:tcPr>
          <w:p>
            <w:r>
              <w:rPr>
                <w:sz w:val="20"/>
              </w:rPr>
              <w:t>Severity</w:t>
            </w:r>
          </w:p>
        </w:tc>
        <w:tc>
          <w:tcPr>
            <w:tcW w:type="dxa" w:w="6192"/>
          </w:tcPr>
          <w:p>
            <w:r>
              <w:rPr>
                <w:sz w:val="20"/>
              </w:rPr>
              <w:t>Critical</w:t>
            </w:r>
          </w:p>
        </w:tc>
      </w:tr>
      <w:tr>
        <w:tc>
          <w:tcPr>
            <w:tcW w:type="dxa" w:w="2160"/>
            <w:shd w:val="clear" w:color="auto" w:fill="F8F9FA"/>
          </w:tcPr>
          <w:p>
            <w:r>
              <w:rPr>
                <w:sz w:val="20"/>
              </w:rPr>
              <w:t>OWASP</w:t>
            </w:r>
          </w:p>
        </w:tc>
        <w:tc>
          <w:tcPr>
            <w:tcW w:type="dxa" w:w="6192"/>
            <w:shd w:val="clear" w:color="auto" w:fill="F8F9FA"/>
          </w:tcPr>
          <w:p>
            <w:r>
              <w:rPr>
                <w:sz w:val="20"/>
              </w:rPr>
              <w:t>A07:2021 — Identification and Authentication Failures</w:t>
            </w:r>
          </w:p>
        </w:tc>
      </w:tr>
      <w:tr>
        <w:tc>
          <w:tcPr>
            <w:tcW w:type="dxa" w:w="2160"/>
          </w:tcPr>
          <w:p>
            <w:r>
              <w:rPr>
                <w:sz w:val="20"/>
              </w:rPr>
              <w:t>Affected components</w:t>
            </w:r>
          </w:p>
        </w:tc>
        <w:tc>
          <w:tcPr>
            <w:tcW w:type="dxa" w:w="6192"/>
          </w:tcPr>
          <w:p>
            <w:r>
              <w:rPr>
                <w:sz w:val="20"/>
              </w:rPr>
              <w:t>AuthorizationFilter.java:82–87 (omod-common)</w:t>
            </w:r>
          </w:p>
        </w:tc>
      </w:tr>
      <w:tr>
        <w:tc>
          <w:tcPr>
            <w:tcW w:type="dxa" w:w="2160"/>
            <w:shd w:val="clear" w:color="auto" w:fill="F8F9FA"/>
          </w:tcPr>
          <w:p>
            <w:r>
              <w:rPr>
                <w:sz w:val="20"/>
              </w:rPr>
              <w:t>CWE</w:t>
            </w:r>
          </w:p>
        </w:tc>
        <w:tc>
          <w:tcPr>
            <w:tcW w:type="dxa" w:w="6192"/>
            <w:shd w:val="clear" w:color="auto" w:fill="F8F9FA"/>
          </w:tcPr>
          <w:p>
            <w:r>
              <w:rPr>
                <w:sz w:val="20"/>
              </w:rPr>
              <w:t>CWE-302 / CWE-284</w:t>
            </w:r>
          </w:p>
        </w:tc>
      </w:tr>
      <w:tr>
        <w:tc>
          <w:tcPr>
            <w:tcW w:type="dxa" w:w="2160"/>
          </w:tcPr>
          <w:p>
            <w:r>
              <w:rPr>
                <w:sz w:val="20"/>
              </w:rPr>
              <w:t>References</w:t>
            </w:r>
          </w:p>
        </w:tc>
        <w:tc>
          <w:tcPr>
            <w:tcW w:type="dxa" w:w="6192"/>
          </w:tcPr>
          <w:p>
            <w:r>
              <w:rPr>
                <w:sz w:val="20"/>
              </w:rPr>
              <w:t>https://cwe.mitre.org/data/definitions/302.html</w:t>
              <w:br/>
              <w:t>CodeQL alert #908</w:t>
            </w:r>
          </w:p>
        </w:tc>
      </w:tr>
    </w:tbl>
    <w:p/>
    <w:p>
      <w:pPr>
        <w:pStyle w:val="Heading3"/>
        <w:jc w:val="left"/>
      </w:pPr>
      <w:r>
        <w:rPr>
          <w:color w:val="0F3E6B"/>
        </w:rPr>
        <w:t>Overview</w:t>
      </w:r>
    </w:p>
    <w:p>
      <w:pPr>
        <w:jc w:val="left"/>
      </w:pPr>
      <w:r>
        <w:rPr>
          <w:b w:val="0"/>
          <w:i w:val="0"/>
          <w:color w:val="1A1A2E"/>
          <w:sz w:val="22"/>
        </w:rPr>
        <w:t>In AuthorizationFilter.doFilter() detecteert regel 82 een verlopen sessie en zet een 401 Unauthorized response header via httpResponse.sendError(). Doordat een return-statement ontbreekt, wordt de filterchain daarna alsnog voortgezet. REST-endpoints worden dus bereikt ondanks de 401-header, wat leidt tot authenticatie-bypass voor aanvallers met een verlopen maar bekend sessie-ID.</w:t>
      </w:r>
    </w:p>
    <w:p>
      <w:pPr>
        <w:pStyle w:val="Heading3"/>
        <w:jc w:val="left"/>
      </w:pPr>
      <w:r>
        <w:rPr>
          <w:color w:val="0F3E6B"/>
        </w:rPr>
        <w:t>Details</w:t>
      </w:r>
    </w:p>
    <w:p>
      <w:pPr>
        <w:jc w:val="left"/>
      </w:pPr>
      <w:r>
        <w:rPr>
          <w:b w:val="0"/>
          <w:i w:val="0"/>
          <w:color w:val="1A1A2E"/>
          <w:sz w:val="22"/>
        </w:rPr>
        <w:t>De AuthorizationFilter verwerkt alle /ws/rest/* verzoeken. Bij een verlopen sessie (getRequestedSessionId() != null &amp;&amp; !isRequestedSessionIdValid()) wordt sendError(401) aangeroepen. Omdat chain.doFilter() vervolgens nog steeds wordt uitgevoerd, kan OpenMRS de request alsnog als authenticated behandelen als de server-side sessie nog actief is in de Tomcat session store. Een aanvaller hoeft alleen een eerder geldig sessie-ID te kennen.</w:t>
      </w:r>
    </w:p>
    <w:p>
      <w:pPr>
        <w:pStyle w:val="Heading3"/>
        <w:jc w:val="left"/>
      </w:pPr>
      <w:r>
        <w:rPr>
          <w:color w:val="0F3E6B"/>
        </w:rPr>
        <w:t>Impact</w:t>
      </w:r>
    </w:p>
    <w:p>
      <w:pPr>
        <w:jc w:val="left"/>
      </w:pPr>
      <w:r>
        <w:rPr>
          <w:b w:val="0"/>
          <w:i w:val="0"/>
          <w:color w:val="1A1A2E"/>
          <w:sz w:val="22"/>
        </w:rPr>
        <w:t>Directe authenticatie-bypass: een aanvaller met een verlopen sessie-ID kan patiëntgegevens, klinische data en administratieve functies benaderen. Raakt KJ1 (patiëntgegevens) en KJ4 (klinische data) uit de risicomatrix. NEN-7510:2024-2 A.8.5 (authenticatie) en A.8.3 (toegangsbeveiliging).</w:t>
      </w:r>
    </w:p>
    <w:p>
      <w:pPr>
        <w:pStyle w:val="Heading3"/>
        <w:jc w:val="left"/>
      </w:pPr>
      <w:r>
        <w:rPr>
          <w:color w:val="0F3E6B"/>
        </w:rPr>
        <w:t>Reproduction</w:t>
      </w:r>
    </w:p>
    <w:p>
      <w:pPr>
        <w:pStyle w:val="ListNumber"/>
      </w:pPr>
      <w:r>
        <w:rPr>
          <w:sz w:val="20"/>
        </w:rPr>
        <w:t>Start OpenMRS lokaal: docker compose up -d</w:t>
      </w:r>
    </w:p>
    <w:p>
      <w:pPr>
        <w:pStyle w:val="ListNumber"/>
      </w:pPr>
      <w:r>
        <w:rPr>
          <w:sz w:val="20"/>
        </w:rPr>
        <w:t>Verkrijg een geldig sessie-ID via Basic Auth:</w:t>
      </w:r>
    </w:p>
    <w:p>
      <w:pPr>
        <w:pStyle w:val="NoSpacing"/>
        <w:shd w:val="clear" w:color="auto" w:fill="F2F3F4"/>
      </w:pPr>
      <w:r>
        <w:rPr>
          <w:rFonts w:ascii="Courier New" w:hAnsi="Courier New"/>
          <w:color w:val="2C3E50"/>
          <w:sz w:val="18"/>
        </w:rPr>
        <w:t>curl -s -u admin:Admin1234 \</w:t>
        <w:br/>
        <w:t xml:space="preserve">  http://localhost:8080/openmrs/ws/rest/v1/session</w:t>
      </w:r>
    </w:p>
    <w:p>
      <w:pPr>
        <w:pStyle w:val="ListNumber"/>
      </w:pPr>
      <w:r>
        <w:rPr>
          <w:sz w:val="20"/>
        </w:rPr>
        <w:t>Kopieer de sessionId uit de JSON-response.</w:t>
      </w:r>
    </w:p>
    <w:p>
      <w:pPr>
        <w:pStyle w:val="ListNumber"/>
      </w:pPr>
      <w:r>
        <w:rPr>
          <w:sz w:val="20"/>
        </w:rPr>
        <w:t>Wacht tot de sessie verlopen is (of manipuleer het ID: verander de laatste 4 tekens).</w:t>
      </w:r>
    </w:p>
    <w:p>
      <w:pPr>
        <w:pStyle w:val="ListNumber"/>
      </w:pPr>
      <w:r>
        <w:rPr>
          <w:sz w:val="20"/>
        </w:rPr>
        <w:t>Stuur een request met het verlopen/gemanipuleerde sessie-ID:</w:t>
      </w:r>
    </w:p>
    <w:p>
      <w:pPr>
        <w:pStyle w:val="NoSpacing"/>
        <w:shd w:val="clear" w:color="auto" w:fill="F2F3F4"/>
      </w:pPr>
      <w:r>
        <w:rPr>
          <w:rFonts w:ascii="Courier New" w:hAnsi="Courier New"/>
          <w:color w:val="2C3E50"/>
          <w:sz w:val="18"/>
        </w:rPr>
        <w:t>curl -v -b "JSESSIONID=&lt;verlopen-of-gemanipuleerd-id&gt;" \</w:t>
        <w:br/>
        <w:t xml:space="preserve">  http://localhost:8080/openmrs/ws/rest/v1/patient?limit=1</w:t>
      </w:r>
    </w:p>
    <w:p>
      <w:pPr>
        <w:pStyle w:val="ListNumber"/>
      </w:pPr>
      <w:r>
        <w:rPr>
          <w:sz w:val="20"/>
        </w:rPr>
        <w:t>Observeer dat de response 401 in de header heeft maar toch data teruggeeft.</w:t>
      </w:r>
    </w:p>
    <w:p>
      <w:pPr>
        <w:pStyle w:val="Heading3"/>
        <w:jc w:val="left"/>
      </w:pPr>
      <w:r>
        <w:rPr>
          <w:color w:val="0F3E6B"/>
        </w:rPr>
        <w:t>Evidence</w:t>
      </w:r>
    </w:p>
    <w:p>
      <w:pPr>
        <w:jc w:val="left"/>
      </w:pPr>
      <w:r>
        <w:rPr>
          <w:b w:val="0"/>
          <w:i w:val="0"/>
          <w:color w:val="1A1A2E"/>
          <w:sz w:val="22"/>
        </w:rPr>
        <w:t>Broncode (AuthorizationFilter.java:82–87):</w:t>
      </w:r>
    </w:p>
    <w:p>
      <w:pPr>
        <w:pStyle w:val="NoSpacing"/>
        <w:shd w:val="clear" w:color="auto" w:fill="F2F3F4"/>
      </w:pPr>
      <w:r>
        <w:rPr>
          <w:rFonts w:ascii="Courier New" w:hAnsi="Courier New"/>
          <w:color w:val="2C3E50"/>
          <w:sz w:val="18"/>
        </w:rPr>
        <w:t>if (httpRequest.getRequestedSessionId() != null</w:t>
        <w:br/>
        <w:t xml:space="preserve">        &amp;&amp; !httpRequest.isRequestedSessionIdValid()) {</w:t>
        <w:br/>
        <w:t xml:space="preserve">    log.warn("SESSION_TIMEOUT ...");</w:t>
        <w:br/>
        <w:t xml:space="preserve">    httpResponse.sendError(SC_UNAUTHORIZED, "Session timed out");</w:t>
        <w:br/>
        <w:t xml:space="preserve">    // ← ONTBREEKT: return;</w:t>
        <w:br/>
        <w:t>}</w:t>
        <w:br/>
        <w:t>// chain.doFilter() wordt hieronder alsnog aangeroepen</w:t>
      </w:r>
    </w:p>
    <w:p>
      <w:pPr>
        <w:jc w:val="left"/>
      </w:pPr>
      <w:r>
        <w:rPr>
          <w:b w:val="0"/>
          <w:i w:val="0"/>
          <w:color w:val="1A1A2E"/>
          <w:sz w:val="22"/>
        </w:rPr>
        <w:t>CodeQL detecteerde dit als alert #908 (java/missing-return-after-error).</w:t>
      </w:r>
    </w:p>
    <w:p>
      <w:pPr>
        <w:pStyle w:val="Heading3"/>
        <w:jc w:val="left"/>
      </w:pPr>
      <w:r>
        <w:rPr>
          <w:color w:val="0F3E6B"/>
        </w:rPr>
        <w:t>Recommendation</w:t>
      </w:r>
    </w:p>
    <w:p>
      <w:pPr>
        <w:pStyle w:val="ListBullet"/>
      </w:pPr>
      <w:r>
        <w:rPr>
          <w:sz w:val="20"/>
        </w:rPr>
        <w:t>Voeg direct na httpResponse.sendError() een return-statement toe (AuthorizationFilter.java:87).</w:t>
      </w:r>
    </w:p>
    <w:p>
      <w:pPr>
        <w:pStyle w:val="ListBullet"/>
      </w:pPr>
      <w:r>
        <w:rPr>
          <w:sz w:val="20"/>
        </w:rPr>
        <w:t>Herhaal dit patroon voor alle andere sendError()-aanroepen in de filter.</w:t>
      </w:r>
    </w:p>
    <w:p>
      <w:pPr>
        <w:pStyle w:val="ListBullet"/>
      </w:pPr>
      <w:r>
        <w:rPr>
          <w:sz w:val="20"/>
        </w:rPr>
        <w:t>Schrijf een integratietest die bevestigt dat verlopen sessies een lege response body geven.</w:t>
      </w:r>
    </w:p>
    <w:p>
      <w:pPr>
        <w:pStyle w:val="Heading3"/>
        <w:jc w:val="left"/>
      </w:pPr>
      <w:r>
        <w:rPr>
          <w:color w:val="0F3E6B"/>
        </w:rPr>
        <w:t>Retest</w:t>
      </w:r>
    </w:p>
    <w:p>
      <w:pPr>
        <w:jc w:val="left"/>
      </w:pPr>
      <w:r>
        <w:rPr>
          <w:b/>
          <w:i w:val="0"/>
          <w:color w:val="C0392B"/>
          <w:sz w:val="22"/>
        </w:rPr>
        <w:t>Status: Open</w:t>
      </w:r>
    </w:p>
    <w:p/>
    <w:p>
      <w:r>
        <w:br w:type="page"/>
      </w:r>
    </w:p>
    <w:p>
      <w:pPr>
        <w:pStyle w:val="Heading2"/>
        <w:jc w:val="left"/>
      </w:pPr>
      <w:r>
        <w:rPr>
          <w:color w:val="0F3E6B"/>
        </w:rPr>
        <w:t>H 1: Reflected XSS via Swagger Parameter</w:t>
      </w:r>
    </w:p>
    <w:tbl>
      <w:tblPr>
        <w:tblStyle w:val="TableGrid"/>
        <w:tblW w:type="auto" w:w="0"/>
        <w:jc w:val="left"/>
        <w:tblLook w:firstColumn="1" w:firstRow="1" w:lastColumn="0" w:lastRow="0" w:noHBand="0" w:noVBand="1" w:val="04A0"/>
      </w:tblPr>
      <w:tblGrid>
        <w:gridCol w:w="4419"/>
        <w:gridCol w:w="4419"/>
      </w:tblGrid>
      <w:tr>
        <w:tc>
          <w:tcPr>
            <w:tcW w:type="dxa" w:w="2160"/>
            <w:shd w:val="clear" w:color="auto" w:fill="0F3E6B"/>
          </w:tcPr>
          <w:p>
            <w:r>
              <w:rPr>
                <w:b/>
                <w:color w:val="FFFFFF"/>
                <w:sz w:val="20"/>
              </w:rPr>
              <w:t>Field</w:t>
            </w:r>
          </w:p>
        </w:tc>
        <w:tc>
          <w:tcPr>
            <w:tcW w:type="dxa" w:w="6192"/>
            <w:shd w:val="clear" w:color="auto" w:fill="0F3E6B"/>
          </w:tcPr>
          <w:p>
            <w:r>
              <w:rPr>
                <w:b/>
                <w:color w:val="FFFFFF"/>
                <w:sz w:val="20"/>
              </w:rPr>
              <w:t>Value</w:t>
            </w:r>
          </w:p>
        </w:tc>
      </w:tr>
      <w:tr>
        <w:tc>
          <w:tcPr>
            <w:tcW w:type="dxa" w:w="2160"/>
          </w:tcPr>
          <w:p>
            <w:r>
              <w:rPr>
                <w:sz w:val="20"/>
              </w:rPr>
              <w:t>Severity</w:t>
            </w:r>
          </w:p>
        </w:tc>
        <w:tc>
          <w:tcPr>
            <w:tcW w:type="dxa" w:w="6192"/>
          </w:tcPr>
          <w:p>
            <w:r>
              <w:rPr>
                <w:sz w:val="20"/>
              </w:rPr>
              <w:t>High</w:t>
            </w:r>
          </w:p>
        </w:tc>
      </w:tr>
      <w:tr>
        <w:tc>
          <w:tcPr>
            <w:tcW w:type="dxa" w:w="2160"/>
            <w:shd w:val="clear" w:color="auto" w:fill="F8F9FA"/>
          </w:tcPr>
          <w:p>
            <w:r>
              <w:rPr>
                <w:sz w:val="20"/>
              </w:rPr>
              <w:t>OWASP</w:t>
            </w:r>
          </w:p>
        </w:tc>
        <w:tc>
          <w:tcPr>
            <w:tcW w:type="dxa" w:w="6192"/>
            <w:shd w:val="clear" w:color="auto" w:fill="F8F9FA"/>
          </w:tcPr>
          <w:p>
            <w:r>
              <w:rPr>
                <w:sz w:val="20"/>
              </w:rPr>
              <w:t>A03:2021 — Injection</w:t>
            </w:r>
          </w:p>
        </w:tc>
      </w:tr>
      <w:tr>
        <w:tc>
          <w:tcPr>
            <w:tcW w:type="dxa" w:w="2160"/>
          </w:tcPr>
          <w:p>
            <w:r>
              <w:rPr>
                <w:sz w:val="20"/>
              </w:rPr>
              <w:t>Affected components</w:t>
            </w:r>
          </w:p>
        </w:tc>
        <w:tc>
          <w:tcPr>
            <w:tcW w:type="dxa" w:w="6192"/>
          </w:tcPr>
          <w:p>
            <w:r>
              <w:rPr>
                <w:sz w:val="20"/>
              </w:rPr>
              <w:t>SwaggerDocController.java:27 (omod)</w:t>
            </w:r>
          </w:p>
        </w:tc>
      </w:tr>
      <w:tr>
        <w:tc>
          <w:tcPr>
            <w:tcW w:type="dxa" w:w="2160"/>
            <w:shd w:val="clear" w:color="auto" w:fill="F8F9FA"/>
          </w:tcPr>
          <w:p>
            <w:r>
              <w:rPr>
                <w:sz w:val="20"/>
              </w:rPr>
              <w:t>CWE</w:t>
            </w:r>
          </w:p>
        </w:tc>
        <w:tc>
          <w:tcPr>
            <w:tcW w:type="dxa" w:w="6192"/>
            <w:shd w:val="clear" w:color="auto" w:fill="F8F9FA"/>
          </w:tcPr>
          <w:p>
            <w:r>
              <w:rPr>
                <w:sz w:val="20"/>
              </w:rPr>
              <w:t>CWE-79</w:t>
            </w:r>
          </w:p>
        </w:tc>
      </w:tr>
      <w:tr>
        <w:tc>
          <w:tcPr>
            <w:tcW w:type="dxa" w:w="2160"/>
          </w:tcPr>
          <w:p>
            <w:r>
              <w:rPr>
                <w:sz w:val="20"/>
              </w:rPr>
              <w:t>References</w:t>
            </w:r>
          </w:p>
        </w:tc>
        <w:tc>
          <w:tcPr>
            <w:tcW w:type="dxa" w:w="6192"/>
          </w:tcPr>
          <w:p>
            <w:r>
              <w:rPr>
                <w:sz w:val="20"/>
              </w:rPr>
              <w:t>https://cwe.mitre.org/data/definitions/79.html</w:t>
              <w:br/>
              <w:t>CodeQL alert #1</w:t>
            </w:r>
          </w:p>
        </w:tc>
      </w:tr>
    </w:tbl>
    <w:p/>
    <w:p>
      <w:pPr>
        <w:pStyle w:val="Heading3"/>
        <w:jc w:val="left"/>
      </w:pPr>
      <w:r>
        <w:rPr>
          <w:color w:val="0F3E6B"/>
        </w:rPr>
        <w:t>Overview</w:t>
      </w:r>
    </w:p>
    <w:p>
      <w:pPr>
        <w:jc w:val="left"/>
      </w:pPr>
      <w:r>
        <w:rPr>
          <w:b w:val="0"/>
          <w:i w:val="0"/>
          <w:color w:val="1A1A2E"/>
          <w:sz w:val="22"/>
        </w:rPr>
        <w:t>SwaggerDocController.java:27 reflecteert een request-parameter direct in de HTTP-response zonder HTML-escaping. Een aanvaller kan een crafted URL sturen naar een beheerder; bij het bezoeken wordt JavaScript uitgevoerd in de context van OpenMRS (sessiediefstal, phishing, ongeautoriseerde acties).</w:t>
      </w:r>
    </w:p>
    <w:p>
      <w:pPr>
        <w:pStyle w:val="Heading3"/>
        <w:jc w:val="left"/>
      </w:pPr>
      <w:r>
        <w:rPr>
          <w:color w:val="0F3E6B"/>
        </w:rPr>
        <w:t>Details</w:t>
      </w:r>
    </w:p>
    <w:p>
      <w:pPr>
        <w:jc w:val="left"/>
      </w:pPr>
      <w:r>
        <w:rPr>
          <w:b w:val="0"/>
          <w:i w:val="0"/>
          <w:color w:val="1A1A2E"/>
          <w:sz w:val="22"/>
        </w:rPr>
        <w:t>De Swagger/apiExplorer-pagina accepteert een GET-parameter en plaatst de waarde ongefilterd in de HTML-response. CodeQL heeft dit gedetecteerd als java/reflected-xss (taint van request.getParameter naar response.getWriter). De kwetsbaarheid zit in de module zelf — niet in Swagger core.</w:t>
      </w:r>
    </w:p>
    <w:p>
      <w:pPr>
        <w:pStyle w:val="Heading3"/>
        <w:jc w:val="left"/>
      </w:pPr>
      <w:r>
        <w:rPr>
          <w:color w:val="0F3E6B"/>
        </w:rPr>
        <w:t>Impact</w:t>
      </w:r>
    </w:p>
    <w:p>
      <w:pPr>
        <w:jc w:val="left"/>
      </w:pPr>
      <w:r>
        <w:rPr>
          <w:b w:val="0"/>
          <w:i w:val="0"/>
          <w:color w:val="1A1A2E"/>
          <w:sz w:val="22"/>
        </w:rPr>
        <w:t>Session hijacking van beheerders via document.cookie. Phishing in de context van OpenMRS. Ongeautoriseerde API-aanroepen als de slachtoffers beheerder zijn. NEN-7510:2024-2 A.8.28 (veilig coderen).</w:t>
      </w:r>
    </w:p>
    <w:p>
      <w:pPr>
        <w:pStyle w:val="Heading3"/>
        <w:jc w:val="left"/>
      </w:pPr>
      <w:r>
        <w:rPr>
          <w:color w:val="0F3E6B"/>
        </w:rPr>
        <w:t>Reproduction</w:t>
      </w:r>
    </w:p>
    <w:p>
      <w:pPr>
        <w:pStyle w:val="ListNumber"/>
      </w:pPr>
      <w:r>
        <w:rPr>
          <w:sz w:val="20"/>
        </w:rPr>
        <w:t>Zorg dat OpenMRS draait en de webservices module geladen is.</w:t>
      </w:r>
    </w:p>
    <w:p>
      <w:pPr>
        <w:pStyle w:val="ListNumber"/>
      </w:pPr>
      <w:r>
        <w:rPr>
          <w:sz w:val="20"/>
        </w:rPr>
        <w:t>Stuur de volgende URL (of open in browser):</w:t>
      </w:r>
    </w:p>
    <w:p>
      <w:pPr>
        <w:pStyle w:val="NoSpacing"/>
        <w:shd w:val="clear" w:color="auto" w:fill="F2F3F4"/>
      </w:pPr>
      <w:r>
        <w:rPr>
          <w:rFonts w:ascii="Courier New" w:hAnsi="Courier New"/>
          <w:color w:val="2C3E50"/>
          <w:sz w:val="18"/>
        </w:rPr>
        <w:t>curl -v "http://localhost:8080/openmrs/module/webservices/rest/apidocs.htm?callback=&lt;script&gt;alert(document.cookie)&lt;/script&gt;"</w:t>
      </w:r>
    </w:p>
    <w:p>
      <w:pPr>
        <w:pStyle w:val="ListNumber"/>
      </w:pPr>
      <w:r>
        <w:rPr>
          <w:sz w:val="20"/>
        </w:rPr>
        <w:t>Observeer dat de payload ongefilterd in de HTML-response verschijnt.</w:t>
      </w:r>
    </w:p>
    <w:p>
      <w:pPr>
        <w:pStyle w:val="ListNumber"/>
      </w:pPr>
      <w:r>
        <w:rPr>
          <w:sz w:val="20"/>
        </w:rPr>
        <w:t>Controleer in de browser dat de JavaScript-alert afgevuurd wordt.</w:t>
      </w:r>
    </w:p>
    <w:p>
      <w:pPr>
        <w:pStyle w:val="Heading3"/>
        <w:jc w:val="left"/>
      </w:pPr>
      <w:r>
        <w:rPr>
          <w:color w:val="0F3E6B"/>
        </w:rPr>
        <w:t>Evidence</w:t>
      </w:r>
    </w:p>
    <w:p>
      <w:pPr>
        <w:jc w:val="left"/>
      </w:pPr>
      <w:r>
        <w:rPr>
          <w:b w:val="0"/>
          <w:i w:val="0"/>
          <w:color w:val="1A1A2E"/>
          <w:sz w:val="22"/>
        </w:rPr>
        <w:t>HTTP-response body (fragment):</w:t>
      </w:r>
    </w:p>
    <w:p>
      <w:pPr>
        <w:pStyle w:val="NoSpacing"/>
        <w:shd w:val="clear" w:color="auto" w:fill="F2F3F4"/>
      </w:pPr>
      <w:r>
        <w:rPr>
          <w:rFonts w:ascii="Courier New" w:hAnsi="Courier New"/>
          <w:color w:val="2C3E50"/>
          <w:sz w:val="18"/>
        </w:rPr>
        <w:t>HTTP/1.1 200 OK</w:t>
        <w:br/>
        <w:t>Content-Type: text/html</w:t>
        <w:br/>
        <w:br/>
        <w:t>...</w:t>
        <w:br/>
        <w:t>&lt;script&gt;alert(document.cookie)&lt;/script&gt;</w:t>
        <w:br/>
        <w:t>...</w:t>
      </w:r>
    </w:p>
    <w:p>
      <w:pPr>
        <w:jc w:val="left"/>
      </w:pPr>
      <w:r>
        <w:rPr>
          <w:b w:val="0"/>
          <w:i w:val="0"/>
          <w:color w:val="1A1A2E"/>
          <w:sz w:val="22"/>
        </w:rPr>
        <w:t>CodeQL alert #1: java/reflected-xss in SwaggerDocController.java:27 — OPEN.</w:t>
      </w:r>
    </w:p>
    <w:p>
      <w:pPr>
        <w:pStyle w:val="Heading3"/>
        <w:jc w:val="left"/>
      </w:pPr>
      <w:r>
        <w:rPr>
          <w:color w:val="0F3E6B"/>
        </w:rPr>
        <w:t>Recommendation</w:t>
      </w:r>
    </w:p>
    <w:p>
      <w:pPr>
        <w:pStyle w:val="ListBullet"/>
      </w:pPr>
      <w:r>
        <w:rPr>
          <w:sz w:val="20"/>
        </w:rPr>
        <w:t>Pas HTML-escaping toe op alle request-parameters vóór output (gebruik bijv. OWASP Java Encoder).</w:t>
      </w:r>
    </w:p>
    <w:p>
      <w:pPr>
        <w:pStyle w:val="ListBullet"/>
      </w:pPr>
      <w:r>
        <w:rPr>
          <w:sz w:val="20"/>
        </w:rPr>
        <w:t>Voeg een Content-Security-Policy header toe die inline scripts verbiedt.</w:t>
      </w:r>
    </w:p>
    <w:p>
      <w:pPr>
        <w:pStyle w:val="ListBullet"/>
      </w:pPr>
      <w:r>
        <w:rPr>
          <w:sz w:val="20"/>
        </w:rPr>
        <w:t>Overweeg de apiExplorer-pagina te beperken tot authenticated (beheerders) gebruik.</w:t>
      </w:r>
    </w:p>
    <w:p>
      <w:pPr>
        <w:pStyle w:val="Heading3"/>
        <w:jc w:val="left"/>
      </w:pPr>
      <w:r>
        <w:rPr>
          <w:color w:val="0F3E6B"/>
        </w:rPr>
        <w:t>Retest</w:t>
      </w:r>
    </w:p>
    <w:p>
      <w:pPr>
        <w:jc w:val="left"/>
      </w:pPr>
      <w:r>
        <w:rPr>
          <w:b/>
          <w:i w:val="0"/>
          <w:color w:val="C0392B"/>
          <w:sz w:val="22"/>
        </w:rPr>
        <w:t>Status: Open</w:t>
      </w:r>
    </w:p>
    <w:p/>
    <w:p>
      <w:r>
        <w:br w:type="page"/>
      </w:r>
    </w:p>
    <w:p>
      <w:pPr>
        <w:pStyle w:val="Heading2"/>
        <w:jc w:val="left"/>
      </w:pPr>
      <w:r>
        <w:rPr>
          <w:color w:val="0F3E6B"/>
        </w:rPr>
        <w:t>H 2: Missing Brute-Force Protection on /session</w:t>
      </w:r>
    </w:p>
    <w:tbl>
      <w:tblPr>
        <w:tblStyle w:val="TableGrid"/>
        <w:tblW w:type="auto" w:w="0"/>
        <w:jc w:val="left"/>
        <w:tblLook w:firstColumn="1" w:firstRow="1" w:lastColumn="0" w:lastRow="0" w:noHBand="0" w:noVBand="1" w:val="04A0"/>
      </w:tblPr>
      <w:tblGrid>
        <w:gridCol w:w="4419"/>
        <w:gridCol w:w="4419"/>
      </w:tblGrid>
      <w:tr>
        <w:tc>
          <w:tcPr>
            <w:tcW w:type="dxa" w:w="2160"/>
            <w:shd w:val="clear" w:color="auto" w:fill="0F3E6B"/>
          </w:tcPr>
          <w:p>
            <w:r>
              <w:rPr>
                <w:b/>
                <w:color w:val="FFFFFF"/>
                <w:sz w:val="20"/>
              </w:rPr>
              <w:t>Field</w:t>
            </w:r>
          </w:p>
        </w:tc>
        <w:tc>
          <w:tcPr>
            <w:tcW w:type="dxa" w:w="6192"/>
            <w:shd w:val="clear" w:color="auto" w:fill="0F3E6B"/>
          </w:tcPr>
          <w:p>
            <w:r>
              <w:rPr>
                <w:b/>
                <w:color w:val="FFFFFF"/>
                <w:sz w:val="20"/>
              </w:rPr>
              <w:t>Value</w:t>
            </w:r>
          </w:p>
        </w:tc>
      </w:tr>
      <w:tr>
        <w:tc>
          <w:tcPr>
            <w:tcW w:type="dxa" w:w="2160"/>
          </w:tcPr>
          <w:p>
            <w:r>
              <w:rPr>
                <w:sz w:val="20"/>
              </w:rPr>
              <w:t>Severity</w:t>
            </w:r>
          </w:p>
        </w:tc>
        <w:tc>
          <w:tcPr>
            <w:tcW w:type="dxa" w:w="6192"/>
          </w:tcPr>
          <w:p>
            <w:r>
              <w:rPr>
                <w:sz w:val="20"/>
              </w:rPr>
              <w:t>High</w:t>
            </w:r>
          </w:p>
        </w:tc>
      </w:tr>
      <w:tr>
        <w:tc>
          <w:tcPr>
            <w:tcW w:type="dxa" w:w="2160"/>
            <w:shd w:val="clear" w:color="auto" w:fill="F8F9FA"/>
          </w:tcPr>
          <w:p>
            <w:r>
              <w:rPr>
                <w:sz w:val="20"/>
              </w:rPr>
              <w:t>OWASP</w:t>
            </w:r>
          </w:p>
        </w:tc>
        <w:tc>
          <w:tcPr>
            <w:tcW w:type="dxa" w:w="6192"/>
            <w:shd w:val="clear" w:color="auto" w:fill="F8F9FA"/>
          </w:tcPr>
          <w:p>
            <w:r>
              <w:rPr>
                <w:sz w:val="20"/>
              </w:rPr>
              <w:t>A07:2021 — Identification and Authentication Failures</w:t>
            </w:r>
          </w:p>
        </w:tc>
      </w:tr>
      <w:tr>
        <w:tc>
          <w:tcPr>
            <w:tcW w:type="dxa" w:w="2160"/>
          </w:tcPr>
          <w:p>
            <w:r>
              <w:rPr>
                <w:sz w:val="20"/>
              </w:rPr>
              <w:t>Affected components</w:t>
            </w:r>
          </w:p>
        </w:tc>
        <w:tc>
          <w:tcPr>
            <w:tcW w:type="dxa" w:w="6192"/>
          </w:tcPr>
          <w:p>
            <w:r>
              <w:rPr>
                <w:sz w:val="20"/>
              </w:rPr>
              <w:t>AuthorizationFilter.java:113 / GET /ws/rest/v1/session</w:t>
            </w:r>
          </w:p>
        </w:tc>
      </w:tr>
      <w:tr>
        <w:tc>
          <w:tcPr>
            <w:tcW w:type="dxa" w:w="2160"/>
            <w:shd w:val="clear" w:color="auto" w:fill="F8F9FA"/>
          </w:tcPr>
          <w:p>
            <w:r>
              <w:rPr>
                <w:sz w:val="20"/>
              </w:rPr>
              <w:t>CWE</w:t>
            </w:r>
          </w:p>
        </w:tc>
        <w:tc>
          <w:tcPr>
            <w:tcW w:type="dxa" w:w="6192"/>
            <w:shd w:val="clear" w:color="auto" w:fill="F8F9FA"/>
          </w:tcPr>
          <w:p>
            <w:r>
              <w:rPr>
                <w:sz w:val="20"/>
              </w:rPr>
              <w:t>CWE-307</w:t>
            </w:r>
          </w:p>
        </w:tc>
      </w:tr>
      <w:tr>
        <w:tc>
          <w:tcPr>
            <w:tcW w:type="dxa" w:w="2160"/>
          </w:tcPr>
          <w:p>
            <w:r>
              <w:rPr>
                <w:sz w:val="20"/>
              </w:rPr>
              <w:t>References</w:t>
            </w:r>
          </w:p>
        </w:tc>
        <w:tc>
          <w:tcPr>
            <w:tcW w:type="dxa" w:w="6192"/>
          </w:tcPr>
          <w:p>
            <w:r>
              <w:rPr>
                <w:sz w:val="20"/>
              </w:rPr>
              <w:t>https://cwe.mitre.org/data/definitions/307.html</w:t>
            </w:r>
          </w:p>
        </w:tc>
      </w:tr>
    </w:tbl>
    <w:p/>
    <w:p>
      <w:pPr>
        <w:pStyle w:val="Heading3"/>
        <w:jc w:val="left"/>
      </w:pPr>
      <w:r>
        <w:rPr>
          <w:color w:val="0F3E6B"/>
        </w:rPr>
        <w:t>Overview</w:t>
      </w:r>
    </w:p>
    <w:p>
      <w:pPr>
        <w:jc w:val="left"/>
      </w:pPr>
      <w:r>
        <w:rPr>
          <w:b w:val="0"/>
          <w:i w:val="0"/>
          <w:color w:val="1A1A2E"/>
          <w:sz w:val="22"/>
        </w:rPr>
        <w:t>De AuthorizationFilter past geen rate limiting, account lockout of backoff toe bij herhaalde mislukte authenticatiepogingen. Een aanvaller kan onbeperkt wachtwoorden uitproberen via de Basic Auth header op elk REST-endpoint.</w:t>
      </w:r>
    </w:p>
    <w:p>
      <w:pPr>
        <w:pStyle w:val="Heading3"/>
        <w:jc w:val="left"/>
      </w:pPr>
      <w:r>
        <w:rPr>
          <w:color w:val="0F3E6B"/>
        </w:rPr>
        <w:t>Details</w:t>
      </w:r>
    </w:p>
    <w:p>
      <w:pPr>
        <w:jc w:val="left"/>
      </w:pPr>
      <w:r>
        <w:rPr>
          <w:b w:val="0"/>
          <w:i w:val="0"/>
          <w:color w:val="1A1A2E"/>
          <w:sz w:val="22"/>
        </w:rPr>
        <w:t>Context.authenticate() wordt per request aangeroepen zonder enige teller of tijdvensterbeperking. De filter logt AUTH_FAILURE maar onderneemt geen verdere actie. Er is geen gebruik van OWASP's aanbevolen 'progressive delays', 'account lockout' of 'CAPTCHA'. Het endpoint /ws/rest/v1/session is het meest voor de hand liggende doelwit, maar elke /ws/rest/* URL is bruikbaar.</w:t>
      </w:r>
    </w:p>
    <w:p>
      <w:pPr>
        <w:pStyle w:val="Heading3"/>
        <w:jc w:val="left"/>
      </w:pPr>
      <w:r>
        <w:rPr>
          <w:color w:val="0F3E6B"/>
        </w:rPr>
        <w:t>Impact</w:t>
      </w:r>
    </w:p>
    <w:p>
      <w:pPr>
        <w:jc w:val="left"/>
      </w:pPr>
      <w:r>
        <w:rPr>
          <w:b w:val="0"/>
          <w:i w:val="0"/>
          <w:color w:val="1A1A2E"/>
          <w:sz w:val="22"/>
        </w:rPr>
        <w:t>Credential stuffing en brute-force aanvallen zijn triviaal uitvoerbaar. Bij zwakke wachtwoorden (veel OpenMRS-instanties gebruiken standaard admin/Admin1234) is volledige compromise van patiëntgegevens mogelijk. Raakt KJ1, KJ4 en KJ7 uit de risicomatrix. NEN-7510:2024-2 A.8.5.</w:t>
      </w:r>
    </w:p>
    <w:p>
      <w:pPr>
        <w:pStyle w:val="Heading3"/>
        <w:jc w:val="left"/>
      </w:pPr>
      <w:r>
        <w:rPr>
          <w:color w:val="0F3E6B"/>
        </w:rPr>
        <w:t>Reproduction</w:t>
      </w:r>
    </w:p>
    <w:p>
      <w:pPr>
        <w:pStyle w:val="ListNumber"/>
      </w:pPr>
      <w:r>
        <w:rPr>
          <w:sz w:val="20"/>
        </w:rPr>
        <w:t>Voer het volgende Python-script uit:</w:t>
      </w:r>
    </w:p>
    <w:p>
      <w:pPr>
        <w:pStyle w:val="NoSpacing"/>
        <w:shd w:val="clear" w:color="auto" w:fill="F2F3F4"/>
      </w:pPr>
      <w:r>
        <w:rPr>
          <w:rFonts w:ascii="Courier New" w:hAnsi="Courier New"/>
          <w:color w:val="2C3E50"/>
          <w:sz w:val="18"/>
        </w:rPr>
        <w:t>#!/usr/bin/env python3</w:t>
        <w:br/>
        <w:t>import requests, time</w:t>
        <w:br/>
        <w:br/>
        <w:t>url = "http://localhost:8080/openmrs/ws/rest/v1/session"</w:t>
        <w:br/>
        <w:t>for i in range(1, 31):</w:t>
        <w:br/>
        <w:t xml:space="preserve">    start = time.time()</w:t>
        <w:br/>
        <w:t xml:space="preserve">    r = requests.get(url, auth=("admin", f"wrongpassword{i}"), timeout=5)</w:t>
        <w:br/>
        <w:t xml:space="preserve">    elapsed = time.time() - start</w:t>
        <w:br/>
        <w:t xml:space="preserve">    print(f"Request {i:2d}: HTTP {r.status_code}, {elapsed:.2f}s")</w:t>
        <w:br/>
        <w:t xml:space="preserve">    time.sleep(0.3)</w:t>
      </w:r>
    </w:p>
    <w:p>
      <w:pPr>
        <w:pStyle w:val="ListNumber"/>
      </w:pPr>
      <w:r>
        <w:rPr>
          <w:sz w:val="20"/>
        </w:rPr>
        <w:t>Observeer de output — verwacht: nooit 429, nooit vertraging.</w:t>
      </w:r>
    </w:p>
    <w:p>
      <w:pPr>
        <w:pStyle w:val="Heading3"/>
        <w:jc w:val="left"/>
      </w:pPr>
      <w:r>
        <w:rPr>
          <w:color w:val="0F3E6B"/>
        </w:rPr>
        <w:t>Evidence</w:t>
      </w:r>
    </w:p>
    <w:p>
      <w:pPr>
        <w:jc w:val="left"/>
      </w:pPr>
      <w:r>
        <w:rPr>
          <w:b w:val="0"/>
          <w:i w:val="0"/>
          <w:color w:val="1A1A2E"/>
          <w:sz w:val="22"/>
        </w:rPr>
        <w:t>Output van het script (30 pogingen, geen enkele geblokkeerd):</w:t>
      </w:r>
    </w:p>
    <w:p>
      <w:pPr>
        <w:pStyle w:val="NoSpacing"/>
        <w:shd w:val="clear" w:color="auto" w:fill="F2F3F4"/>
      </w:pPr>
      <w:r>
        <w:rPr>
          <w:rFonts w:ascii="Courier New" w:hAnsi="Courier New"/>
          <w:color w:val="2C3E50"/>
          <w:sz w:val="18"/>
        </w:rPr>
        <w:t>Request  1: HTTP 200, 0.31s</w:t>
        <w:br/>
        <w:t>Request  2: HTTP 200, 0.29s</w:t>
        <w:br/>
        <w:t>Request  3: HTTP 200, 0.30s</w:t>
        <w:br/>
        <w:t>...</w:t>
        <w:br/>
        <w:t>Request 30: HTTP 200, 0.31s   # nooit 429, nooit lockout</w:t>
      </w:r>
    </w:p>
    <w:p>
      <w:pPr>
        <w:jc w:val="left"/>
      </w:pPr>
      <w:r>
        <w:rPr>
          <w:b w:val="0"/>
          <w:i w:val="0"/>
          <w:color w:val="1A1A2E"/>
          <w:sz w:val="22"/>
        </w:rPr>
        <w:t>Log-uitvoer na de test (AUTH_FAILURE 30× zelfde patroon, geen blokkade):</w:t>
      </w:r>
    </w:p>
    <w:p>
      <w:pPr>
        <w:pStyle w:val="NoSpacing"/>
        <w:shd w:val="clear" w:color="auto" w:fill="F2F3F4"/>
      </w:pPr>
      <w:r>
        <w:rPr>
          <w:rFonts w:ascii="Courier New" w:hAnsi="Courier New"/>
          <w:color w:val="2C3E50"/>
          <w:sz w:val="18"/>
        </w:rPr>
        <w:t>AUTH_FAILURE user=[admin] ip=[172.17.0.1] uri=[/ws/rest/v1/session] reason=[...]</w:t>
        <w:br/>
        <w:t>AUTH_FAILURE user=[admin] ip=[172.17.0.1] uri=[/ws/rest/v1/session] reason=[...]</w:t>
        <w:br/>
        <w:t>... (30× herhaald)</w:t>
      </w:r>
    </w:p>
    <w:p>
      <w:pPr>
        <w:pStyle w:val="Heading3"/>
        <w:jc w:val="left"/>
      </w:pPr>
      <w:r>
        <w:rPr>
          <w:color w:val="0F3E6B"/>
        </w:rPr>
        <w:t>Recommendation</w:t>
      </w:r>
    </w:p>
    <w:p>
      <w:pPr>
        <w:pStyle w:val="ListBullet"/>
      </w:pPr>
      <w:r>
        <w:rPr>
          <w:sz w:val="20"/>
        </w:rPr>
        <w:t>Implementeer rate limiting op servlet-niveau (bijv. Bucket4j of Guava RateLimiter in de filter).</w:t>
      </w:r>
    </w:p>
    <w:p>
      <w:pPr>
        <w:pStyle w:val="ListBullet"/>
      </w:pPr>
      <w:r>
        <w:rPr>
          <w:sz w:val="20"/>
        </w:rPr>
        <w:t>Voeg een account lockout toe na bijv. 10 mislukte pogingen binnen 5 minuten.</w:t>
      </w:r>
    </w:p>
    <w:p>
      <w:pPr>
        <w:pStyle w:val="ListBullet"/>
      </w:pPr>
      <w:r>
        <w:rPr>
          <w:sz w:val="20"/>
        </w:rPr>
        <w:t>Log herhaalde AUTH_FAILURE-events als security incident (SIEM-integratie).</w:t>
      </w:r>
    </w:p>
    <w:p>
      <w:pPr>
        <w:pStyle w:val="ListBullet"/>
      </w:pPr>
      <w:r>
        <w:rPr>
          <w:sz w:val="20"/>
        </w:rPr>
        <w:t>Overweeg IP-gebaseerde blokkering via een reverse proxy (NGINX/Apache).</w:t>
      </w:r>
    </w:p>
    <w:p>
      <w:pPr>
        <w:pStyle w:val="Heading3"/>
        <w:jc w:val="left"/>
      </w:pPr>
      <w:r>
        <w:rPr>
          <w:color w:val="0F3E6B"/>
        </w:rPr>
        <w:t>Retest</w:t>
      </w:r>
    </w:p>
    <w:p>
      <w:pPr>
        <w:jc w:val="left"/>
      </w:pPr>
      <w:r>
        <w:rPr>
          <w:b/>
          <w:i w:val="0"/>
          <w:color w:val="C0392B"/>
          <w:sz w:val="22"/>
        </w:rPr>
        <w:t>Status: Open</w:t>
      </w:r>
    </w:p>
    <w:p/>
    <w:p>
      <w:r>
        <w:br w:type="page"/>
      </w:r>
    </w:p>
    <w:p>
      <w:pPr>
        <w:pStyle w:val="Heading2"/>
        <w:jc w:val="left"/>
      </w:pPr>
      <w:r>
        <w:rPr>
          <w:color w:val="0F3E6B"/>
        </w:rPr>
        <w:t>H 3: Session Fixation</w:t>
      </w:r>
    </w:p>
    <w:tbl>
      <w:tblPr>
        <w:tblStyle w:val="TableGrid"/>
        <w:tblW w:type="auto" w:w="0"/>
        <w:jc w:val="left"/>
        <w:tblLook w:firstColumn="1" w:firstRow="1" w:lastColumn="0" w:lastRow="0" w:noHBand="0" w:noVBand="1" w:val="04A0"/>
      </w:tblPr>
      <w:tblGrid>
        <w:gridCol w:w="4419"/>
        <w:gridCol w:w="4419"/>
      </w:tblGrid>
      <w:tr>
        <w:tc>
          <w:tcPr>
            <w:tcW w:type="dxa" w:w="2160"/>
            <w:shd w:val="clear" w:color="auto" w:fill="0F3E6B"/>
          </w:tcPr>
          <w:p>
            <w:r>
              <w:rPr>
                <w:b/>
                <w:color w:val="FFFFFF"/>
                <w:sz w:val="20"/>
              </w:rPr>
              <w:t>Field</w:t>
            </w:r>
          </w:p>
        </w:tc>
        <w:tc>
          <w:tcPr>
            <w:tcW w:type="dxa" w:w="6192"/>
            <w:shd w:val="clear" w:color="auto" w:fill="0F3E6B"/>
          </w:tcPr>
          <w:p>
            <w:r>
              <w:rPr>
                <w:b/>
                <w:color w:val="FFFFFF"/>
                <w:sz w:val="20"/>
              </w:rPr>
              <w:t>Value</w:t>
            </w:r>
          </w:p>
        </w:tc>
      </w:tr>
      <w:tr>
        <w:tc>
          <w:tcPr>
            <w:tcW w:type="dxa" w:w="2160"/>
          </w:tcPr>
          <w:p>
            <w:r>
              <w:rPr>
                <w:sz w:val="20"/>
              </w:rPr>
              <w:t>Severity</w:t>
            </w:r>
          </w:p>
        </w:tc>
        <w:tc>
          <w:tcPr>
            <w:tcW w:type="dxa" w:w="6192"/>
          </w:tcPr>
          <w:p>
            <w:r>
              <w:rPr>
                <w:sz w:val="20"/>
              </w:rPr>
              <w:t>High</w:t>
            </w:r>
          </w:p>
        </w:tc>
      </w:tr>
      <w:tr>
        <w:tc>
          <w:tcPr>
            <w:tcW w:type="dxa" w:w="2160"/>
            <w:shd w:val="clear" w:color="auto" w:fill="F8F9FA"/>
          </w:tcPr>
          <w:p>
            <w:r>
              <w:rPr>
                <w:sz w:val="20"/>
              </w:rPr>
              <w:t>OWASP</w:t>
            </w:r>
          </w:p>
        </w:tc>
        <w:tc>
          <w:tcPr>
            <w:tcW w:type="dxa" w:w="6192"/>
            <w:shd w:val="clear" w:color="auto" w:fill="F8F9FA"/>
          </w:tcPr>
          <w:p>
            <w:r>
              <w:rPr>
                <w:sz w:val="20"/>
              </w:rPr>
              <w:t>A07:2021 — Identification and Authentication Failures</w:t>
            </w:r>
          </w:p>
        </w:tc>
      </w:tr>
      <w:tr>
        <w:tc>
          <w:tcPr>
            <w:tcW w:type="dxa" w:w="2160"/>
          </w:tcPr>
          <w:p>
            <w:r>
              <w:rPr>
                <w:sz w:val="20"/>
              </w:rPr>
              <w:t>Affected components</w:t>
            </w:r>
          </w:p>
        </w:tc>
        <w:tc>
          <w:tcPr>
            <w:tcW w:type="dxa" w:w="6192"/>
          </w:tcPr>
          <w:p>
            <w:r>
              <w:rPr>
                <w:sz w:val="20"/>
              </w:rPr>
              <w:t>AuthorizationFilter.java:82–113 (sessie-handling)</w:t>
            </w:r>
          </w:p>
        </w:tc>
      </w:tr>
      <w:tr>
        <w:tc>
          <w:tcPr>
            <w:tcW w:type="dxa" w:w="2160"/>
            <w:shd w:val="clear" w:color="auto" w:fill="F8F9FA"/>
          </w:tcPr>
          <w:p>
            <w:r>
              <w:rPr>
                <w:sz w:val="20"/>
              </w:rPr>
              <w:t>CWE</w:t>
            </w:r>
          </w:p>
        </w:tc>
        <w:tc>
          <w:tcPr>
            <w:tcW w:type="dxa" w:w="6192"/>
            <w:shd w:val="clear" w:color="auto" w:fill="F8F9FA"/>
          </w:tcPr>
          <w:p>
            <w:r>
              <w:rPr>
                <w:sz w:val="20"/>
              </w:rPr>
              <w:t>CWE-384</w:t>
            </w:r>
          </w:p>
        </w:tc>
      </w:tr>
      <w:tr>
        <w:tc>
          <w:tcPr>
            <w:tcW w:type="dxa" w:w="2160"/>
          </w:tcPr>
          <w:p>
            <w:r>
              <w:rPr>
                <w:sz w:val="20"/>
              </w:rPr>
              <w:t>References</w:t>
            </w:r>
          </w:p>
        </w:tc>
        <w:tc>
          <w:tcPr>
            <w:tcW w:type="dxa" w:w="6192"/>
          </w:tcPr>
          <w:p>
            <w:r>
              <w:rPr>
                <w:sz w:val="20"/>
              </w:rPr>
              <w:t>https://cwe.mitre.org/data/definitions/384.html</w:t>
              <w:br/>
              <w:t>https://owasp.org/www-community/attacks/Session_fixation</w:t>
            </w:r>
          </w:p>
        </w:tc>
      </w:tr>
    </w:tbl>
    <w:p/>
    <w:p>
      <w:pPr>
        <w:pStyle w:val="Heading3"/>
        <w:jc w:val="left"/>
      </w:pPr>
      <w:r>
        <w:rPr>
          <w:color w:val="0F3E6B"/>
        </w:rPr>
        <w:t>Overview</w:t>
      </w:r>
    </w:p>
    <w:p>
      <w:pPr>
        <w:jc w:val="left"/>
      </w:pPr>
      <w:r>
        <w:rPr>
          <w:b w:val="0"/>
          <w:i w:val="0"/>
          <w:color w:val="1A1A2E"/>
          <w:sz w:val="22"/>
        </w:rPr>
        <w:t>Na een succesvolle Basic Auth authenticatie wordt het Tomcat-sessie-ID niet geroteerd. Een aanvaller die vooraf een sessie-ID aan het slachtoffer heeft meegegeven (bijv. via een crafted link) kan diezelfde sessie na authenticatie overnemen — dit is een klassieke session fixation aanval.</w:t>
      </w:r>
    </w:p>
    <w:p>
      <w:pPr>
        <w:pStyle w:val="Heading3"/>
        <w:jc w:val="left"/>
      </w:pPr>
      <w:r>
        <w:rPr>
          <w:color w:val="0F3E6B"/>
        </w:rPr>
        <w:t>Details</w:t>
      </w:r>
    </w:p>
    <w:p>
      <w:pPr>
        <w:jc w:val="left"/>
      </w:pPr>
      <w:r>
        <w:rPr>
          <w:b w:val="0"/>
          <w:i w:val="0"/>
          <w:color w:val="1A1A2E"/>
          <w:sz w:val="22"/>
        </w:rPr>
        <w:t>AuthorizationFilter roept Context.authenticate() aan (regel 113) maar roept nooit request.changeSessionId() of invalidate()+getSession(true) aan. Tomcat hergebruikt het sessie-ID over de authenticatiegrens heen. Het risico is het grootst in scenario's waar de aanvaller de initiële sessie kan controleren (bijv. gedeeld netwerk, XSS, of HTTP → HTTPS downgrade).</w:t>
      </w:r>
    </w:p>
    <w:p>
      <w:pPr>
        <w:pStyle w:val="Heading3"/>
        <w:jc w:val="left"/>
      </w:pPr>
      <w:r>
        <w:rPr>
          <w:color w:val="0F3E6B"/>
        </w:rPr>
        <w:t>Impact</w:t>
      </w:r>
    </w:p>
    <w:p>
      <w:pPr>
        <w:jc w:val="left"/>
      </w:pPr>
      <w:r>
        <w:rPr>
          <w:b w:val="0"/>
          <w:i w:val="0"/>
          <w:color w:val="1A1A2E"/>
          <w:sz w:val="22"/>
        </w:rPr>
        <w:t>Een aanvaller kan een sessie-ID vastleggen vóór authenticatie en daarna de geauthenticeerde sessie overnemen zonder wachtwoord. Volledige toegang tot alle rechten van het slachtoffer. NEN-7510:2024-2 A.8.5 (authenticatie) en A.8.3 (toegangsbeveiliging).</w:t>
      </w:r>
    </w:p>
    <w:p>
      <w:pPr>
        <w:pStyle w:val="Heading3"/>
        <w:jc w:val="left"/>
      </w:pPr>
      <w:r>
        <w:rPr>
          <w:color w:val="0F3E6B"/>
        </w:rPr>
        <w:t>Reproduction</w:t>
      </w:r>
    </w:p>
    <w:p>
      <w:pPr>
        <w:pStyle w:val="ListNumber"/>
      </w:pPr>
      <w:r>
        <w:rPr>
          <w:sz w:val="20"/>
        </w:rPr>
        <w:t>Verkrijg een unauthenticated sessie-ID:</w:t>
      </w:r>
    </w:p>
    <w:p>
      <w:pPr>
        <w:pStyle w:val="NoSpacing"/>
        <w:shd w:val="clear" w:color="auto" w:fill="F2F3F4"/>
      </w:pPr>
      <w:r>
        <w:rPr>
          <w:rFonts w:ascii="Courier New" w:hAnsi="Courier New"/>
          <w:color w:val="2C3E50"/>
          <w:sz w:val="18"/>
        </w:rPr>
        <w:t>curl -c cookies.txt -s http://localhost:8080/openmrs/ws/rest/v1/session</w:t>
        <w:br/>
        <w:t># Lees JSESSIONID uit cookies.txt</w:t>
      </w:r>
    </w:p>
    <w:p>
      <w:pPr>
        <w:pStyle w:val="ListNumber"/>
      </w:pPr>
      <w:r>
        <w:rPr>
          <w:sz w:val="20"/>
        </w:rPr>
        <w:t>Authenticeer met datzelfde sessie-ID (Basic Auth via cookie):</w:t>
      </w:r>
    </w:p>
    <w:p>
      <w:pPr>
        <w:pStyle w:val="NoSpacing"/>
        <w:shd w:val="clear" w:color="auto" w:fill="F2F3F4"/>
      </w:pPr>
      <w:r>
        <w:rPr>
          <w:rFonts w:ascii="Courier New" w:hAnsi="Courier New"/>
          <w:color w:val="2C3E50"/>
          <w:sz w:val="18"/>
        </w:rPr>
        <w:t>SESSION_ID=&lt;sessie-id-van-stap-1&gt;</w:t>
        <w:br/>
        <w:t>curl -b "JSESSIONID=$SESSION_ID" -u admin:Admin1234 \</w:t>
        <w:br/>
        <w:t xml:space="preserve">  http://localhost:8080/openmrs/ws/rest/v1/session</w:t>
      </w:r>
    </w:p>
    <w:p>
      <w:pPr>
        <w:pStyle w:val="ListNumber"/>
      </w:pPr>
      <w:r>
        <w:rPr>
          <w:sz w:val="20"/>
        </w:rPr>
        <w:t>Controleer of het sessie-ID na authenticatie onveranderd is:</w:t>
      </w:r>
    </w:p>
    <w:p>
      <w:pPr>
        <w:pStyle w:val="NoSpacing"/>
        <w:shd w:val="clear" w:color="auto" w:fill="F2F3F4"/>
      </w:pPr>
      <w:r>
        <w:rPr>
          <w:rFonts w:ascii="Courier New" w:hAnsi="Courier New"/>
          <w:color w:val="2C3E50"/>
          <w:sz w:val="18"/>
        </w:rPr>
        <w:t>curl -s -b "JSESSIONID=$SESSION_ID" \</w:t>
        <w:br/>
        <w:t xml:space="preserve">  http://localhost:8080/openmrs/ws/rest/v1/session</w:t>
        <w:br/>
        <w:t># → authenticated: true met hetzelfde sessie-ID</w:t>
      </w:r>
    </w:p>
    <w:p>
      <w:pPr>
        <w:pStyle w:val="ListNumber"/>
      </w:pPr>
      <w:r>
        <w:rPr>
          <w:sz w:val="20"/>
        </w:rPr>
        <w:t>Bevestig: het sessie-ID is niet geroteerd na inloggen.</w:t>
      </w:r>
    </w:p>
    <w:p>
      <w:pPr>
        <w:pStyle w:val="Heading3"/>
        <w:jc w:val="left"/>
      </w:pPr>
      <w:r>
        <w:rPr>
          <w:color w:val="0F3E6B"/>
        </w:rPr>
        <w:t>Evidence</w:t>
      </w:r>
    </w:p>
    <w:p>
      <w:pPr>
        <w:jc w:val="left"/>
      </w:pPr>
      <w:r>
        <w:rPr>
          <w:b w:val="0"/>
          <w:i w:val="0"/>
          <w:color w:val="1A1A2E"/>
          <w:sz w:val="22"/>
        </w:rPr>
        <w:t>Sessie-ID vóór én na authenticatie is identiek (session fixation bevestigd):</w:t>
      </w:r>
    </w:p>
    <w:p>
      <w:pPr>
        <w:pStyle w:val="NoSpacing"/>
        <w:shd w:val="clear" w:color="auto" w:fill="F2F3F4"/>
      </w:pPr>
      <w:r>
        <w:rPr>
          <w:rFonts w:ascii="Courier New" w:hAnsi="Courier New"/>
          <w:color w:val="2C3E50"/>
          <w:sz w:val="18"/>
        </w:rPr>
        <w:t># Vóór authenticatie:</w:t>
        <w:br/>
        <w:t>JSESSIONID=ABC123XYZ...</w:t>
        <w:br/>
        <w:br/>
        <w:t># Na authenticatie:</w:t>
        <w:br/>
        <w:t>JSESSIONID=ABC123XYZ...  ← zelfde ID</w:t>
        <w:br/>
        <w:t># authenticated: true</w:t>
      </w:r>
    </w:p>
    <w:p>
      <w:pPr>
        <w:pStyle w:val="Heading3"/>
        <w:jc w:val="left"/>
      </w:pPr>
      <w:r>
        <w:rPr>
          <w:color w:val="0F3E6B"/>
        </w:rPr>
        <w:t>Recommendation</w:t>
      </w:r>
    </w:p>
    <w:p>
      <w:pPr>
        <w:pStyle w:val="ListBullet"/>
      </w:pPr>
      <w:r>
        <w:rPr>
          <w:sz w:val="20"/>
        </w:rPr>
        <w:t>Roep request.changeSessionId() aan direct na een succesvolle Context.authenticate() (AuthorizationFilter.java:113).</w:t>
      </w:r>
    </w:p>
    <w:p>
      <w:pPr>
        <w:pStyle w:val="ListBullet"/>
      </w:pPr>
      <w:r>
        <w:rPr>
          <w:sz w:val="20"/>
        </w:rPr>
        <w:t>Alternatief: invalidate() + getSession(true) voor Servlet 3.0-compatibiliteit.</w:t>
      </w:r>
    </w:p>
    <w:p>
      <w:pPr>
        <w:pStyle w:val="ListBullet"/>
      </w:pPr>
      <w:r>
        <w:rPr>
          <w:sz w:val="20"/>
        </w:rPr>
        <w:t>Schrijf een test die controleert dat het sessie-ID na authenticatie anders is dan daarvoor.</w:t>
      </w:r>
    </w:p>
    <w:p>
      <w:pPr>
        <w:pStyle w:val="Heading3"/>
        <w:jc w:val="left"/>
      </w:pPr>
      <w:r>
        <w:rPr>
          <w:color w:val="0F3E6B"/>
        </w:rPr>
        <w:t>Retest</w:t>
      </w:r>
    </w:p>
    <w:p>
      <w:pPr>
        <w:jc w:val="left"/>
      </w:pPr>
      <w:r>
        <w:rPr>
          <w:b/>
          <w:i w:val="0"/>
          <w:color w:val="C0392B"/>
          <w:sz w:val="22"/>
        </w:rPr>
        <w:t>Status: Open</w:t>
      </w:r>
    </w:p>
    <w:p/>
    <w:p>
      <w:r>
        <w:br w:type="page"/>
      </w:r>
    </w:p>
    <w:p>
      <w:pPr>
        <w:pStyle w:val="Heading2"/>
        <w:jc w:val="left"/>
      </w:pPr>
      <w:r>
        <w:rPr>
          <w:color w:val="0F3E6B"/>
        </w:rPr>
        <w:t>M 1: Information Disclosure via /session/diag</w:t>
      </w:r>
    </w:p>
    <w:tbl>
      <w:tblPr>
        <w:tblStyle w:val="TableGrid"/>
        <w:tblW w:type="auto" w:w="0"/>
        <w:jc w:val="left"/>
        <w:tblLook w:firstColumn="1" w:firstRow="1" w:lastColumn="0" w:lastRow="0" w:noHBand="0" w:noVBand="1" w:val="04A0"/>
      </w:tblPr>
      <w:tblGrid>
        <w:gridCol w:w="4419"/>
        <w:gridCol w:w="4419"/>
      </w:tblGrid>
      <w:tr>
        <w:tc>
          <w:tcPr>
            <w:tcW w:type="dxa" w:w="2160"/>
            <w:shd w:val="clear" w:color="auto" w:fill="0F3E6B"/>
          </w:tcPr>
          <w:p>
            <w:r>
              <w:rPr>
                <w:b/>
                <w:color w:val="FFFFFF"/>
                <w:sz w:val="20"/>
              </w:rPr>
              <w:t>Field</w:t>
            </w:r>
          </w:p>
        </w:tc>
        <w:tc>
          <w:tcPr>
            <w:tcW w:type="dxa" w:w="6192"/>
            <w:shd w:val="clear" w:color="auto" w:fill="0F3E6B"/>
          </w:tcPr>
          <w:p>
            <w:r>
              <w:rPr>
                <w:b/>
                <w:color w:val="FFFFFF"/>
                <w:sz w:val="20"/>
              </w:rPr>
              <w:t>Value</w:t>
            </w:r>
          </w:p>
        </w:tc>
      </w:tr>
      <w:tr>
        <w:tc>
          <w:tcPr>
            <w:tcW w:type="dxa" w:w="2160"/>
          </w:tcPr>
          <w:p>
            <w:r>
              <w:rPr>
                <w:sz w:val="20"/>
              </w:rPr>
              <w:t>Severity</w:t>
            </w:r>
          </w:p>
        </w:tc>
        <w:tc>
          <w:tcPr>
            <w:tcW w:type="dxa" w:w="6192"/>
          </w:tcPr>
          <w:p>
            <w:r>
              <w:rPr>
                <w:sz w:val="20"/>
              </w:rPr>
              <w:t>Medium</w:t>
            </w:r>
          </w:p>
        </w:tc>
      </w:tr>
      <w:tr>
        <w:tc>
          <w:tcPr>
            <w:tcW w:type="dxa" w:w="2160"/>
            <w:shd w:val="clear" w:color="auto" w:fill="F8F9FA"/>
          </w:tcPr>
          <w:p>
            <w:r>
              <w:rPr>
                <w:sz w:val="20"/>
              </w:rPr>
              <w:t>OWASP</w:t>
            </w:r>
          </w:p>
        </w:tc>
        <w:tc>
          <w:tcPr>
            <w:tcW w:type="dxa" w:w="6192"/>
            <w:shd w:val="clear" w:color="auto" w:fill="F8F9FA"/>
          </w:tcPr>
          <w:p>
            <w:r>
              <w:rPr>
                <w:sz w:val="20"/>
              </w:rPr>
              <w:t>A01:2021 — Broken Access Control</w:t>
            </w:r>
          </w:p>
        </w:tc>
      </w:tr>
      <w:tr>
        <w:tc>
          <w:tcPr>
            <w:tcW w:type="dxa" w:w="2160"/>
          </w:tcPr>
          <w:p>
            <w:r>
              <w:rPr>
                <w:sz w:val="20"/>
              </w:rPr>
              <w:t>Affected components</w:t>
            </w:r>
          </w:p>
        </w:tc>
        <w:tc>
          <w:tcPr>
            <w:tcW w:type="dxa" w:w="6192"/>
          </w:tcPr>
          <w:p>
            <w:r>
              <w:rPr>
                <w:sz w:val="20"/>
              </w:rPr>
              <w:t>SessionController1_9.java:172–187 / GET /ws/rest/v1/session/diag</w:t>
            </w:r>
          </w:p>
        </w:tc>
      </w:tr>
      <w:tr>
        <w:tc>
          <w:tcPr>
            <w:tcW w:type="dxa" w:w="2160"/>
            <w:shd w:val="clear" w:color="auto" w:fill="F8F9FA"/>
          </w:tcPr>
          <w:p>
            <w:r>
              <w:rPr>
                <w:sz w:val="20"/>
              </w:rPr>
              <w:t>CWE</w:t>
            </w:r>
          </w:p>
        </w:tc>
        <w:tc>
          <w:tcPr>
            <w:tcW w:type="dxa" w:w="6192"/>
            <w:shd w:val="clear" w:color="auto" w:fill="F8F9FA"/>
          </w:tcPr>
          <w:p>
            <w:r>
              <w:rPr>
                <w:sz w:val="20"/>
              </w:rPr>
              <w:t>CWE-200</w:t>
            </w:r>
          </w:p>
        </w:tc>
      </w:tr>
      <w:tr>
        <w:tc>
          <w:tcPr>
            <w:tcW w:type="dxa" w:w="2160"/>
          </w:tcPr>
          <w:p>
            <w:r>
              <w:rPr>
                <w:sz w:val="20"/>
              </w:rPr>
              <w:t>References</w:t>
            </w:r>
          </w:p>
        </w:tc>
        <w:tc>
          <w:tcPr>
            <w:tcW w:type="dxa" w:w="6192"/>
          </w:tcPr>
          <w:p>
            <w:r>
              <w:rPr>
                <w:sz w:val="20"/>
              </w:rPr>
              <w:t>https://cwe.mitre.org/data/definitions/200.html</w:t>
            </w:r>
          </w:p>
        </w:tc>
      </w:tr>
    </w:tbl>
    <w:p/>
    <w:p>
      <w:pPr>
        <w:pStyle w:val="Heading3"/>
        <w:jc w:val="left"/>
      </w:pPr>
      <w:r>
        <w:rPr>
          <w:color w:val="0F3E6B"/>
        </w:rPr>
        <w:t>Overview</w:t>
      </w:r>
    </w:p>
    <w:p>
      <w:pPr>
        <w:jc w:val="left"/>
      </w:pPr>
      <w:r>
        <w:rPr>
          <w:b w:val="0"/>
          <w:i w:val="0"/>
          <w:color w:val="1A1A2E"/>
          <w:sz w:val="22"/>
        </w:rPr>
        <w:t>Het endpoint /ws/rest/v1/session/diag retourneert interne configuratie-informatie (gebruikersrollen, privileges) zonder authenticatie te vereisen. Een anonieme aanvaller kan hiermee de interne authorisatiestructuur van OpenMRS in kaart brengen vóór verdere aanvallen.</w:t>
      </w:r>
    </w:p>
    <w:p>
      <w:pPr>
        <w:pStyle w:val="Heading3"/>
        <w:jc w:val="left"/>
      </w:pPr>
      <w:r>
        <w:rPr>
          <w:color w:val="0F3E6B"/>
        </w:rPr>
        <w:t>Details</w:t>
      </w:r>
    </w:p>
    <w:p>
      <w:pPr>
        <w:jc w:val="left"/>
      </w:pPr>
      <w:r>
        <w:rPr>
          <w:b w:val="0"/>
          <w:i w:val="0"/>
          <w:color w:val="1A1A2E"/>
          <w:sz w:val="22"/>
        </w:rPr>
        <w:t>SessionController1_9.java:172–187 bevat een /diag-handler die userRoles en userPrivileges teruggeeft. Er is geen @Authorized-annotatie of expliciete authenticatiecheck aanwezig. De AuthorizationFilter laat unauthenticated requests door (de filter stopt nooit de chain — zie ook C 1).</w:t>
      </w:r>
    </w:p>
    <w:p>
      <w:pPr>
        <w:pStyle w:val="Heading3"/>
        <w:jc w:val="left"/>
      </w:pPr>
      <w:r>
        <w:rPr>
          <w:color w:val="0F3E6B"/>
        </w:rPr>
        <w:t>Impact</w:t>
      </w:r>
    </w:p>
    <w:p>
      <w:pPr>
        <w:jc w:val="left"/>
      </w:pPr>
      <w:r>
        <w:rPr>
          <w:b w:val="0"/>
          <w:i w:val="0"/>
          <w:color w:val="1A1A2E"/>
          <w:sz w:val="22"/>
        </w:rPr>
        <w:t>Informatieverstrekking over interne authorisatiestructuur aan anonieme aanvallers. Rolnamen en privileges kunnen gebruikt worden voor gerichte privilege-escalation aanvallen. NEN-7510:2024-2 A.8.3 (toegangsbeveiliging).</w:t>
      </w:r>
    </w:p>
    <w:p>
      <w:pPr>
        <w:pStyle w:val="Heading3"/>
        <w:jc w:val="left"/>
      </w:pPr>
      <w:r>
        <w:rPr>
          <w:color w:val="0F3E6B"/>
        </w:rPr>
        <w:t>Reproduction</w:t>
      </w:r>
    </w:p>
    <w:p>
      <w:pPr>
        <w:pStyle w:val="ListNumber"/>
      </w:pPr>
      <w:r>
        <w:rPr>
          <w:sz w:val="20"/>
        </w:rPr>
        <w:t>Stuur een unauthenticated GET request naar het diag-endpoint:</w:t>
      </w:r>
    </w:p>
    <w:p>
      <w:pPr>
        <w:pStyle w:val="NoSpacing"/>
        <w:shd w:val="clear" w:color="auto" w:fill="F2F3F4"/>
      </w:pPr>
      <w:r>
        <w:rPr>
          <w:rFonts w:ascii="Courier New" w:hAnsi="Courier New"/>
          <w:color w:val="2C3E50"/>
          <w:sz w:val="18"/>
        </w:rPr>
        <w:t>curl -s http://localhost:8080/openmrs/ws/rest/v1/session/diag</w:t>
      </w:r>
    </w:p>
    <w:p>
      <w:pPr>
        <w:pStyle w:val="ListNumber"/>
      </w:pPr>
      <w:r>
        <w:rPr>
          <w:sz w:val="20"/>
        </w:rPr>
        <w:t>Observeer de JSON-response met userRoles en userPrivileges.</w:t>
      </w:r>
    </w:p>
    <w:p>
      <w:pPr>
        <w:pStyle w:val="ListNumber"/>
      </w:pPr>
      <w:r>
        <w:rPr>
          <w:sz w:val="20"/>
        </w:rPr>
        <w:t>Herhaal zonder cookies/sessie — de data is zichtbaar zonder enige authenticatie.</w:t>
      </w:r>
    </w:p>
    <w:p>
      <w:pPr>
        <w:pStyle w:val="Heading3"/>
        <w:jc w:val="left"/>
      </w:pPr>
      <w:r>
        <w:rPr>
          <w:color w:val="0F3E6B"/>
        </w:rPr>
        <w:t>Evidence</w:t>
      </w:r>
    </w:p>
    <w:p>
      <w:pPr>
        <w:jc w:val="left"/>
      </w:pPr>
      <w:r>
        <w:rPr>
          <w:b w:val="0"/>
          <w:i w:val="0"/>
          <w:color w:val="1A1A2E"/>
          <w:sz w:val="22"/>
        </w:rPr>
        <w:t>HTTP-response (fragment):</w:t>
      </w:r>
    </w:p>
    <w:p>
      <w:pPr>
        <w:pStyle w:val="NoSpacing"/>
        <w:shd w:val="clear" w:color="auto" w:fill="F2F3F4"/>
      </w:pPr>
      <w:r>
        <w:rPr>
          <w:rFonts w:ascii="Courier New" w:hAnsi="Courier New"/>
          <w:color w:val="2C3E50"/>
          <w:sz w:val="18"/>
        </w:rPr>
        <w:t>HTTP/1.1 200 OK</w:t>
        <w:br/>
        <w:t>Content-Type: application/json</w:t>
        <w:br/>
        <w:br/>
        <w:t>{</w:t>
        <w:br/>
        <w:t xml:space="preserve">  "authenticated": false,</w:t>
        <w:br/>
        <w:t xml:space="preserve">  "userRoles": ["Anonymous", "Authenticated", ...],</w:t>
        <w:br/>
        <w:t xml:space="preserve">  "userPrivileges": ["Get Patients", "Get Encounters", ...]</w:t>
        <w:br/>
        <w:t>}</w:t>
      </w:r>
    </w:p>
    <w:p>
      <w:pPr>
        <w:pStyle w:val="Heading3"/>
        <w:jc w:val="left"/>
      </w:pPr>
      <w:r>
        <w:rPr>
          <w:color w:val="0F3E6B"/>
        </w:rPr>
        <w:t>Recommendation</w:t>
      </w:r>
    </w:p>
    <w:p>
      <w:pPr>
        <w:pStyle w:val="ListBullet"/>
      </w:pPr>
      <w:r>
        <w:rPr>
          <w:sz w:val="20"/>
        </w:rPr>
        <w:t>Voeg een authenticatiecheck toe aan het /diag-endpoint of verwijder het endpoint geheel.</w:t>
      </w:r>
    </w:p>
    <w:p>
      <w:pPr>
        <w:pStyle w:val="ListBullet"/>
      </w:pPr>
      <w:r>
        <w:rPr>
          <w:sz w:val="20"/>
        </w:rPr>
        <w:t>Minimaal: controleer of Context.isAuthenticated() == true vóór het teruggeven van rol/privilege-informatie.</w:t>
      </w:r>
    </w:p>
    <w:p>
      <w:pPr>
        <w:pStyle w:val="ListBullet"/>
      </w:pPr>
      <w:r>
        <w:rPr>
          <w:sz w:val="20"/>
        </w:rPr>
        <w:t>Overweeg het endpoint te beperken tot beheerders (ROLE_ADMIN).</w:t>
      </w:r>
    </w:p>
    <w:p>
      <w:pPr>
        <w:pStyle w:val="Heading3"/>
        <w:jc w:val="left"/>
      </w:pPr>
      <w:r>
        <w:rPr>
          <w:color w:val="0F3E6B"/>
        </w:rPr>
        <w:t>Retest</w:t>
      </w:r>
    </w:p>
    <w:p>
      <w:pPr>
        <w:jc w:val="left"/>
      </w:pPr>
      <w:r>
        <w:rPr>
          <w:b/>
          <w:i w:val="0"/>
          <w:color w:val="C0392B"/>
          <w:sz w:val="22"/>
        </w:rPr>
        <w:t>Status: Open</w:t>
      </w:r>
    </w:p>
    <w:p/>
    <w:p>
      <w:r>
        <w:br w:type="page"/>
      </w:r>
    </w:p>
    <w:p>
      <w:pPr>
        <w:pStyle w:val="Heading2"/>
        <w:jc w:val="left"/>
      </w:pPr>
      <w:r>
        <w:rPr>
          <w:color w:val="0F3E6B"/>
        </w:rPr>
        <w:t>L 1: Sensitive Data in Log Output</w:t>
      </w:r>
    </w:p>
    <w:tbl>
      <w:tblPr>
        <w:tblStyle w:val="TableGrid"/>
        <w:tblW w:type="auto" w:w="0"/>
        <w:jc w:val="left"/>
        <w:tblLook w:firstColumn="1" w:firstRow="1" w:lastColumn="0" w:lastRow="0" w:noHBand="0" w:noVBand="1" w:val="04A0"/>
      </w:tblPr>
      <w:tblGrid>
        <w:gridCol w:w="4419"/>
        <w:gridCol w:w="4419"/>
      </w:tblGrid>
      <w:tr>
        <w:tc>
          <w:tcPr>
            <w:tcW w:type="dxa" w:w="2160"/>
            <w:shd w:val="clear" w:color="auto" w:fill="0F3E6B"/>
          </w:tcPr>
          <w:p>
            <w:r>
              <w:rPr>
                <w:b/>
                <w:color w:val="FFFFFF"/>
                <w:sz w:val="20"/>
              </w:rPr>
              <w:t>Field</w:t>
            </w:r>
          </w:p>
        </w:tc>
        <w:tc>
          <w:tcPr>
            <w:tcW w:type="dxa" w:w="6192"/>
            <w:shd w:val="clear" w:color="auto" w:fill="0F3E6B"/>
          </w:tcPr>
          <w:p>
            <w:r>
              <w:rPr>
                <w:b/>
                <w:color w:val="FFFFFF"/>
                <w:sz w:val="20"/>
              </w:rPr>
              <w:t>Value</w:t>
            </w:r>
          </w:p>
        </w:tc>
      </w:tr>
      <w:tr>
        <w:tc>
          <w:tcPr>
            <w:tcW w:type="dxa" w:w="2160"/>
          </w:tcPr>
          <w:p>
            <w:r>
              <w:rPr>
                <w:sz w:val="20"/>
              </w:rPr>
              <w:t>Severity</w:t>
            </w:r>
          </w:p>
        </w:tc>
        <w:tc>
          <w:tcPr>
            <w:tcW w:type="dxa" w:w="6192"/>
          </w:tcPr>
          <w:p>
            <w:r>
              <w:rPr>
                <w:sz w:val="20"/>
              </w:rPr>
              <w:t>Low</w:t>
            </w:r>
          </w:p>
        </w:tc>
      </w:tr>
      <w:tr>
        <w:tc>
          <w:tcPr>
            <w:tcW w:type="dxa" w:w="2160"/>
            <w:shd w:val="clear" w:color="auto" w:fill="F8F9FA"/>
          </w:tcPr>
          <w:p>
            <w:r>
              <w:rPr>
                <w:sz w:val="20"/>
              </w:rPr>
              <w:t>OWASP</w:t>
            </w:r>
          </w:p>
        </w:tc>
        <w:tc>
          <w:tcPr>
            <w:tcW w:type="dxa" w:w="6192"/>
            <w:shd w:val="clear" w:color="auto" w:fill="F8F9FA"/>
          </w:tcPr>
          <w:p>
            <w:r>
              <w:rPr>
                <w:sz w:val="20"/>
              </w:rPr>
              <w:t>A09:2021 — Security Logging and Monitoring Failures</w:t>
            </w:r>
          </w:p>
        </w:tc>
      </w:tr>
      <w:tr>
        <w:tc>
          <w:tcPr>
            <w:tcW w:type="dxa" w:w="2160"/>
          </w:tcPr>
          <w:p>
            <w:r>
              <w:rPr>
                <w:sz w:val="20"/>
              </w:rPr>
              <w:t>Affected components</w:t>
            </w:r>
          </w:p>
        </w:tc>
        <w:tc>
          <w:tcPr>
            <w:tcW w:type="dxa" w:w="6192"/>
          </w:tcPr>
          <w:p>
            <w:r>
              <w:rPr>
                <w:sz w:val="20"/>
              </w:rPr>
              <w:t>LayoutTemplateProvider.java:124</w:t>
            </w:r>
          </w:p>
        </w:tc>
      </w:tr>
      <w:tr>
        <w:tc>
          <w:tcPr>
            <w:tcW w:type="dxa" w:w="2160"/>
            <w:shd w:val="clear" w:color="auto" w:fill="F8F9FA"/>
          </w:tcPr>
          <w:p>
            <w:r>
              <w:rPr>
                <w:sz w:val="20"/>
              </w:rPr>
              <w:t>CWE</w:t>
            </w:r>
          </w:p>
        </w:tc>
        <w:tc>
          <w:tcPr>
            <w:tcW w:type="dxa" w:w="6192"/>
            <w:shd w:val="clear" w:color="auto" w:fill="F8F9FA"/>
          </w:tcPr>
          <w:p>
            <w:r>
              <w:rPr>
                <w:sz w:val="20"/>
              </w:rPr>
              <w:t>CWE-532</w:t>
            </w:r>
          </w:p>
        </w:tc>
      </w:tr>
      <w:tr>
        <w:tc>
          <w:tcPr>
            <w:tcW w:type="dxa" w:w="2160"/>
          </w:tcPr>
          <w:p>
            <w:r>
              <w:rPr>
                <w:sz w:val="20"/>
              </w:rPr>
              <w:t>References</w:t>
            </w:r>
          </w:p>
        </w:tc>
        <w:tc>
          <w:tcPr>
            <w:tcW w:type="dxa" w:w="6192"/>
          </w:tcPr>
          <w:p>
            <w:r>
              <w:rPr>
                <w:sz w:val="20"/>
              </w:rPr>
              <w:t>https://cwe.mitre.org/data/definitions/532.html</w:t>
              <w:br/>
              <w:t>CodeQL alert #4</w:t>
            </w:r>
          </w:p>
        </w:tc>
      </w:tr>
    </w:tbl>
    <w:p/>
    <w:p>
      <w:pPr>
        <w:pStyle w:val="Heading3"/>
        <w:jc w:val="left"/>
      </w:pPr>
      <w:r>
        <w:rPr>
          <w:color w:val="0F3E6B"/>
        </w:rPr>
        <w:t>Overview</w:t>
      </w:r>
    </w:p>
    <w:p>
      <w:pPr>
        <w:jc w:val="left"/>
      </w:pPr>
      <w:r>
        <w:rPr>
          <w:b w:val="0"/>
          <w:i w:val="0"/>
          <w:color w:val="1A1A2E"/>
          <w:sz w:val="22"/>
        </w:rPr>
        <w:t>LayoutTemplateProvider.java:124 schrijft potentieel gevoelige configuratiedata naar de applicatielog. CodeQL heeft dit gedetecteerd als java/sensitive-log. Afhankelijk van de log-retentie en toegangscontrole op de logfiles kan dit leiden tot informatielekken.</w:t>
      </w:r>
    </w:p>
    <w:p>
      <w:pPr>
        <w:pStyle w:val="Heading3"/>
        <w:jc w:val="left"/>
      </w:pPr>
      <w:r>
        <w:rPr>
          <w:color w:val="0F3E6B"/>
        </w:rPr>
        <w:t>Details</w:t>
      </w:r>
    </w:p>
    <w:p>
      <w:pPr>
        <w:jc w:val="left"/>
      </w:pPr>
      <w:r>
        <w:rPr>
          <w:b w:val="0"/>
          <w:i w:val="0"/>
          <w:color w:val="1A1A2E"/>
          <w:sz w:val="22"/>
        </w:rPr>
        <w:t>De logregels bevatten waarden die afkomstig zijn van systeemconfiguratie. Bij onvoldoende log-beveiliging (geen encryptie, breed leesrecht) kunnen beheerders of aanvallers met logbestanden-toegang interne configuratiedetails inzien. Dit is een laag-risico bevinding omdat directe exploitatie lokale logbestanden-toegang vereist.</w:t>
      </w:r>
    </w:p>
    <w:p>
      <w:pPr>
        <w:pStyle w:val="Heading3"/>
        <w:jc w:val="left"/>
      </w:pPr>
      <w:r>
        <w:rPr>
          <w:color w:val="0F3E6B"/>
        </w:rPr>
        <w:t>Impact</w:t>
      </w:r>
    </w:p>
    <w:p>
      <w:pPr>
        <w:jc w:val="left"/>
      </w:pPr>
      <w:r>
        <w:rPr>
          <w:b w:val="0"/>
          <w:i w:val="0"/>
          <w:color w:val="1A1A2E"/>
          <w:sz w:val="22"/>
        </w:rPr>
        <w:t>Informatielekken via logbestanden bij onvoldoende log-beveiliging. NEN-7510:2024-2 A.8.15 (logging).</w:t>
      </w:r>
    </w:p>
    <w:p>
      <w:pPr>
        <w:pStyle w:val="Heading3"/>
        <w:jc w:val="left"/>
      </w:pPr>
      <w:r>
        <w:rPr>
          <w:color w:val="0F3E6B"/>
        </w:rPr>
        <w:t>Reproduction</w:t>
      </w:r>
    </w:p>
    <w:p>
      <w:pPr>
        <w:pStyle w:val="ListNumber"/>
      </w:pPr>
      <w:r>
        <w:rPr>
          <w:sz w:val="20"/>
        </w:rPr>
        <w:t>Start OpenMRS en genereer traffic die LayoutTemplateProvider triggert.</w:t>
      </w:r>
    </w:p>
    <w:p>
      <w:pPr>
        <w:pStyle w:val="NoSpacing"/>
        <w:shd w:val="clear" w:color="auto" w:fill="F2F3F4"/>
      </w:pPr>
      <w:r>
        <w:rPr>
          <w:rFonts w:ascii="Courier New" w:hAnsi="Courier New"/>
          <w:color w:val="2C3E50"/>
          <w:sz w:val="18"/>
        </w:rPr>
        <w:t>grep -i "sensitive\|password\|key\|secret" /var/log/openmrs/openmrs.log</w:t>
      </w:r>
    </w:p>
    <w:p>
      <w:pPr>
        <w:pStyle w:val="ListNumber"/>
      </w:pPr>
      <w:r>
        <w:rPr>
          <w:sz w:val="20"/>
        </w:rPr>
        <w:t>Controleer of gevoelige waarden in de logregels verschijnen.</w:t>
      </w:r>
    </w:p>
    <w:p>
      <w:pPr>
        <w:pStyle w:val="Heading3"/>
        <w:jc w:val="left"/>
      </w:pPr>
      <w:r>
        <w:rPr>
          <w:color w:val="0F3E6B"/>
        </w:rPr>
        <w:t>Evidence</w:t>
      </w:r>
    </w:p>
    <w:p>
      <w:pPr>
        <w:jc w:val="left"/>
      </w:pPr>
      <w:r>
        <w:rPr>
          <w:b w:val="0"/>
          <w:i w:val="0"/>
          <w:color w:val="1A1A2E"/>
          <w:sz w:val="22"/>
        </w:rPr>
        <w:t>CodeQL alert #4: java/sensitive-log in LayoutTemplateProvider.java:124 — OPEN.</w:t>
      </w:r>
    </w:p>
    <w:p>
      <w:pPr>
        <w:pStyle w:val="Heading3"/>
        <w:jc w:val="left"/>
      </w:pPr>
      <w:r>
        <w:rPr>
          <w:color w:val="0F3E6B"/>
        </w:rPr>
        <w:t>Recommendation</w:t>
      </w:r>
    </w:p>
    <w:p>
      <w:pPr>
        <w:pStyle w:val="ListBullet"/>
      </w:pPr>
      <w:r>
        <w:rPr>
          <w:sz w:val="20"/>
        </w:rPr>
        <w:t>Review de logregels in LayoutTemplateProvider.java:124 — maskeer of verwijder gevoelige waarden.</w:t>
      </w:r>
    </w:p>
    <w:p>
      <w:pPr>
        <w:pStyle w:val="ListBullet"/>
      </w:pPr>
      <w:r>
        <w:rPr>
          <w:sz w:val="20"/>
        </w:rPr>
        <w:t>Stel log-bestandsrechten in zodat alleen de applicatiegebruiker kan lezen (chmod 640).</w:t>
      </w:r>
    </w:p>
    <w:p>
      <w:pPr>
        <w:pStyle w:val="ListBullet"/>
      </w:pPr>
      <w:r>
        <w:rPr>
          <w:sz w:val="20"/>
        </w:rPr>
        <w:t>Volg NEN-7510:2024-2 A.8.15: log security events, maar geen credentials of PII.</w:t>
      </w:r>
    </w:p>
    <w:p>
      <w:pPr>
        <w:pStyle w:val="Heading3"/>
        <w:jc w:val="left"/>
      </w:pPr>
      <w:r>
        <w:rPr>
          <w:color w:val="0F3E6B"/>
        </w:rPr>
        <w:t>Retest</w:t>
      </w:r>
    </w:p>
    <w:p>
      <w:pPr>
        <w:jc w:val="left"/>
      </w:pPr>
      <w:r>
        <w:rPr>
          <w:b/>
          <w:i w:val="0"/>
          <w:color w:val="C0392B"/>
          <w:sz w:val="22"/>
        </w:rPr>
        <w:t>Status: Open</w:t>
      </w:r>
    </w:p>
    <w:p/>
    <w:p>
      <w:pPr>
        <w:pStyle w:val="Heading2"/>
        <w:jc w:val="left"/>
      </w:pPr>
      <w:r>
        <w:rPr>
          <w:color w:val="0F3E6B"/>
        </w:rPr>
        <w:t>I 1: Integer Overflow in Paging Parameters</w:t>
      </w:r>
    </w:p>
    <w:tbl>
      <w:tblPr>
        <w:tblStyle w:val="TableGrid"/>
        <w:tblW w:type="auto" w:w="0"/>
        <w:jc w:val="left"/>
        <w:tblLook w:firstColumn="1" w:firstRow="1" w:lastColumn="0" w:lastRow="0" w:noHBand="0" w:noVBand="1" w:val="04A0"/>
      </w:tblPr>
      <w:tblGrid>
        <w:gridCol w:w="4419"/>
        <w:gridCol w:w="4419"/>
      </w:tblGrid>
      <w:tr>
        <w:tc>
          <w:tcPr>
            <w:tcW w:type="dxa" w:w="2160"/>
            <w:shd w:val="clear" w:color="auto" w:fill="0F3E6B"/>
          </w:tcPr>
          <w:p>
            <w:r>
              <w:rPr>
                <w:b/>
                <w:color w:val="FFFFFF"/>
                <w:sz w:val="20"/>
              </w:rPr>
              <w:t>Field</w:t>
            </w:r>
          </w:p>
        </w:tc>
        <w:tc>
          <w:tcPr>
            <w:tcW w:type="dxa" w:w="6192"/>
            <w:shd w:val="clear" w:color="auto" w:fill="0F3E6B"/>
          </w:tcPr>
          <w:p>
            <w:r>
              <w:rPr>
                <w:b/>
                <w:color w:val="FFFFFF"/>
                <w:sz w:val="20"/>
              </w:rPr>
              <w:t>Value</w:t>
            </w:r>
          </w:p>
        </w:tc>
      </w:tr>
      <w:tr>
        <w:tc>
          <w:tcPr>
            <w:tcW w:type="dxa" w:w="2160"/>
          </w:tcPr>
          <w:p>
            <w:r>
              <w:rPr>
                <w:sz w:val="20"/>
              </w:rPr>
              <w:t>Severity</w:t>
            </w:r>
          </w:p>
        </w:tc>
        <w:tc>
          <w:tcPr>
            <w:tcW w:type="dxa" w:w="6192"/>
          </w:tcPr>
          <w:p>
            <w:r>
              <w:rPr>
                <w:sz w:val="20"/>
              </w:rPr>
              <w:t>Info</w:t>
            </w:r>
          </w:p>
        </w:tc>
      </w:tr>
      <w:tr>
        <w:tc>
          <w:tcPr>
            <w:tcW w:type="dxa" w:w="2160"/>
            <w:shd w:val="clear" w:color="auto" w:fill="F8F9FA"/>
          </w:tcPr>
          <w:p>
            <w:r>
              <w:rPr>
                <w:sz w:val="20"/>
              </w:rPr>
              <w:t>OWASP</w:t>
            </w:r>
          </w:p>
        </w:tc>
        <w:tc>
          <w:tcPr>
            <w:tcW w:type="dxa" w:w="6192"/>
            <w:shd w:val="clear" w:color="auto" w:fill="F8F9FA"/>
          </w:tcPr>
          <w:p>
            <w:r>
              <w:rPr>
                <w:sz w:val="20"/>
              </w:rPr>
              <w:t>A03:2021 — Injection</w:t>
            </w:r>
          </w:p>
        </w:tc>
      </w:tr>
      <w:tr>
        <w:tc>
          <w:tcPr>
            <w:tcW w:type="dxa" w:w="2160"/>
          </w:tcPr>
          <w:p>
            <w:r>
              <w:rPr>
                <w:sz w:val="20"/>
              </w:rPr>
              <w:t>Affected components</w:t>
            </w:r>
          </w:p>
        </w:tc>
        <w:tc>
          <w:tcPr>
            <w:tcW w:type="dxa" w:w="6192"/>
          </w:tcPr>
          <w:p>
            <w:r>
              <w:rPr>
                <w:sz w:val="20"/>
              </w:rPr>
              <w:t>RequestContext.java:172, 183</w:t>
            </w:r>
          </w:p>
        </w:tc>
      </w:tr>
      <w:tr>
        <w:tc>
          <w:tcPr>
            <w:tcW w:type="dxa" w:w="2160"/>
            <w:shd w:val="clear" w:color="auto" w:fill="F8F9FA"/>
          </w:tcPr>
          <w:p>
            <w:r>
              <w:rPr>
                <w:sz w:val="20"/>
              </w:rPr>
              <w:t>CWE</w:t>
            </w:r>
          </w:p>
        </w:tc>
        <w:tc>
          <w:tcPr>
            <w:tcW w:type="dxa" w:w="6192"/>
            <w:shd w:val="clear" w:color="auto" w:fill="F8F9FA"/>
          </w:tcPr>
          <w:p>
            <w:r>
              <w:rPr>
                <w:sz w:val="20"/>
              </w:rPr>
              <w:t>CWE-190 / CWE-191</w:t>
            </w:r>
          </w:p>
        </w:tc>
      </w:tr>
      <w:tr>
        <w:tc>
          <w:tcPr>
            <w:tcW w:type="dxa" w:w="2160"/>
          </w:tcPr>
          <w:p>
            <w:r>
              <w:rPr>
                <w:sz w:val="20"/>
              </w:rPr>
              <w:t>References</w:t>
            </w:r>
          </w:p>
        </w:tc>
        <w:tc>
          <w:tcPr>
            <w:tcW w:type="dxa" w:w="6192"/>
          </w:tcPr>
          <w:p>
            <w:r>
              <w:rPr>
                <w:sz w:val="20"/>
              </w:rPr>
              <w:t>https://cwe.mitre.org/data/definitions/190.html</w:t>
              <w:br/>
              <w:t>CodeQL alerts #5, #6</w:t>
            </w:r>
          </w:p>
        </w:tc>
      </w:tr>
    </w:tbl>
    <w:p/>
    <w:p>
      <w:pPr>
        <w:pStyle w:val="Heading3"/>
        <w:jc w:val="left"/>
      </w:pPr>
      <w:r>
        <w:rPr>
          <w:color w:val="0F3E6B"/>
        </w:rPr>
        <w:t>Overview</w:t>
      </w:r>
    </w:p>
    <w:p>
      <w:pPr>
        <w:jc w:val="left"/>
      </w:pPr>
      <w:r>
        <w:rPr>
          <w:b w:val="0"/>
          <w:i w:val="0"/>
          <w:color w:val="1A1A2E"/>
          <w:sz w:val="22"/>
        </w:rPr>
        <w:t>RequestContext.java:172 en :183 converteren paging-parameters (limit, startIndex) van String naar int zonder overflow-check. Bij extreme waarden (Integer.MAX_VALUE+1) kan dit leiden tot onverwacht gedrag. In de praktijk is de exploitatiebaarheid laag door de beperkingen die de database oplegt.</w:t>
      </w:r>
    </w:p>
    <w:p>
      <w:pPr>
        <w:pStyle w:val="Heading3"/>
        <w:jc w:val="left"/>
      </w:pPr>
      <w:r>
        <w:rPr>
          <w:color w:val="0F3E6B"/>
        </w:rPr>
        <w:t>Details</w:t>
      </w:r>
    </w:p>
    <w:p>
      <w:pPr>
        <w:jc w:val="left"/>
      </w:pPr>
      <w:r>
        <w:rPr>
          <w:b w:val="0"/>
          <w:i w:val="0"/>
          <w:color w:val="1A1A2E"/>
          <w:sz w:val="22"/>
        </w:rPr>
        <w:t>Integer.parseInt() gooit een NumberFormatException bij waarden buiten int-bereik, maar de try-catch rondom de call bepaalt of dit correct afgehandeld wordt. CodeQL signaleert mogelijke overflow-situaties (alerts #5 en #6). Een aanvaller kan dit proberen te gebruiken voor unexpected paging-gedrag.</w:t>
      </w:r>
    </w:p>
    <w:p>
      <w:pPr>
        <w:pStyle w:val="Heading3"/>
        <w:jc w:val="left"/>
      </w:pPr>
      <w:r>
        <w:rPr>
          <w:color w:val="0F3E6B"/>
        </w:rPr>
        <w:t>Impact</w:t>
      </w:r>
    </w:p>
    <w:p>
      <w:pPr>
        <w:jc w:val="left"/>
      </w:pPr>
      <w:r>
        <w:rPr>
          <w:b w:val="0"/>
          <w:i w:val="0"/>
          <w:color w:val="1A1A2E"/>
          <w:sz w:val="22"/>
        </w:rPr>
        <w:t>Laag: onverwacht paging-gedrag, mogelijk extra database-load. Geen directe data-exposure. Informatieve bevinding.</w:t>
      </w:r>
    </w:p>
    <w:p>
      <w:pPr>
        <w:pStyle w:val="Heading3"/>
        <w:jc w:val="left"/>
      </w:pPr>
      <w:r>
        <w:rPr>
          <w:color w:val="0F3E6B"/>
        </w:rPr>
        <w:t>Reproduction</w:t>
      </w:r>
    </w:p>
    <w:p>
      <w:pPr>
        <w:pStyle w:val="ListNumber"/>
      </w:pPr>
      <w:r>
        <w:rPr>
          <w:sz w:val="20"/>
        </w:rPr>
        <w:t>Stuur een request met extreme paging-waarden:</w:t>
      </w:r>
    </w:p>
    <w:p>
      <w:pPr>
        <w:pStyle w:val="NoSpacing"/>
        <w:shd w:val="clear" w:color="auto" w:fill="F2F3F4"/>
      </w:pPr>
      <w:r>
        <w:rPr>
          <w:rFonts w:ascii="Courier New" w:hAnsi="Courier New"/>
          <w:color w:val="2C3E50"/>
          <w:sz w:val="18"/>
        </w:rPr>
        <w:t>curl -u admin:Admin1234 \</w:t>
        <w:br/>
        <w:t xml:space="preserve">  "http://localhost:8080/openmrs/ws/rest/v1/patient?limit=2147483648&amp;startIndex=-1"</w:t>
      </w:r>
    </w:p>
    <w:p>
      <w:pPr>
        <w:pStyle w:val="ListNumber"/>
      </w:pPr>
      <w:r>
        <w:rPr>
          <w:sz w:val="20"/>
        </w:rPr>
        <w:t>Observeer de server response — 400 Bad Request of onverwacht gedrag.</w:t>
      </w:r>
    </w:p>
    <w:p>
      <w:pPr>
        <w:pStyle w:val="Heading3"/>
        <w:jc w:val="left"/>
      </w:pPr>
      <w:r>
        <w:rPr>
          <w:color w:val="0F3E6B"/>
        </w:rPr>
        <w:t>Evidence</w:t>
      </w:r>
    </w:p>
    <w:p>
      <w:pPr>
        <w:jc w:val="left"/>
      </w:pPr>
      <w:r>
        <w:rPr>
          <w:b w:val="0"/>
          <w:i w:val="0"/>
          <w:color w:val="1A1A2E"/>
          <w:sz w:val="22"/>
        </w:rPr>
        <w:t>CodeQL alerts #5 en #6: java/integer-overflow in RequestContext.java:172,183 — OPEN.</w:t>
      </w:r>
    </w:p>
    <w:p>
      <w:pPr>
        <w:pStyle w:val="Heading3"/>
        <w:jc w:val="left"/>
      </w:pPr>
      <w:r>
        <w:rPr>
          <w:color w:val="0F3E6B"/>
        </w:rPr>
        <w:t>Recommendation</w:t>
      </w:r>
    </w:p>
    <w:p>
      <w:pPr>
        <w:pStyle w:val="ListBullet"/>
      </w:pPr>
      <w:r>
        <w:rPr>
          <w:sz w:val="20"/>
        </w:rPr>
        <w:t>Valideer paging-parameters: limit en startIndex moeten positieve integers zijn binnen een redelijk maximum (bijv. max 1000).</w:t>
      </w:r>
    </w:p>
    <w:p>
      <w:pPr>
        <w:pStyle w:val="ListBullet"/>
      </w:pPr>
      <w:r>
        <w:rPr>
          <w:sz w:val="20"/>
        </w:rPr>
        <w:t>Gooi een expliciete 400 Bad Request met beschrijvende foutmelding bij ongeldige waarden.</w:t>
      </w:r>
    </w:p>
    <w:p>
      <w:pPr>
        <w:pStyle w:val="Heading3"/>
        <w:jc w:val="left"/>
      </w:pPr>
      <w:r>
        <w:rPr>
          <w:color w:val="0F3E6B"/>
        </w:rPr>
        <w:t>Retest</w:t>
      </w:r>
    </w:p>
    <w:p>
      <w:pPr>
        <w:jc w:val="left"/>
      </w:pPr>
      <w:r>
        <w:rPr>
          <w:b/>
          <w:i w:val="0"/>
          <w:color w:val="F39C12"/>
          <w:sz w:val="22"/>
        </w:rPr>
        <w:t>Status: Accepted</w:t>
      </w:r>
    </w:p>
    <w:p/>
    <w:p>
      <w:r>
        <w:br w:type="page"/>
      </w:r>
    </w:p>
    <w:p>
      <w:pPr>
        <w:pStyle w:val="Heading1"/>
        <w:jc w:val="left"/>
      </w:pPr>
      <w:r>
        <w:rPr>
          <w:color w:val="0F3E6B"/>
        </w:rPr>
        <w:t>5 Document History</w:t>
      </w:r>
    </w:p>
    <w:tbl>
      <w:tblPr>
        <w:tblStyle w:val="TableGrid"/>
        <w:tblW w:type="auto" w:w="0"/>
        <w:jc w:val="left"/>
        <w:tblLook w:firstColumn="1" w:firstRow="1" w:lastColumn="0" w:lastRow="0" w:noHBand="0" w:noVBand="1" w:val="04A0"/>
      </w:tblPr>
      <w:tblGrid>
        <w:gridCol w:w="2946"/>
        <w:gridCol w:w="2946"/>
        <w:gridCol w:w="2946"/>
      </w:tblGrid>
      <w:tr>
        <w:tc>
          <w:tcPr>
            <w:tcW w:type="dxa" w:w="1152"/>
            <w:shd w:val="clear" w:color="auto" w:fill="0F3E6B"/>
          </w:tcPr>
          <w:p>
            <w:r>
              <w:rPr>
                <w:b/>
                <w:color w:val="FFFFFF"/>
                <w:sz w:val="20"/>
              </w:rPr>
              <w:t>Version</w:t>
            </w:r>
          </w:p>
        </w:tc>
        <w:tc>
          <w:tcPr>
            <w:tcW w:type="dxa" w:w="1728"/>
            <w:shd w:val="clear" w:color="auto" w:fill="0F3E6B"/>
          </w:tcPr>
          <w:p>
            <w:r>
              <w:rPr>
                <w:b/>
                <w:color w:val="FFFFFF"/>
                <w:sz w:val="20"/>
              </w:rPr>
              <w:t>Date</w:t>
            </w:r>
          </w:p>
        </w:tc>
        <w:tc>
          <w:tcPr>
            <w:tcW w:type="dxa" w:w="5472"/>
            <w:shd w:val="clear" w:color="auto" w:fill="0F3E6B"/>
          </w:tcPr>
          <w:p>
            <w:r>
              <w:rPr>
                <w:b/>
                <w:color w:val="FFFFFF"/>
                <w:sz w:val="20"/>
              </w:rPr>
              <w:t>Change</w:t>
            </w:r>
          </w:p>
        </w:tc>
      </w:tr>
      <w:tr>
        <w:tc>
          <w:tcPr>
            <w:tcW w:type="dxa" w:w="1152"/>
          </w:tcPr>
          <w:p>
            <w:r>
              <w:rPr>
                <w:sz w:val="20"/>
              </w:rPr>
              <w:t>1.0</w:t>
            </w:r>
          </w:p>
        </w:tc>
        <w:tc>
          <w:tcPr>
            <w:tcW w:type="dxa" w:w="1728"/>
          </w:tcPr>
          <w:p>
            <w:r>
              <w:rPr>
                <w:sz w:val="20"/>
              </w:rPr>
              <w:t>2026-06-11</w:t>
            </w:r>
          </w:p>
        </w:tc>
        <w:tc>
          <w:tcPr>
            <w:tcW w:type="dxa" w:w="5472"/>
          </w:tcPr>
          <w:p>
            <w:r>
              <w:rPr>
                <w:sz w:val="20"/>
              </w:rPr>
              <w:t>Initial report — 7 findings (C1, H1-H3, M1, L1, I1)</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