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EA03DE" w14:paraId="5DCB49B1" w14:textId="77777777">
        <w:tc>
          <w:tcPr>
            <w:tcW w:w="5760" w:type="dxa"/>
            <w:shd w:val="clear" w:color="auto" w:fill="003366"/>
          </w:tcPr>
          <w:p w14:paraId="06930D1C" w14:textId="77777777" w:rsidR="00EA03DE" w:rsidRDefault="00000000">
            <w:r>
              <w:rPr>
                <w:noProof/>
              </w:rPr>
              <w:drawing>
                <wp:inline distT="0" distB="0" distL="0" distR="0" wp14:anchorId="39AA099A" wp14:editId="4B3F20BA">
                  <wp:extent cx="822960" cy="8229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eekbyte SLide 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0" w:type="dxa"/>
            <w:shd w:val="clear" w:color="auto" w:fill="003366"/>
          </w:tcPr>
          <w:p w14:paraId="526A9462" w14:textId="77777777" w:rsidR="00EA03DE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8"/>
              </w:rPr>
              <w:t>Geekbyte</w:t>
            </w:r>
            <w:proofErr w:type="spellEnd"/>
            <w:r>
              <w:rPr>
                <w:b/>
                <w:color w:val="FFFFFF"/>
                <w:sz w:val="28"/>
              </w:rPr>
              <w:t>: Aligning Product, Technology, and Leadership to Scale with Confidence</w:t>
            </w:r>
          </w:p>
        </w:tc>
      </w:tr>
    </w:tbl>
    <w:p w14:paraId="5BF899AA" w14:textId="77777777" w:rsidR="00101B27" w:rsidRDefault="00101B27">
      <w:pPr>
        <w:spacing w:after="120"/>
        <w:jc w:val="center"/>
        <w:rPr>
          <w:i/>
          <w:color w:val="0070C0"/>
          <w:sz w:val="28"/>
          <w:szCs w:val="28"/>
        </w:rPr>
      </w:pPr>
    </w:p>
    <w:p w14:paraId="5AD70030" w14:textId="57365F73" w:rsidR="00EA03DE" w:rsidRPr="00101B27" w:rsidRDefault="00000000">
      <w:pPr>
        <w:spacing w:after="120"/>
        <w:jc w:val="center"/>
        <w:rPr>
          <w:color w:val="0070C0"/>
          <w:sz w:val="28"/>
          <w:szCs w:val="28"/>
        </w:rPr>
      </w:pPr>
      <w:proofErr w:type="spellStart"/>
      <w:r w:rsidRPr="00101B27">
        <w:rPr>
          <w:i/>
          <w:color w:val="0070C0"/>
          <w:sz w:val="28"/>
          <w:szCs w:val="28"/>
        </w:rPr>
        <w:t>Geekbyte</w:t>
      </w:r>
      <w:proofErr w:type="spellEnd"/>
      <w:r w:rsidRPr="00101B27">
        <w:rPr>
          <w:i/>
          <w:color w:val="0070C0"/>
          <w:sz w:val="28"/>
          <w:szCs w:val="28"/>
        </w:rPr>
        <w:t xml:space="preserve"> LLC helps growth-stage companies accelerate scale by aligning technology leadership, engineering execution, and governance with aggressive growth goals.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EA03DE" w14:paraId="50AE3ECD" w14:textId="77777777">
        <w:tc>
          <w:tcPr>
            <w:tcW w:w="5760" w:type="dxa"/>
            <w:shd w:val="clear" w:color="auto" w:fill="E6F0FA"/>
          </w:tcPr>
          <w:p w14:paraId="052F1911" w14:textId="77777777" w:rsidR="00EA03DE" w:rsidRDefault="00000000">
            <w:r>
              <w:rPr>
                <w:noProof/>
              </w:rPr>
              <w:drawing>
                <wp:inline distT="0" distB="0" distL="0" distR="0" wp14:anchorId="4FD759DC" wp14:editId="139F220B">
                  <wp:extent cx="365760" cy="3657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adership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color w:val="003366"/>
                <w:sz w:val="20"/>
              </w:rPr>
              <w:t>Executive &amp; Technology Leadership</w:t>
            </w:r>
          </w:p>
        </w:tc>
        <w:tc>
          <w:tcPr>
            <w:tcW w:w="5760" w:type="dxa"/>
            <w:shd w:val="clear" w:color="auto" w:fill="E6F0FA"/>
          </w:tcPr>
          <w:p w14:paraId="7AE15CAA" w14:textId="77777777" w:rsidR="00EA03DE" w:rsidRDefault="00EA03DE"/>
          <w:p w14:paraId="32ACEE81" w14:textId="77777777" w:rsidR="00EA03DE" w:rsidRDefault="00000000">
            <w:pPr>
              <w:pStyle w:val="ListBullet"/>
              <w:spacing w:after="0"/>
            </w:pPr>
            <w:r>
              <w:rPr>
                <w:sz w:val="20"/>
              </w:rPr>
              <w:t>Fractional / Interim CTO, CIO, or VP Engineering roles</w:t>
            </w:r>
          </w:p>
          <w:p w14:paraId="2F46915F" w14:textId="77777777" w:rsidR="00EA03DE" w:rsidRDefault="00000000">
            <w:pPr>
              <w:pStyle w:val="ListBullet"/>
              <w:spacing w:after="0"/>
            </w:pPr>
            <w:r>
              <w:rPr>
                <w:sz w:val="20"/>
              </w:rPr>
              <w:t>Independent board or advisory board member for unbiased oversight</w:t>
            </w:r>
          </w:p>
          <w:p w14:paraId="4143C06E" w14:textId="77777777" w:rsidR="00EA03DE" w:rsidRDefault="00000000">
            <w:pPr>
              <w:pStyle w:val="ListBullet"/>
              <w:spacing w:after="0"/>
            </w:pPr>
            <w:r>
              <w:rPr>
                <w:sz w:val="20"/>
              </w:rPr>
              <w:t>Coaching and mentoring for technology leaders and architects</w:t>
            </w:r>
          </w:p>
          <w:p w14:paraId="5F3A0A69" w14:textId="77777777" w:rsidR="00EA03DE" w:rsidRDefault="00000000">
            <w:pPr>
              <w:pStyle w:val="ListBullet"/>
              <w:spacing w:after="0"/>
            </w:pPr>
            <w:r>
              <w:rPr>
                <w:sz w:val="20"/>
              </w:rPr>
              <w:t>Building and scaling engineering organizations during transitions</w:t>
            </w:r>
          </w:p>
        </w:tc>
      </w:tr>
      <w:tr w:rsidR="00EA03DE" w14:paraId="44140115" w14:textId="77777777">
        <w:tc>
          <w:tcPr>
            <w:tcW w:w="5760" w:type="dxa"/>
            <w:shd w:val="clear" w:color="auto" w:fill="FFFFFF"/>
          </w:tcPr>
          <w:p w14:paraId="47AC2473" w14:textId="77777777" w:rsidR="00EA03DE" w:rsidRDefault="00000000">
            <w:r>
              <w:rPr>
                <w:noProof/>
              </w:rPr>
              <w:drawing>
                <wp:inline distT="0" distB="0" distL="0" distR="0" wp14:anchorId="5AE9C0A8" wp14:editId="5490E3DE">
                  <wp:extent cx="365760" cy="36576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ces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color w:val="003366"/>
                <w:sz w:val="20"/>
              </w:rPr>
              <w:t>Process &amp; Delivery Excellence</w:t>
            </w:r>
          </w:p>
        </w:tc>
        <w:tc>
          <w:tcPr>
            <w:tcW w:w="5760" w:type="dxa"/>
            <w:shd w:val="clear" w:color="auto" w:fill="FFFFFF"/>
          </w:tcPr>
          <w:p w14:paraId="31FF31C9" w14:textId="77777777" w:rsidR="00EA03DE" w:rsidRDefault="00EA03DE"/>
          <w:p w14:paraId="2625B5FA" w14:textId="77777777" w:rsidR="00EA03DE" w:rsidRDefault="00000000">
            <w:pPr>
              <w:pStyle w:val="ListBullet"/>
              <w:spacing w:after="0"/>
            </w:pPr>
            <w:r>
              <w:rPr>
                <w:sz w:val="20"/>
              </w:rPr>
              <w:t>Optimize Scrum velocity and collaboration</w:t>
            </w:r>
          </w:p>
          <w:p w14:paraId="0FC2F604" w14:textId="77777777" w:rsidR="00EA03DE" w:rsidRDefault="00000000">
            <w:pPr>
              <w:pStyle w:val="ListBullet"/>
              <w:spacing w:after="0"/>
            </w:pPr>
            <w:r>
              <w:rPr>
                <w:sz w:val="20"/>
              </w:rPr>
              <w:t>Accelerate QA automation and coverage</w:t>
            </w:r>
          </w:p>
          <w:p w14:paraId="4564A1CA" w14:textId="77777777" w:rsidR="00EA03DE" w:rsidRDefault="00000000">
            <w:pPr>
              <w:pStyle w:val="ListBullet"/>
              <w:spacing w:after="0"/>
            </w:pPr>
            <w:r>
              <w:rPr>
                <w:sz w:val="20"/>
              </w:rPr>
              <w:t>Implement effective regression testing practices</w:t>
            </w:r>
          </w:p>
          <w:p w14:paraId="409F8DE9" w14:textId="77777777" w:rsidR="00EA03DE" w:rsidRDefault="00000000">
            <w:pPr>
              <w:pStyle w:val="ListBullet"/>
              <w:spacing w:after="0"/>
            </w:pPr>
            <w:r>
              <w:rPr>
                <w:sz w:val="20"/>
              </w:rPr>
              <w:t>Evaluate and rationalize outsourcing vendors</w:t>
            </w:r>
          </w:p>
        </w:tc>
      </w:tr>
      <w:tr w:rsidR="00EA03DE" w14:paraId="47BDA8F6" w14:textId="77777777">
        <w:tc>
          <w:tcPr>
            <w:tcW w:w="5760" w:type="dxa"/>
            <w:shd w:val="clear" w:color="auto" w:fill="E6F0FA"/>
          </w:tcPr>
          <w:p w14:paraId="4E7A4983" w14:textId="77777777" w:rsidR="00EA03DE" w:rsidRDefault="00000000">
            <w:r>
              <w:rPr>
                <w:noProof/>
              </w:rPr>
              <w:drawing>
                <wp:inline distT="0" distB="0" distL="0" distR="0" wp14:anchorId="558298A2" wp14:editId="0E2668A7">
                  <wp:extent cx="365760" cy="36576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rateg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color w:val="003366"/>
                <w:sz w:val="20"/>
              </w:rPr>
              <w:t>Strategy &amp; Growth Enablement</w:t>
            </w:r>
          </w:p>
        </w:tc>
        <w:tc>
          <w:tcPr>
            <w:tcW w:w="5760" w:type="dxa"/>
            <w:shd w:val="clear" w:color="auto" w:fill="E6F0FA"/>
          </w:tcPr>
          <w:p w14:paraId="4462F9FC" w14:textId="77777777" w:rsidR="00EA03DE" w:rsidRDefault="00EA03DE"/>
          <w:p w14:paraId="241D18C2" w14:textId="77777777" w:rsidR="00EA03DE" w:rsidRDefault="00000000">
            <w:pPr>
              <w:pStyle w:val="ListBullet"/>
              <w:spacing w:after="0"/>
            </w:pPr>
            <w:r>
              <w:rPr>
                <w:sz w:val="20"/>
              </w:rPr>
              <w:t>Perform technical due diligence for investors and acquirers</w:t>
            </w:r>
          </w:p>
          <w:p w14:paraId="0B4B86A6" w14:textId="77777777" w:rsidR="00EA03DE" w:rsidRDefault="00000000">
            <w:pPr>
              <w:pStyle w:val="ListBullet"/>
              <w:spacing w:after="0"/>
            </w:pPr>
            <w:r>
              <w:rPr>
                <w:sz w:val="20"/>
              </w:rPr>
              <w:t>Design post-close execution plans and leadership integration</w:t>
            </w:r>
          </w:p>
          <w:p w14:paraId="6B793C4F" w14:textId="77777777" w:rsidR="00EA03DE" w:rsidRDefault="00000000">
            <w:pPr>
              <w:pStyle w:val="ListBullet"/>
              <w:spacing w:after="0"/>
            </w:pPr>
            <w:r>
              <w:rPr>
                <w:sz w:val="20"/>
              </w:rPr>
              <w:t>Develop multi-year engineering roadmaps balancing innovation and debt</w:t>
            </w:r>
          </w:p>
          <w:p w14:paraId="250B90C5" w14:textId="77777777" w:rsidR="00EA03DE" w:rsidRDefault="00000000">
            <w:pPr>
              <w:pStyle w:val="ListBullet"/>
              <w:spacing w:after="0"/>
            </w:pPr>
            <w:r>
              <w:rPr>
                <w:sz w:val="20"/>
              </w:rPr>
              <w:t>Prepare organizations for M&amp;A readiness and integration</w:t>
            </w:r>
          </w:p>
        </w:tc>
      </w:tr>
      <w:tr w:rsidR="00EA03DE" w14:paraId="6A5C918C" w14:textId="77777777">
        <w:tc>
          <w:tcPr>
            <w:tcW w:w="5760" w:type="dxa"/>
            <w:shd w:val="clear" w:color="auto" w:fill="FFFFFF"/>
          </w:tcPr>
          <w:p w14:paraId="5207C593" w14:textId="77777777" w:rsidR="00EA03DE" w:rsidRDefault="00000000">
            <w:r>
              <w:rPr>
                <w:noProof/>
              </w:rPr>
              <w:drawing>
                <wp:inline distT="0" distB="0" distL="0" distR="0" wp14:anchorId="7289946C" wp14:editId="230FF78F">
                  <wp:extent cx="365760" cy="36576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overna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color w:val="003366"/>
                <w:sz w:val="20"/>
              </w:rPr>
              <w:t>Risk Reduction &amp; Governance</w:t>
            </w:r>
          </w:p>
        </w:tc>
        <w:tc>
          <w:tcPr>
            <w:tcW w:w="5760" w:type="dxa"/>
            <w:shd w:val="clear" w:color="auto" w:fill="FFFFFF"/>
          </w:tcPr>
          <w:p w14:paraId="0F337AF0" w14:textId="77777777" w:rsidR="00EA03DE" w:rsidRDefault="00EA03DE"/>
          <w:p w14:paraId="44FFF732" w14:textId="77777777" w:rsidR="00EA03DE" w:rsidRDefault="00000000">
            <w:pPr>
              <w:pStyle w:val="ListBullet"/>
              <w:spacing w:after="0"/>
            </w:pPr>
            <w:r>
              <w:rPr>
                <w:sz w:val="20"/>
              </w:rPr>
              <w:t>Establish security governance and compliance frameworks</w:t>
            </w:r>
          </w:p>
          <w:p w14:paraId="2ABB00DF" w14:textId="77777777" w:rsidR="00EA03DE" w:rsidRDefault="00000000">
            <w:pPr>
              <w:pStyle w:val="ListBullet"/>
              <w:spacing w:after="0"/>
            </w:pPr>
            <w:r>
              <w:rPr>
                <w:sz w:val="20"/>
              </w:rPr>
              <w:t>Conduct open-source licensing audits and remediation</w:t>
            </w:r>
          </w:p>
          <w:p w14:paraId="631D3E55" w14:textId="77777777" w:rsidR="00EA03DE" w:rsidRDefault="00000000">
            <w:pPr>
              <w:pStyle w:val="ListBullet"/>
              <w:spacing w:after="0"/>
            </w:pPr>
            <w:r>
              <w:rPr>
                <w:sz w:val="20"/>
              </w:rPr>
              <w:t>Deliver vulnerability and risk assessments with remediation steps</w:t>
            </w:r>
          </w:p>
          <w:p w14:paraId="09E8E171" w14:textId="77777777" w:rsidR="00EA03DE" w:rsidRPr="00101B27" w:rsidRDefault="00000000">
            <w:pPr>
              <w:pStyle w:val="ListBullet"/>
              <w:spacing w:after="0"/>
            </w:pPr>
            <w:r>
              <w:rPr>
                <w:sz w:val="20"/>
              </w:rPr>
              <w:t>Increase transparency and confidence for boards and investors</w:t>
            </w:r>
          </w:p>
          <w:p w14:paraId="73ED1C1E" w14:textId="77777777" w:rsidR="00101B27" w:rsidRDefault="00101B27" w:rsidP="00101B27">
            <w:pPr>
              <w:pStyle w:val="ListBullet"/>
              <w:numPr>
                <w:ilvl w:val="0"/>
                <w:numId w:val="0"/>
              </w:numPr>
              <w:spacing w:after="0"/>
            </w:pPr>
          </w:p>
        </w:tc>
      </w:tr>
    </w:tbl>
    <w:p w14:paraId="53574D1E" w14:textId="77777777" w:rsidR="00101B27" w:rsidRDefault="00101B27">
      <w:pPr>
        <w:jc w:val="center"/>
        <w:rPr>
          <w:b/>
          <w:color w:val="0070C0"/>
          <w:sz w:val="32"/>
          <w:szCs w:val="32"/>
        </w:rPr>
      </w:pPr>
    </w:p>
    <w:p w14:paraId="7C48A25D" w14:textId="17026E89" w:rsidR="00EA03DE" w:rsidRPr="00101B27" w:rsidRDefault="00000000">
      <w:pPr>
        <w:jc w:val="center"/>
        <w:rPr>
          <w:b/>
          <w:color w:val="0070C0"/>
          <w:sz w:val="32"/>
          <w:szCs w:val="32"/>
        </w:rPr>
      </w:pPr>
      <w:proofErr w:type="spellStart"/>
      <w:r w:rsidRPr="00101B27">
        <w:rPr>
          <w:b/>
          <w:color w:val="0070C0"/>
          <w:sz w:val="32"/>
          <w:szCs w:val="32"/>
        </w:rPr>
        <w:t>Geekbyte</w:t>
      </w:r>
      <w:proofErr w:type="spellEnd"/>
      <w:r w:rsidRPr="00101B27">
        <w:rPr>
          <w:b/>
          <w:color w:val="0070C0"/>
          <w:sz w:val="32"/>
          <w:szCs w:val="32"/>
        </w:rPr>
        <w:t xml:space="preserve"> partners with ambitious companies to accelerate growth, reduce risk, and scale with confidence.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EA03DE" w14:paraId="5172F43E" w14:textId="77777777">
        <w:tc>
          <w:tcPr>
            <w:tcW w:w="5760" w:type="dxa"/>
            <w:shd w:val="clear" w:color="auto" w:fill="003366"/>
          </w:tcPr>
          <w:p w14:paraId="0989C951" w14:textId="77777777" w:rsidR="00EA03DE" w:rsidRDefault="00000000">
            <w:r>
              <w:rPr>
                <w:noProof/>
              </w:rPr>
              <w:drawing>
                <wp:inline distT="0" distB="0" distL="0" distR="0" wp14:anchorId="3698FA66" wp14:editId="25CADF8B">
                  <wp:extent cx="457200" cy="4572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eekbyte SLide 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0" w:type="dxa"/>
            <w:shd w:val="clear" w:color="auto" w:fill="003366"/>
          </w:tcPr>
          <w:p w14:paraId="05FCE1E6" w14:textId="77777777" w:rsidR="00EA03DE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Geekbyte</w:t>
            </w:r>
            <w:proofErr w:type="spellEnd"/>
            <w:r>
              <w:rPr>
                <w:b/>
                <w:color w:val="FFFFFF"/>
                <w:sz w:val="18"/>
              </w:rPr>
              <w:t xml:space="preserve"> LLC • www.geekbyte.biz • grant@geekbyte.biz • (281) 224-1108 • www.linkedin.com/in/grant-howecto</w:t>
            </w:r>
          </w:p>
        </w:tc>
      </w:tr>
    </w:tbl>
    <w:p w14:paraId="2DCF7FF9" w14:textId="77777777" w:rsidR="00990A94" w:rsidRDefault="00990A94"/>
    <w:sectPr w:rsidR="00990A94" w:rsidSect="00034616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8243957">
    <w:abstractNumId w:val="8"/>
  </w:num>
  <w:num w:numId="2" w16cid:durableId="215507644">
    <w:abstractNumId w:val="6"/>
  </w:num>
  <w:num w:numId="3" w16cid:durableId="1355155944">
    <w:abstractNumId w:val="5"/>
  </w:num>
  <w:num w:numId="4" w16cid:durableId="876117313">
    <w:abstractNumId w:val="4"/>
  </w:num>
  <w:num w:numId="5" w16cid:durableId="1641688857">
    <w:abstractNumId w:val="7"/>
  </w:num>
  <w:num w:numId="6" w16cid:durableId="1748191796">
    <w:abstractNumId w:val="3"/>
  </w:num>
  <w:num w:numId="7" w16cid:durableId="254830695">
    <w:abstractNumId w:val="2"/>
  </w:num>
  <w:num w:numId="8" w16cid:durableId="1636570710">
    <w:abstractNumId w:val="1"/>
  </w:num>
  <w:num w:numId="9" w16cid:durableId="977228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B27"/>
    <w:rsid w:val="0015074B"/>
    <w:rsid w:val="0029639D"/>
    <w:rsid w:val="00326F90"/>
    <w:rsid w:val="00803D12"/>
    <w:rsid w:val="00990A94"/>
    <w:rsid w:val="00A1516D"/>
    <w:rsid w:val="00A941D7"/>
    <w:rsid w:val="00AA1D8D"/>
    <w:rsid w:val="00B47730"/>
    <w:rsid w:val="00CB0664"/>
    <w:rsid w:val="00EA03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808837D-7F63-4A10-BAB0-58C2B601B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178</Words>
  <Characters>1328</Characters>
  <Application>Microsoft Office Word</Application>
  <DocSecurity>0</DocSecurity>
  <Lines>49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Grant Howe</cp:lastModifiedBy>
  <cp:revision>3</cp:revision>
  <dcterms:created xsi:type="dcterms:W3CDTF">2013-12-23T23:15:00Z</dcterms:created>
  <dcterms:modified xsi:type="dcterms:W3CDTF">2025-10-06T14:50:00Z</dcterms:modified>
  <cp:category/>
</cp:coreProperties>
</file>