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A8C4A" w:sz="24" w:space="1"/>
        </w:pBdr>
        <w:spacing w:before="200" w:after="0"/>
      </w:pPr>
    </w:p>
    <w:p>
      <w:pPr>
        <w:spacing w:before="0" w:after="240"/>
      </w:pPr>
    </w:p>
    <w:p>
      <w:pPr>
        <w:jc w:val="center"/>
      </w:pPr>
      <w:r>
        <w:rPr>
          <w:rFonts w:ascii="Arial" w:cs="Arial" w:eastAsia="Arial" w:hAnsi="Arial"/>
          <w:b/>
          <w:bCs/>
          <w:i w:val="false"/>
          <w:iCs w:val="false"/>
          <w:color w:val="2A8C4A"/>
          <w:sz w:val="20"/>
          <w:szCs w:val="20"/>
        </w:rPr>
        <w:t xml:space="preserve">TECHNICAL SPECIFICATION</w:t>
      </w:r>
    </w:p>
    <w:p>
      <w:pPr>
        <w:spacing w:before="0" w:after="60"/>
      </w:pPr>
    </w:p>
    <w:p>
      <w:pPr>
        <w:jc w:val="center"/>
      </w:pPr>
      <w:r>
        <w:rPr>
          <w:rFonts w:ascii="Arial" w:cs="Arial" w:eastAsia="Arial" w:hAnsi="Arial"/>
          <w:b/>
          <w:bCs/>
          <w:i w:val="false"/>
          <w:iCs w:val="false"/>
          <w:color w:val="0A2E1A"/>
          <w:sz w:val="44"/>
          <w:szCs w:val="44"/>
        </w:rPr>
        <w:t xml:space="preserve">Pan-African Digital Unit (PADU)</w:t>
      </w:r>
    </w:p>
    <w:p>
      <w:pPr>
        <w:spacing w:before="0" w:after="60"/>
      </w:pPr>
    </w:p>
    <w:p>
      <w:pPr>
        <w:jc w:val="center"/>
      </w:pPr>
      <w:r>
        <w:rPr>
          <w:rFonts w:ascii="Arial" w:cs="Arial" w:eastAsia="Arial" w:hAnsi="Arial"/>
          <w:b/>
          <w:bCs/>
          <w:i w:val="false"/>
          <w:iCs w:val="false"/>
          <w:color w:val="1A5C2E"/>
          <w:sz w:val="28"/>
          <w:szCs w:val="28"/>
        </w:rPr>
        <w:t xml:space="preserve">Module 03-A — Social Chamber</w:t>
      </w:r>
    </w:p>
    <w:p>
      <w:pPr>
        <w:spacing w:before="0" w:after="30"/>
      </w:pPr>
    </w:p>
    <w:p>
      <w:pPr>
        <w:jc w:val="center"/>
      </w:pPr>
      <w:r>
        <w:rPr>
          <w:rFonts w:ascii="Arial" w:cs="Arial" w:eastAsia="Arial" w:hAnsi="Arial"/>
          <w:b w:val="false"/>
          <w:bCs w:val="false"/>
          <w:i/>
          <w:iCs/>
          <w:color w:val="1A6B5A"/>
          <w:sz w:val="22"/>
          <w:szCs w:val="22"/>
        </w:rPr>
        <w:t xml:space="preserve">Social Fund Engine: Collective Wallet, Polling System &amp; Dual-Authorization Disbursement</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A2E1A"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Document ID</w:t>
            </w:r>
          </w:p>
        </w:tc>
        <w:tc>
          <w:tcPr>
            <w:tcW w:type="dxa" w:w="7360"/>
            <w:tcBorders>
              <w:top w:val="single" w:color="FFFFFF" w:sz="1"/>
              <w:left w:val="single" w:color="FFFFFF" w:sz="1"/>
              <w:bottom w:val="single" w:color="FFFFFF" w:sz="1"/>
              <w:right w:val="single" w:color="FFFFFF" w:sz="1"/>
            </w:tcBorders>
            <w:shd w:fill="F4F8F5" w:val="clear"/>
            <w:tcMar>
              <w:top w:type="dxa" w:w="80"/>
              <w:left w:type="dxa" w:w="140"/>
              <w:bottom w:type="dxa" w:w="80"/>
              <w:right w:type="dxa" w:w="140"/>
            </w:tcMar>
          </w:tcPr>
          <w:p>
            <w:r>
              <w:rPr>
                <w:rFonts w:ascii="Arial" w:cs="Arial" w:eastAsia="Arial" w:hAnsi="Arial"/>
                <w:b w:val="false"/>
                <w:bCs w:val="false"/>
                <w:i w:val="false"/>
                <w:iCs w:val="false"/>
                <w:color w:val="1A2420"/>
                <w:sz w:val="19"/>
                <w:szCs w:val="19"/>
              </w:rPr>
              <w:t xml:space="preserve">PADU-TECH-03A</w:t>
            </w:r>
          </w:p>
        </w:tc>
      </w:tr>
      <w:tr>
        <w:tc>
          <w:tcPr>
            <w:tcW w:type="dxa" w:w="2000"/>
            <w:tcBorders>
              <w:top w:val="single" w:color="FFFFFF" w:sz="1"/>
              <w:left w:val="single" w:color="FFFFFF" w:sz="1"/>
              <w:bottom w:val="single" w:color="FFFFFF" w:sz="1"/>
              <w:right w:val="single" w:color="FFFFFF" w:sz="1"/>
            </w:tcBorders>
            <w:shd w:fill="0A2E1A"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Version</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2420"/>
                <w:sz w:val="19"/>
                <w:szCs w:val="19"/>
              </w:rPr>
              <w:t xml:space="preserve">0.1 — Initial Draft</w:t>
            </w:r>
          </w:p>
        </w:tc>
      </w:tr>
      <w:tr>
        <w:tc>
          <w:tcPr>
            <w:tcW w:type="dxa" w:w="2000"/>
            <w:tcBorders>
              <w:top w:val="single" w:color="FFFFFF" w:sz="1"/>
              <w:left w:val="single" w:color="FFFFFF" w:sz="1"/>
              <w:bottom w:val="single" w:color="FFFFFF" w:sz="1"/>
              <w:right w:val="single" w:color="FFFFFF" w:sz="1"/>
            </w:tcBorders>
            <w:shd w:fill="0A2E1A"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Status</w:t>
            </w:r>
          </w:p>
        </w:tc>
        <w:tc>
          <w:tcPr>
            <w:tcW w:type="dxa" w:w="7360"/>
            <w:tcBorders>
              <w:top w:val="single" w:color="FFFFFF" w:sz="1"/>
              <w:left w:val="single" w:color="FFFFFF" w:sz="1"/>
              <w:bottom w:val="single" w:color="FFFFFF" w:sz="1"/>
              <w:right w:val="single" w:color="FFFFFF" w:sz="1"/>
            </w:tcBorders>
            <w:shd w:fill="F4F8F5" w:val="clear"/>
            <w:tcMar>
              <w:top w:type="dxa" w:w="80"/>
              <w:left w:type="dxa" w:w="140"/>
              <w:bottom w:type="dxa" w:w="80"/>
              <w:right w:type="dxa" w:w="140"/>
            </w:tcMar>
          </w:tcPr>
          <w:p>
            <w:r>
              <w:rPr>
                <w:rFonts w:ascii="Arial" w:cs="Arial" w:eastAsia="Arial" w:hAnsi="Arial"/>
                <w:b w:val="false"/>
                <w:bCs w:val="false"/>
                <w:i w:val="false"/>
                <w:iCs w:val="false"/>
                <w:color w:val="1A2420"/>
                <w:sz w:val="19"/>
                <w:szCs w:val="19"/>
              </w:rPr>
              <w:t xml:space="preserve">For Internal Review — Not for Public Distribution</w:t>
            </w:r>
          </w:p>
        </w:tc>
      </w:tr>
      <w:tr>
        <w:tc>
          <w:tcPr>
            <w:tcW w:type="dxa" w:w="2000"/>
            <w:tcBorders>
              <w:top w:val="single" w:color="FFFFFF" w:sz="1"/>
              <w:left w:val="single" w:color="FFFFFF" w:sz="1"/>
              <w:bottom w:val="single" w:color="FFFFFF" w:sz="1"/>
              <w:right w:val="single" w:color="FFFFFF" w:sz="1"/>
            </w:tcBorders>
            <w:shd w:fill="0A2E1A"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Audience</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2420"/>
                <w:sz w:val="19"/>
                <w:szCs w:val="19"/>
              </w:rPr>
              <w:t xml:space="preserve">Smart Contract Engineers, Backend Developers, Wallet Developers</w:t>
            </w:r>
          </w:p>
        </w:tc>
      </w:tr>
      <w:tr>
        <w:tc>
          <w:tcPr>
            <w:tcW w:type="dxa" w:w="2000"/>
            <w:tcBorders>
              <w:top w:val="single" w:color="FFFFFF" w:sz="1"/>
              <w:left w:val="single" w:color="FFFFFF" w:sz="1"/>
              <w:bottom w:val="single" w:color="FFFFFF" w:sz="1"/>
              <w:right w:val="single" w:color="FFFFFF" w:sz="1"/>
            </w:tcBorders>
            <w:shd w:fill="0A2E1A"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Depends on</w:t>
            </w:r>
          </w:p>
        </w:tc>
        <w:tc>
          <w:tcPr>
            <w:tcW w:type="dxa" w:w="7360"/>
            <w:tcBorders>
              <w:top w:val="single" w:color="FFFFFF" w:sz="1"/>
              <w:left w:val="single" w:color="FFFFFF" w:sz="1"/>
              <w:bottom w:val="single" w:color="FFFFFF" w:sz="1"/>
              <w:right w:val="single" w:color="FFFFFF" w:sz="1"/>
            </w:tcBorders>
            <w:shd w:fill="F4F8F5" w:val="clear"/>
            <w:tcMar>
              <w:top w:type="dxa" w:w="80"/>
              <w:left w:type="dxa" w:w="140"/>
              <w:bottom w:type="dxa" w:w="80"/>
              <w:right w:type="dxa" w:w="140"/>
            </w:tcMar>
          </w:tcPr>
          <w:p>
            <w:r>
              <w:rPr>
                <w:rFonts w:ascii="Arial" w:cs="Arial" w:eastAsia="Arial" w:hAnsi="Arial"/>
                <w:b w:val="false"/>
                <w:bCs w:val="false"/>
                <w:i w:val="false"/>
                <w:iCs w:val="false"/>
                <w:color w:val="1A2420"/>
                <w:sz w:val="19"/>
                <w:szCs w:val="19"/>
              </w:rPr>
              <w:t xml:space="preserve">PADU-TECH-01 (Wallet &amp; Identity), PADU-TECH-02 (Protocol Chamber)</w:t>
            </w:r>
          </w:p>
        </w:tc>
      </w:tr>
      <w:tr>
        <w:tc>
          <w:tcPr>
            <w:tcW w:type="dxa" w:w="2000"/>
            <w:tcBorders>
              <w:top w:val="single" w:color="FFFFFF" w:sz="1"/>
              <w:left w:val="single" w:color="FFFFFF" w:sz="1"/>
              <w:bottom w:val="single" w:color="FFFFFF" w:sz="1"/>
              <w:right w:val="single" w:color="FFFFFF" w:sz="1"/>
            </w:tcBorders>
            <w:shd w:fill="0A2E1A"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Companion</w:t>
            </w:r>
          </w:p>
        </w:tc>
        <w:tc>
          <w:tcPr>
            <w:tcW w:type="dxa" w:w="7360"/>
            <w:tcBorders>
              <w:top w:val="single" w:color="FFFFFF" w:sz="1"/>
              <w:left w:val="single" w:color="FFFFFF" w:sz="1"/>
              <w:bottom w:val="single" w:color="FFFFFF" w:sz="1"/>
              <w:right w:val="single" w:color="FFFFF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2420"/>
                <w:sz w:val="19"/>
                <w:szCs w:val="19"/>
              </w:rPr>
              <w:t xml:space="preserve">PADU-TECH-03B — Remunerative Reserve &amp; Solidarity Dividend Engine</w:t>
            </w:r>
          </w:p>
        </w:tc>
      </w:tr>
      <w:tr>
        <w:tc>
          <w:tcPr>
            <w:tcW w:type="dxa" w:w="2000"/>
            <w:tcBorders>
              <w:top w:val="single" w:color="FFFFFF" w:sz="1"/>
              <w:left w:val="single" w:color="FFFFFF" w:sz="1"/>
              <w:bottom w:val="single" w:color="FFFFFF" w:sz="1"/>
              <w:right w:val="single" w:color="FFFFFF" w:sz="1"/>
            </w:tcBorders>
            <w:shd w:fill="0A2E1A"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Scope</w:t>
            </w:r>
          </w:p>
        </w:tc>
        <w:tc>
          <w:tcPr>
            <w:tcW w:type="dxa" w:w="7360"/>
            <w:tcBorders>
              <w:top w:val="single" w:color="FFFFFF" w:sz="1"/>
              <w:left w:val="single" w:color="FFFFFF" w:sz="1"/>
              <w:bottom w:val="single" w:color="FFFFFF" w:sz="1"/>
              <w:right w:val="single" w:color="FFFFFF" w:sz="1"/>
            </w:tcBorders>
            <w:shd w:fill="F4F8F5" w:val="clear"/>
            <w:tcMar>
              <w:top w:type="dxa" w:w="80"/>
              <w:left w:type="dxa" w:w="140"/>
              <w:bottom w:type="dxa" w:w="80"/>
              <w:right w:type="dxa" w:w="140"/>
            </w:tcMar>
          </w:tcPr>
          <w:p>
            <w:r>
              <w:rPr>
                <w:rFonts w:ascii="Arial" w:cs="Arial" w:eastAsia="Arial" w:hAnsi="Arial"/>
                <w:b w:val="false"/>
                <w:bCs w:val="false"/>
                <w:i w:val="false"/>
                <w:iCs w:val="false"/>
                <w:color w:val="1A2420"/>
                <w:sz w:val="19"/>
                <w:szCs w:val="19"/>
              </w:rPr>
              <w:t xml:space="preserve">Social Fund wallet architecture, fee ingestion, quarterly polling system, dual-authorization disbursement. NGO board constitution is out of scope — see PADU-GOV-01.</w:t>
            </w:r>
          </w:p>
        </w:tc>
      </w:tr>
    </w:tbl>
    <w:p>
      <w:pPr>
        <w:spacing w:before="0" w:after="300"/>
      </w:pPr>
    </w:p>
    <w:p>
      <w:pPr>
        <w:pBdr>
          <w:bottom w:val="single" w:color="2A8C4A" w:sz="24" w:space="1"/>
        </w:pBdr>
        <w:spacing w:before="0" w:after="0"/>
      </w:pPr>
    </w:p>
    <w:p>
      <w:pPr>
        <w:pStyle w:val="Heading1"/>
        <w:spacing w:before="520" w:after="120"/>
      </w:pPr>
      <w:r>
        <w:rPr>
          <w:rFonts w:ascii="Arial" w:cs="Arial" w:eastAsia="Arial" w:hAnsi="Arial"/>
          <w:b/>
          <w:bCs/>
          <w:i w:val="false"/>
          <w:iCs w:val="false"/>
          <w:color w:val="0A2E1A"/>
          <w:sz w:val="30"/>
          <w:szCs w:val="30"/>
        </w:rPr>
        <w:t xml:space="preserve">0. Design Principles and Scope</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The Social Fund is 0.5% of every PADU transaction, automatically and irrevocably routed to a collectively governed wallet — the Social Fund Vault. No individual, no state, and no corporation owns it. It spends only what the community directs it to spend, through a lightweight democratic process designed to be agile enough to be useful and robust enough to resist manipulation.</w:t>
      </w:r>
    </w:p>
    <w:p>
      <w:pPr>
        <w:spacing w:before="60" w:after="120"/>
        <w:jc w:val="both"/>
      </w:pPr>
      <w:r>
        <w:rPr>
          <w:rFonts w:ascii="Arial" w:cs="Arial" w:eastAsia="Arial" w:hAnsi="Arial"/>
          <w:b w:val="false"/>
          <w:bCs w:val="false"/>
          <w:i w:val="false"/>
          <w:iCs w:val="false"/>
          <w:color w:val="1A2420"/>
          <w:sz w:val="22"/>
          <w:szCs w:val="22"/>
        </w:rPr>
        <w:t xml:space="preserve">Three properties are non-negotiable in this design: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Property</w:t>
            </w:r>
          </w:p>
        </w:tc>
        <w:tc>
          <w:tcPr>
            <w:tcW w:type="dxa" w:w="356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Meaning</w:t>
            </w:r>
          </w:p>
        </w:tc>
        <w:tc>
          <w:tcPr>
            <w:tcW w:type="dxa" w:w="40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Architectural consequence</w:t>
            </w:r>
          </w:p>
        </w:tc>
      </w:tr>
      <w:tr>
        <w:tc>
          <w:tcPr>
            <w:tcW w:type="dxa" w:w="18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Transparency</w:t>
            </w:r>
          </w:p>
        </w:tc>
        <w:tc>
          <w:tcPr>
            <w:tcW w:type="dxa" w:w="3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Every wallet always knows how much is in the Social Fund Vault.</w:t>
            </w:r>
          </w:p>
        </w:tc>
        <w:tc>
          <w:tcPr>
            <w:tcW w:type="dxa" w:w="4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Vault balance is readable by any wallet via a standard contract call and displayed in the wallet UI at all times.</w:t>
            </w:r>
          </w:p>
        </w:tc>
      </w:tr>
      <w:tr>
        <w:tc>
          <w:tcPr>
            <w:tcW w:type="dxa" w:w="18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Collective ownership</w:t>
            </w:r>
          </w:p>
        </w:tc>
        <w:tc>
          <w:tcPr>
            <w:tcW w:type="dxa" w:w="3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No single key, multisig quorum, or institutional actor can unilaterally withdraw funds.</w:t>
            </w:r>
          </w:p>
        </w:tc>
        <w:tc>
          <w:tcPr>
            <w:tcW w:type="dxa" w:w="4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Disbursement requires dual authorization: a community poll result AND a multi-signature from the NGO Board. Either alone is insufficient.</w:t>
            </w:r>
          </w:p>
        </w:tc>
      </w:tr>
      <w:tr>
        <w:tc>
          <w:tcPr>
            <w:tcW w:type="dxa" w:w="18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Agility</w:t>
            </w:r>
          </w:p>
        </w:tc>
        <w:tc>
          <w:tcPr>
            <w:tcW w:type="dxa" w:w="3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Funds must be deployable on a 3-month cycle to be practically useful to beneficiaries.</w:t>
            </w:r>
          </w:p>
        </w:tc>
        <w:tc>
          <w:tcPr>
            <w:tcW w:type="dxa" w:w="4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The polling and disbursement system is designed to complete a full cycle — proposal, vote, authorization, disbursement — within one quarter.</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0D4C8" w:sz="1"/>
            </w:tcBorders>
            <w:shd w:fill="F0F8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NGO BOARD OUT OF SCOPE</w:t>
            </w:r>
          </w:p>
          <w:p>
            <w:pPr>
              <w:spacing w:before="0" w:after="0"/>
              <w:jc w:val="both"/>
            </w:pPr>
            <w:r>
              <w:rPr>
                <w:rFonts w:ascii="Arial" w:cs="Arial" w:eastAsia="Arial" w:hAnsi="Arial"/>
                <w:b w:val="false"/>
                <w:bCs w:val="false"/>
                <w:i w:val="false"/>
                <w:iCs w:val="false"/>
                <w:color w:val="1A2420"/>
                <w:sz w:val="20"/>
                <w:szCs w:val="20"/>
              </w:rPr>
              <w:t xml:space="preserve">This document specifies the technical interface the NGO Board interacts with — specifically, its multisig wallet structure and signing requirements. The composition, election, and governance of the NGO Board itself are defined in PADU-GOV-01 (Governance Document, not yet drafted). Developers should implement the technical layer as specified here and treat the NGO Board as an external multi-signature entity.</w:t>
            </w:r>
          </w:p>
        </w:tc>
      </w:tr>
    </w:tbl>
    <w:p>
      <w:pPr>
        <w:pStyle w:val="Heading1"/>
        <w:spacing w:before="520" w:after="120"/>
      </w:pPr>
      <w:r>
        <w:rPr>
          <w:rFonts w:ascii="Arial" w:cs="Arial" w:eastAsia="Arial" w:hAnsi="Arial"/>
          <w:b/>
          <w:bCs/>
          <w:i w:val="false"/>
          <w:iCs w:val="false"/>
          <w:color w:val="0A2E1A"/>
          <w:sz w:val="30"/>
          <w:szCs w:val="30"/>
        </w:rPr>
        <w:t xml:space="preserve">1. System Components</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The Social Fund Engine consists of six on-chain components and one off-chain coordination layer. They form a pipeline: fees flow in from the fee splitter, accumulate in the vault, get allocated by community poll, and are disbursed only after dual authorization.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200"/>
        <w:gridCol w:w="4260"/>
      </w:tblGrid>
      <w:tr>
        <w:tc>
          <w:tcPr>
            <w:tcW w:type="dxa" w:w="30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Component</w:t>
            </w:r>
          </w:p>
        </w:tc>
        <w:tc>
          <w:tcPr>
            <w:tcW w:type="dxa" w:w="9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Symbol</w:t>
            </w:r>
          </w:p>
        </w:tc>
        <w:tc>
          <w:tcPr>
            <w:tcW w:type="dxa" w:w="12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Type</w:t>
            </w:r>
          </w:p>
        </w:tc>
        <w:tc>
          <w:tcPr>
            <w:tcW w:type="dxa" w:w="426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Role</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 Fund Vault</w:t>
            </w:r>
          </w:p>
        </w:tc>
        <w:tc>
          <w:tcPr>
            <w:tcW w:type="dxa" w:w="9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SFV</w:t>
            </w:r>
          </w:p>
        </w:tc>
        <w:tc>
          <w:tcPr>
            <w:tcW w:type="dxa" w:w="12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Contract</w:t>
            </w:r>
          </w:p>
        </w:tc>
        <w:tc>
          <w:tcPr>
            <w:tcW w:type="dxa" w:w="42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Receives, holds, and disburses all Social Fund PADU. Read-accessible by any wallet. Writes only via authorized disbursement calls.</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Vault Balance Oracle</w:t>
            </w:r>
          </w:p>
        </w:tc>
        <w:tc>
          <w:tcPr>
            <w:tcW w:type="dxa" w:w="9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VBO</w:t>
            </w:r>
          </w:p>
        </w:tc>
        <w:tc>
          <w:tcPr>
            <w:tcW w:type="dxa" w:w="12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Contract</w:t>
            </w:r>
          </w:p>
        </w:tc>
        <w:tc>
          <w:tcPr>
            <w:tcW w:type="dxa" w:w="42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Publishes a signed, block-anchored balance snapshot every 6 hours. Consumed by wallet clients for balance display.</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Poll Registry Contract</w:t>
            </w:r>
          </w:p>
        </w:tc>
        <w:tc>
          <w:tcPr>
            <w:tcW w:type="dxa" w:w="9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PRC-S</w:t>
            </w:r>
          </w:p>
        </w:tc>
        <w:tc>
          <w:tcPr>
            <w:tcW w:type="dxa" w:w="12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Contract</w:t>
            </w:r>
          </w:p>
        </w:tc>
        <w:tc>
          <w:tcPr>
            <w:tcW w:type="dxa" w:w="42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Manages the quarterly polling lifecycle: proposal intake, poll dispatch, vote collection, and result finalization.</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Project Proposal Registry</w:t>
            </w:r>
          </w:p>
        </w:tc>
        <w:tc>
          <w:tcPr>
            <w:tcW w:type="dxa" w:w="9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PPR</w:t>
            </w:r>
          </w:p>
        </w:tc>
        <w:tc>
          <w:tcPr>
            <w:tcW w:type="dxa" w:w="12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Contract</w:t>
            </w:r>
          </w:p>
        </w:tc>
        <w:tc>
          <w:tcPr>
            <w:tcW w:type="dxa" w:w="42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Stores submitted project proposals from the NGO Board. Enforces format, staking, and submission window rules.</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Disbursement Authorization Contract</w:t>
            </w:r>
          </w:p>
        </w:tc>
        <w:tc>
          <w:tcPr>
            <w:tcW w:type="dxa" w:w="9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DAC</w:t>
            </w:r>
          </w:p>
        </w:tc>
        <w:tc>
          <w:tcPr>
            <w:tcW w:type="dxa" w:w="12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Contract</w:t>
            </w:r>
          </w:p>
        </w:tc>
        <w:tc>
          <w:tcPr>
            <w:tcW w:type="dxa" w:w="42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Holds ratified poll results and NGO Board multisig approvals. Releases disbursement to SFV only when both conditions are met.</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 Multisig</w:t>
            </w:r>
          </w:p>
        </w:tc>
        <w:tc>
          <w:tcPr>
            <w:tcW w:type="dxa" w:w="9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NBM</w:t>
            </w:r>
          </w:p>
        </w:tc>
        <w:tc>
          <w:tcPr>
            <w:tcW w:type="dxa" w:w="12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Multisig</w:t>
            </w:r>
          </w:p>
        </w:tc>
        <w:tc>
          <w:tcPr>
            <w:tcW w:type="dxa" w:w="42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M-of-N multisig wallet controlled by NGO Board members. Provides one of the two required authorizations for disbursement.</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Poll Dispatch Service</w:t>
            </w:r>
          </w:p>
        </w:tc>
        <w:tc>
          <w:tcPr>
            <w:tcW w:type="dxa" w:w="9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PDS-S</w:t>
            </w:r>
          </w:p>
        </w:tc>
        <w:tc>
          <w:tcPr>
            <w:tcW w:type="dxa" w:w="12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Off-chain</w:t>
            </w:r>
          </w:p>
        </w:tc>
        <w:tc>
          <w:tcPr>
            <w:tcW w:type="dxa" w:w="42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Pushes poll notifications and project summaries to wallet clients. Wallets verify dispatch integrity on-chain.</w:t>
            </w:r>
          </w:p>
        </w:tc>
      </w:tr>
    </w:tbl>
    <w:p>
      <w:pPr>
        <w:pStyle w:val="Heading1"/>
        <w:spacing w:before="520" w:after="120"/>
      </w:pPr>
      <w:r>
        <w:rPr>
          <w:rFonts w:ascii="Arial" w:cs="Arial" w:eastAsia="Arial" w:hAnsi="Arial"/>
          <w:b/>
          <w:bCs/>
          <w:i w:val="false"/>
          <w:iCs w:val="false"/>
          <w:color w:val="0A2E1A"/>
          <w:sz w:val="30"/>
          <w:szCs w:val="30"/>
        </w:rPr>
        <w:t xml:space="preserve">2. Social Fund Vault (SFV)</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The Social Fund Vault is the most sensitive contract in the Social Chamber. It must hold potentially large cumulative balances, accept automated inflows from the fee splitter, and release funds exclusively through the dual-authorization path. It has no owner, no admin key, and no emergency withdrawal function.</w:t>
      </w:r>
    </w:p>
    <w:p>
      <w:pPr>
        <w:pStyle w:val="Heading2"/>
        <w:spacing w:before="320" w:after="80"/>
      </w:pPr>
      <w:r>
        <w:rPr>
          <w:rFonts w:ascii="Arial" w:cs="Arial" w:eastAsia="Arial" w:hAnsi="Arial"/>
          <w:b/>
          <w:bCs/>
          <w:i w:val="false"/>
          <w:iCs w:val="false"/>
          <w:color w:val="1A5C2E"/>
          <w:sz w:val="25"/>
          <w:szCs w:val="25"/>
        </w:rPr>
        <w:t xml:space="preserve">2.1 Inflow: Fee Splitter Integration</w:t>
      </w:r>
    </w:p>
    <w:p>
      <w:pPr>
        <w:spacing w:before="60" w:after="120"/>
        <w:jc w:val="both"/>
      </w:pPr>
      <w:r>
        <w:rPr>
          <w:rFonts w:ascii="Arial" w:cs="Arial" w:eastAsia="Arial" w:hAnsi="Arial"/>
          <w:b w:val="false"/>
          <w:bCs w:val="false"/>
          <w:i w:val="false"/>
          <w:iCs w:val="false"/>
          <w:color w:val="1A2420"/>
          <w:sz w:val="22"/>
          <w:szCs w:val="22"/>
        </w:rPr>
        <w:t xml:space="preserve">The fee splitter contract (specified in PADU-TECH-01, Section 6.3 interface) routes 0.5% of every transaction to the SFV address automatically during transaction execution. This routing is hardcoded in the fee splitter and cannot be redirected without a Protocol Chamber amendment.</w:t>
      </w:r>
    </w:p>
    <w:p>
      <w:pPr>
        <w:spacing w:before="60" w:after="120"/>
        <w:jc w:val="both"/>
      </w:pPr>
      <w:r>
        <w:rPr>
          <w:rFonts w:ascii="Arial" w:cs="Arial" w:eastAsia="Arial" w:hAnsi="Arial"/>
          <w:b w:val="false"/>
          <w:bCs w:val="false"/>
          <w:i w:val="false"/>
          <w:iCs w:val="false"/>
          <w:color w:val="1A2420"/>
          <w:sz w:val="22"/>
          <w:szCs w:val="22"/>
        </w:rPr>
        <w:t xml:space="preserve">The SFV accepts inflows from exactly one address: the fee splitter contract. All other deposit attempts are rejected, including direct transfers from user wallets. This prevents artificial inflation of the vault balance or attempts to manipulate poll outcomes by flooding the vault.</w:t>
      </w:r>
    </w:p>
    <w:tbl>
      <w:tblPr>
        <w:tblW w:type="dxa" w:w="9360"/>
        <w:tblBorders>
          <w:top w:val="single" w:color="C0D4C8" w:sz="1"/>
          <w:left w:val="single" w:color="2A8C4A" w:sz="16"/>
          <w:bottom w:val="single" w:color="C0D4C8" w:sz="1"/>
          <w:right w:val="single" w:color="C0D4C8"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SocialFundVault.sol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contract SocialFundVault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 ACCESS CONTROL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public immutable feeSplitter;         // only inflow source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public immutable disbursementAuth;    // DAC — only outflow trigger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public immutable vaultBalanceOracle;  // VBO — may read balance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 VAULT STATE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totalReceived;      // cumulative inflows — never decremented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totalDisbursed;     // cumulative outflows — for audit trail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spendable balance = address(this).balance (native PADU held by contract)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 EVENTS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event FeeIngested(uint256 amount, uint256 timestamp, uint256 newBalance);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event Disbursement(uint256 indexed cycleId, address indexed recipient,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amount, uint256 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 RECEIVE (fee splitter only)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receive() external payable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require(msg.sender == feeSplitter, 'SFV: only fee splitter may deposit');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totalReceived += msg.value;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emit FeeIngested(msg.value, block.timestamp, address(this).balance);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 DISBURSE (DAC only)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@notice Execute a ratified disbursement. Called only by DAC.</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function disburse(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cycleId,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recipient,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amount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external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require(msg.sender == disbursementAuth, 'SFV: only DAC may disburse');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require(amount &lt;= address(this).balance,  'SFV: insufficient balance');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totalDisbursed += amount;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emit Disbursement(cycleId, recipient, amount, block.timestamp);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(bool ok, ) = recipient.call{value: amount}('');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require(ok, 'SFV: transfer failed');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 READ (public)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@notice Current spendable balance — displayed in every wallet.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function availableBalance() external view returns (uint256)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return address(this).balance;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@notice Full audit summary.</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function auditSummary() external view returns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available, uint256 received, uint256 disbursed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return (address(this).balance, totalReceived, totalDisbursed);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A0A" w:sz="1"/>
              <w:left w:val="single" w:color="7A2A0A" w:sz="20"/>
              <w:bottom w:val="single" w:color="7A2A0A" w:sz="1"/>
              <w:right w:val="single" w:color="C0D4C8" w:sz="1"/>
            </w:tcBorders>
            <w:shd w:fill="FFF4F0" w:val="clear"/>
            <w:tcMar>
              <w:top w:type="dxa" w:w="100"/>
              <w:left w:type="dxa" w:w="200"/>
              <w:bottom w:type="dxa" w:w="100"/>
              <w:right w:type="dxa" w:w="200"/>
            </w:tcMar>
          </w:tcPr>
          <w:p>
            <w:pPr>
              <w:spacing w:before="0" w:after="60"/>
            </w:pPr>
            <w:r>
              <w:rPr>
                <w:rFonts w:ascii="Arial" w:cs="Arial" w:eastAsia="Arial" w:hAnsi="Arial"/>
                <w:b/>
                <w:bCs/>
                <w:i w:val="false"/>
                <w:iCs w:val="false"/>
                <w:color w:val="7A2A0A"/>
                <w:sz w:val="20"/>
                <w:szCs w:val="20"/>
              </w:rPr>
              <w:t xml:space="preserve">NO ADMIN KEY — NO EXCEPTION</w:t>
            </w:r>
          </w:p>
          <w:p>
            <w:pPr>
              <w:spacing w:before="0" w:after="0"/>
              <w:jc w:val="both"/>
            </w:pPr>
            <w:r>
              <w:rPr>
                <w:rFonts w:ascii="Arial" w:cs="Arial" w:eastAsia="Arial" w:hAnsi="Arial"/>
                <w:b w:val="false"/>
                <w:bCs w:val="false"/>
                <w:i w:val="false"/>
                <w:iCs w:val="false"/>
                <w:color w:val="1A2420"/>
                <w:sz w:val="20"/>
                <w:szCs w:val="20"/>
              </w:rPr>
              <w:t xml:space="preserve">The SFV has no owner, no admin function, no pause mechanism, and no emergency drain. There is no address with the ability to withdraw funds outside the DAC path. This is intentional. If a critical bug is found in the SFV after deployment, the only remedy is a Protocol Chamber amendment to migrate to a new vault address — a process that takes at minimum the full governance cycle described in PADU-TECH-02.</w:t>
            </w:r>
          </w:p>
        </w:tc>
      </w:tr>
    </w:tbl>
    <w:p>
      <w:pPr>
        <w:pStyle w:val="Heading2"/>
        <w:spacing w:before="320" w:after="80"/>
      </w:pPr>
      <w:r>
        <w:rPr>
          <w:rFonts w:ascii="Arial" w:cs="Arial" w:eastAsia="Arial" w:hAnsi="Arial"/>
          <w:b/>
          <w:bCs/>
          <w:i w:val="false"/>
          <w:iCs w:val="false"/>
          <w:color w:val="1A5C2E"/>
          <w:sz w:val="25"/>
          <w:szCs w:val="25"/>
        </w:rPr>
        <w:t xml:space="preserve">2.2 Vault Balance Oracle (VBO)</w:t>
      </w:r>
    </w:p>
    <w:p>
      <w:pPr>
        <w:spacing w:before="60" w:after="120"/>
        <w:jc w:val="both"/>
      </w:pPr>
      <w:r>
        <w:rPr>
          <w:rFonts w:ascii="Arial" w:cs="Arial" w:eastAsia="Arial" w:hAnsi="Arial"/>
          <w:b w:val="false"/>
          <w:bCs w:val="false"/>
          <w:i w:val="false"/>
          <w:iCs w:val="false"/>
          <w:color w:val="1A2420"/>
          <w:sz w:val="22"/>
          <w:szCs w:val="22"/>
        </w:rPr>
        <w:t xml:space="preserve">Every user wallet displays the current Social Fund balance in real time. This is a fundamental transparency requirement — not an optional feature. The VBO contract publishes cryptographically signed balance snapshots at regular intervals, which wallet clients consume and display.</w:t>
      </w:r>
    </w:p>
    <w:tbl>
      <w:tblPr>
        <w:tblW w:type="dxa" w:w="9360"/>
        <w:tblBorders>
          <w:top w:val="single" w:color="C0D4C8" w:sz="1"/>
          <w:left w:val="single" w:color="2A8C4A" w:sz="16"/>
          <w:bottom w:val="single" w:color="C0D4C8" w:sz="1"/>
          <w:right w:val="single" w:color="C0D4C8"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VaultBalanceOracle.sol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contract VaultBalanceOracle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public immutable sfv;</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constant SNAPSHOT_INTERVAL = 6 hours;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struct BalanceSnapshot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balance;         // SFV.availableBalance() at snapshot time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totalReceived;   // cumulative inflow</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totalDisbursed;  // cumulative outflow</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snapshotBlock;</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snapshotTimestamp;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snapshotIndex;   // monotonically increasing</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BalanceSnapshot public latestSnapshot;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event SnapshotPublished(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indexed snapshotIndex,</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balance,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@notice Anyone may call this to trigger a new snapshot,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provided SNAPSHOT_INTERVAL has elapsed since the last one.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This makes snapshots permissionless — no trusted party required.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function publishSnapshot() external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require(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block.timestamp &gt;= latestSnapshot.snapshotTimestamp + SNAPSHOT_INTERVAL,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'VBO: too soon since last snapshot'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bal, uint256 recv, uint256 disb) = ISFV(sfv).auditSummary();</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latestSnapshot = BalanceSnapshot({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balance:           bal,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totalReceived:     recv,</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totalDisbursed:    disb,</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snapshotBlock:     block.number,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snapshotTimestamp: block.timestamp,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snapshotIndex:     latestSnapshot.snapshotIndex + 1</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emit SnapshotPublished(latestSnapshot.snapshotIndex, bal, block.timestamp);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0D4C8" w:sz="1"/>
            </w:tcBorders>
            <w:shd w:fill="F0F8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WALLET DISPLAY REQUIREMENT</w:t>
            </w:r>
          </w:p>
          <w:p>
            <w:pPr>
              <w:spacing w:before="0" w:after="0"/>
              <w:jc w:val="both"/>
            </w:pPr>
            <w:r>
              <w:rPr>
                <w:rFonts w:ascii="Arial" w:cs="Arial" w:eastAsia="Arial" w:hAnsi="Arial"/>
                <w:b w:val="false"/>
                <w:bCs w:val="false"/>
                <w:i w:val="false"/>
                <w:iCs w:val="false"/>
                <w:color w:val="1A2420"/>
                <w:sz w:val="20"/>
                <w:szCs w:val="20"/>
              </w:rPr>
              <w:t xml:space="preserve">All compliant wallet applications must display the Social Fund balance on the main screen or a clearly accessible secondary screen. The display must show: (1) current available balance in PADU, (2) fiat equivalent, (3) total received all-time, (4) total disbursed all-time, (5) a sparkline of balance over the last 12 months. This is a mandatory compatibility requirement — not optional.</w:t>
            </w:r>
          </w:p>
        </w:tc>
      </w:tr>
    </w:tbl>
    <w:p>
      <w:pPr>
        <w:pStyle w:val="Heading1"/>
        <w:spacing w:before="520" w:after="120"/>
      </w:pPr>
      <w:r>
        <w:rPr>
          <w:rFonts w:ascii="Arial" w:cs="Arial" w:eastAsia="Arial" w:hAnsi="Arial"/>
          <w:b/>
          <w:bCs/>
          <w:i w:val="false"/>
          <w:iCs w:val="false"/>
          <w:color w:val="0A2E1A"/>
          <w:sz w:val="30"/>
          <w:szCs w:val="30"/>
        </w:rPr>
        <w:t xml:space="preserve">3. The Quarterly Polling Cycle</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The Social Fund deploys capital through a quarterly cycle. Every 3 months, the NGO Board submits between 3 and 5 project proposals. These proposals are dispatched to all active wallets. Users vote for the project they want funded. After 1 month of voting, the project with the most votes wins, provided it meets a minimum participation threshold. The winner then enters the dual-authorization disbursement path.</w:t>
      </w:r>
    </w:p>
    <w:p>
      <w:pPr>
        <w:spacing w:before="60" w:after="120"/>
        <w:jc w:val="both"/>
      </w:pPr>
      <w:r>
        <w:rPr>
          <w:rFonts w:ascii="Arial" w:cs="Arial" w:eastAsia="Arial" w:hAnsi="Arial"/>
          <w:b w:val="false"/>
          <w:bCs w:val="false"/>
          <w:i w:val="false"/>
          <w:iCs w:val="false"/>
          <w:color w:val="1A2420"/>
          <w:sz w:val="22"/>
          <w:szCs w:val="22"/>
        </w:rPr>
        <w:t xml:space="preserve">This cycle is always running. It does not require Protocol Chamber governance to operate. It is independent of the Protocol Chamber's 5-year amendment system — it is the Social Chamber's own operational heartbeat.</w:t>
      </w:r>
    </w:p>
    <w:p>
      <w:pPr>
        <w:pStyle w:val="Heading2"/>
        <w:spacing w:before="320" w:after="80"/>
      </w:pPr>
      <w:r>
        <w:rPr>
          <w:rFonts w:ascii="Arial" w:cs="Arial" w:eastAsia="Arial" w:hAnsi="Arial"/>
          <w:b/>
          <w:bCs/>
          <w:i w:val="false"/>
          <w:iCs w:val="false"/>
          <w:color w:val="1A5C2E"/>
          <w:sz w:val="25"/>
          <w:szCs w:val="25"/>
        </w:rPr>
        <w:t xml:space="preserve">3.1 Cycle Timeline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c>
          <w:tcPr>
            <w:tcW w:type="dxa" w:w="22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Phase</w:t>
            </w:r>
          </w:p>
        </w:tc>
        <w:tc>
          <w:tcPr>
            <w:tcW w:type="dxa" w:w="14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Duration</w:t>
            </w:r>
          </w:p>
        </w:tc>
        <w:tc>
          <w:tcPr>
            <w:tcW w:type="dxa" w:w="20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Who acts</w:t>
            </w:r>
          </w:p>
        </w:tc>
        <w:tc>
          <w:tcPr>
            <w:tcW w:type="dxa" w:w="376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What happens</w:t>
            </w:r>
          </w:p>
        </w:tc>
      </w:tr>
      <w:tr>
        <w:tc>
          <w:tcPr>
            <w:tcW w:type="dxa" w:w="22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 Proposal Window</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2 weeks</w:t>
            </w:r>
          </w:p>
        </w:tc>
        <w:tc>
          <w:tcPr>
            <w:tcW w:type="dxa" w:w="2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w:t>
            </w:r>
          </w:p>
        </w:tc>
        <w:tc>
          <w:tcPr>
            <w:tcW w:type="dxa" w:w="37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Board submits 3–5 project proposals to the PPR. Each proposal must include: title, beneficiary details, requested amount, IPFS document, and NGO Board multisig pre-approval signature.</w:t>
            </w:r>
          </w:p>
        </w:tc>
      </w:tr>
      <w:tr>
        <w:tc>
          <w:tcPr>
            <w:tcW w:type="dxa" w:w="22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2. Review Period</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2 weeks</w:t>
            </w:r>
          </w:p>
        </w:tc>
        <w:tc>
          <w:tcPr>
            <w:tcW w:type="dxa" w:w="2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Community</w:t>
            </w:r>
          </w:p>
        </w:tc>
        <w:tc>
          <w:tcPr>
            <w:tcW w:type="dxa" w:w="37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Proposals are published on-chain and dispatched to all wallets. No voting yet. Users may read proposals and community discussion channels. Wallet apps display proposals in 'Upcoming Poll' state.</w:t>
            </w:r>
          </w:p>
        </w:tc>
      </w:tr>
      <w:tr>
        <w:tc>
          <w:tcPr>
            <w:tcW w:type="dxa" w:w="22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3. Voting Window</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4 weeks</w:t>
            </w:r>
          </w:p>
        </w:tc>
        <w:tc>
          <w:tcPr>
            <w:tcW w:type="dxa" w:w="2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All wallets</w:t>
            </w:r>
          </w:p>
        </w:tc>
        <w:tc>
          <w:tcPr>
            <w:tcW w:type="dxa" w:w="37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Poll opens. Each wallet may cast one vote for exactly one project. Votes are weighted equally (one wallet = one vote). Running totals are visible in real time. A wallet may change its vote once during the window.</w:t>
            </w:r>
          </w:p>
        </w:tc>
      </w:tr>
      <w:tr>
        <w:tc>
          <w:tcPr>
            <w:tcW w:type="dxa" w:w="22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4. Result Finalization</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48 hrs</w:t>
            </w:r>
          </w:p>
        </w:tc>
        <w:tc>
          <w:tcPr>
            <w:tcW w:type="dxa" w:w="2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Poll Registry (auto)</w:t>
            </w:r>
          </w:p>
        </w:tc>
        <w:tc>
          <w:tcPr>
            <w:tcW w:type="dxa" w:w="37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Voting closes. PRC-S tallies results. Winning project identified. Participation rate computed. Results written on-chain. All wallets notified.</w:t>
            </w:r>
          </w:p>
        </w:tc>
      </w:tr>
      <w:tr>
        <w:tc>
          <w:tcPr>
            <w:tcW w:type="dxa" w:w="22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5. Dual Authorization</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1–2 weeks</w:t>
            </w:r>
          </w:p>
        </w:tc>
        <w:tc>
          <w:tcPr>
            <w:tcW w:type="dxa" w:w="2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 + DAC</w:t>
            </w:r>
          </w:p>
        </w:tc>
        <w:tc>
          <w:tcPr>
            <w:tcW w:type="dxa" w:w="37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 submits multisig authorization for winning project. DAC checks: poll result on-chain, board signatures, beneficiary address validity. If both conditions met, disbursement is released to SFV.</w:t>
            </w:r>
          </w:p>
        </w:tc>
      </w:tr>
      <w:tr>
        <w:tc>
          <w:tcPr>
            <w:tcW w:type="dxa" w:w="22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6. Disbursement</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 day</w:t>
            </w:r>
          </w:p>
        </w:tc>
        <w:tc>
          <w:tcPr>
            <w:tcW w:type="dxa" w:w="2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DAC → SFV</w:t>
            </w:r>
          </w:p>
        </w:tc>
        <w:tc>
          <w:tcPr>
            <w:tcW w:type="dxa" w:w="37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SFV transfers approved amount to project beneficiary wallet. Disbursement record written to on-chain Disbursement Ledger. All wallets notified of disbursement with full transaction details.</w:t>
            </w:r>
          </w:p>
        </w:tc>
      </w:tr>
      <w:tr>
        <w:tc>
          <w:tcPr>
            <w:tcW w:type="dxa" w:w="22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7. Next Cycle Prep</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~2 weeks</w:t>
            </w:r>
          </w:p>
        </w:tc>
        <w:tc>
          <w:tcPr>
            <w:tcW w:type="dxa" w:w="2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w:t>
            </w:r>
          </w:p>
        </w:tc>
        <w:tc>
          <w:tcPr>
            <w:tcW w:type="dxa" w:w="37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New proposal window opens for next quarter's cycle. Overlap with disbursement is permitted.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0D4C8" w:sz="1"/>
            </w:tcBorders>
            <w:shd w:fill="F0F8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CYCLE CONTINUITY</w:t>
            </w:r>
          </w:p>
          <w:p>
            <w:pPr>
              <w:spacing w:before="0" w:after="0"/>
              <w:jc w:val="both"/>
            </w:pPr>
            <w:r>
              <w:rPr>
                <w:rFonts w:ascii="Arial" w:cs="Arial" w:eastAsia="Arial" w:hAnsi="Arial"/>
                <w:b w:val="false"/>
                <w:bCs w:val="false"/>
                <w:i w:val="false"/>
                <w:iCs w:val="false"/>
                <w:color w:val="1A2420"/>
                <w:sz w:val="20"/>
                <w:szCs w:val="20"/>
              </w:rPr>
              <w:t xml:space="preserve">Cycles run continuously and do not wait for each other to fully complete. The next Proposal Window (Phase 1) opens on a fixed quarterly schedule regardless of whether the previous cycle's disbursement has been processed. This allows the Social Fund to operate at a steady rhythm even if NGO Board authorization is slightly delayed.</w:t>
            </w:r>
          </w:p>
        </w:tc>
      </w:tr>
    </w:tbl>
    <w:p>
      <w:pPr>
        <w:pStyle w:val="Heading2"/>
        <w:spacing w:before="320" w:after="80"/>
      </w:pPr>
      <w:r>
        <w:rPr>
          <w:rFonts w:ascii="Arial" w:cs="Arial" w:eastAsia="Arial" w:hAnsi="Arial"/>
          <w:b/>
          <w:bCs/>
          <w:i w:val="false"/>
          <w:iCs w:val="false"/>
          <w:color w:val="1A5C2E"/>
          <w:sz w:val="25"/>
          <w:szCs w:val="25"/>
        </w:rPr>
        <w:t xml:space="preserve">3.2 Quarterly Schedule Contract</w:t>
      </w:r>
    </w:p>
    <w:p>
      <w:pPr>
        <w:spacing w:before="60" w:after="120"/>
        <w:jc w:val="both"/>
      </w:pPr>
      <w:r>
        <w:rPr>
          <w:rFonts w:ascii="Arial" w:cs="Arial" w:eastAsia="Arial" w:hAnsi="Arial"/>
          <w:b w:val="false"/>
          <w:bCs w:val="false"/>
          <w:i w:val="false"/>
          <w:iCs w:val="false"/>
          <w:color w:val="1A2420"/>
          <w:sz w:val="22"/>
          <w:szCs w:val="22"/>
        </w:rPr>
        <w:t xml:space="preserve">The quarterly rhythm is enforced by a schedule contract that computes the start and end timestamps of each phase deterministically from a genesis anchor. No human needs to 'start' a cycle — phases open and close automatically based on block timestamps.</w:t>
      </w:r>
    </w:p>
    <w:tbl>
      <w:tblPr>
        <w:tblW w:type="dxa" w:w="9360"/>
        <w:tblBorders>
          <w:top w:val="single" w:color="C0D4C8" w:sz="1"/>
          <w:left w:val="single" w:color="2A8C4A" w:sz="16"/>
          <w:bottom w:val="single" w:color="C0D4C8" w:sz="1"/>
          <w:right w:val="single" w:color="C0D4C8"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QuarterlySchedule.sol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contract QuarterlySchedule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Cycle duration breakdown (all in seconds)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constant PROPOSAL_WINDOW   = 14 days;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constant REVIEW_PERIOD     = 14 days;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constant VOTING_WINDOW     = 28 days;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constant RESULT_FINALIZATION = 2 days;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constant CYCLE_DURATION    =   // 91 days per quarter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PROPOSAL_WINDOW + REVIEW_PERIOD + VOTING_WINDOW + RESULT_FINALIZATION;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Disbursement and prep overlap into the next cycle — no fixed duration.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immutable genesisAnchor;  // timestamp of first cycle start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constructor(uint256 _genesisAnchor)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genesisAnchor = _genesisAnchor;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@notice Returns the current cycle number (0-indexed).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function currentCycle() public view returns (uint256)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return (block.timestamp - genesisAnchor) / CYCLE_DURATION;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@notice Returns the start timestamp of a given phase in a given cycle.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function phaseStart(uint256 cycleNum, Phase phase) public view returns (uint256)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cycleStart = genesisAnchor + (cycleNum * CYCLE_DURATION);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if (phase == Phase.PROPOSAL)     return cycleStart;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if (phase == Phase.REVIEW)       return cycleStart + PROPOSAL_WINDOW;</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if (phase == Phase.VOTING)       return cycleStart + PROPOSAL_WINDOW + REVIEW_PERIOD;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if (phase == Phase.FINALIZATION) return cycleStart + PROPOSAL_WINDOW + REVIEW_PERIOD + VOTING_WINDOW;</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revert('QS: unknown phase');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@notice Returns the current phase of the current cycle.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function currentPhase() external view returns (Phase, uint256 cycleNum, uint256 phaseEndsAt)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cn   = currentCycle();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elapsed = block.timestamp - (genesisAnchor + cn * CYCLE_DURATION);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if (elapsed &lt; PROPOSAL_WINDOW)</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return (Phase.PROPOSAL,     cn, phaseStart(cn, Phase.REVIEW));</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if (elapsed &lt; PROPOSAL_WINDOW + REVIEW_PERIOD)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return (Phase.REVIEW,       cn, phaseStart(cn, Phase.VOTING));</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if (elapsed &lt; PROPOSAL_WINDOW + REVIEW_PERIOD + VOTING_WINDOW)</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return (Phase.VOTING,       cn, phaseStart(cn, Phase.FINALIZATION));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return   (Phase.FINALIZATION, cn, genesisAnchor + (cn + 1) * CYCLE_DURATION);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enum Phase { PROPOSAL, REVIEW, VOTING, FINALIZATION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w:t>
            </w:r>
          </w:p>
        </w:tc>
      </w:tr>
    </w:tbl>
    <w:p>
      <w:pPr>
        <w:pStyle w:val="Heading1"/>
        <w:spacing w:before="520" w:after="120"/>
      </w:pPr>
      <w:r>
        <w:rPr>
          <w:rFonts w:ascii="Arial" w:cs="Arial" w:eastAsia="Arial" w:hAnsi="Arial"/>
          <w:b/>
          <w:bCs/>
          <w:i w:val="false"/>
          <w:iCs w:val="false"/>
          <w:color w:val="0A2E1A"/>
          <w:sz w:val="30"/>
          <w:szCs w:val="30"/>
        </w:rPr>
        <w:t xml:space="preserve">4. Project Proposal Registry (PPR)</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The PPR is the on-chain store for all project proposals submitted by the NGO Board. It enforces submission rules, validates proposal format, and provides the canonical list of proposals that the PRC-S dispatches to wallets at the start of each Review Period.</w:t>
      </w:r>
    </w:p>
    <w:p>
      <w:pPr>
        <w:pStyle w:val="Heading2"/>
        <w:spacing w:before="320" w:after="80"/>
      </w:pPr>
      <w:r>
        <w:rPr>
          <w:rFonts w:ascii="Arial" w:cs="Arial" w:eastAsia="Arial" w:hAnsi="Arial"/>
          <w:b/>
          <w:bCs/>
          <w:i w:val="false"/>
          <w:iCs w:val="false"/>
          <w:color w:val="1A5C2E"/>
          <w:sz w:val="25"/>
          <w:szCs w:val="25"/>
        </w:rPr>
        <w:t xml:space="preserve">4.1 Proposal Format</w:t>
      </w:r>
    </w:p>
    <w:tbl>
      <w:tblPr>
        <w:tblW w:type="dxa" w:w="9360"/>
        <w:tblBorders>
          <w:top w:val="single" w:color="C0D4C8" w:sz="1"/>
          <w:left w:val="single" w:color="2A8C4A" w:sz="16"/>
          <w:bottom w:val="single" w:color="C0D4C8" w:sz="1"/>
          <w:right w:val="single" w:color="C0D4C8"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ProjectProposal struct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struct ProjectProposal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proposalId;           // assigned by PPR on submission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cycleNumber;          // which quarterly cycle this belongs to</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beneficiaryAddress;   // wallet that will receive funds if this wins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requestedAmount;      // in PADU base units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string    title;                // max 120 chars — shown in wallet poll UI</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string    category;             // enum: EDUCATION | HEALTH | INFRASTRUCTURE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AGRICULTURE | DIGITAL_INCLUSION | OTHER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string    countryCodes;         // ISO 3166-1 alpha-2, comma-separated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e.g. 'SN,CI,ML' — for UI filtering</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string    summaryIPFS;          // IPFS CID of 1-page project summary (PDF)</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string    fullDocumentIPFS;     // IPFS CID of full project dossier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bytes32   contentHash;          // keccak256 of title + requestedAmount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summaryIPFS + fullDocumentIPFS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 integrity check for wallet clients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bytes     boardPreApprovalSig;  // NGO Board multisig pre-approval of this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proposal being offered to users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(does NOT authorize disbursement)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submittedAt;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ProposalStatus status;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enum ProposalStatus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SUBMITTED,    // accepted by PPR, pending Review Period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ACTIVE,       // Review Period and Voting Window — visible in wallets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WON,          // received most votes in its cycle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LOST,         // did not win — may be re-submitted in a future cycle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DISBURSED,    // funds transferred to beneficiary</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WITHDRAWN     // withdrawn by NGO Board before Review Period opened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w:t>
            </w:r>
          </w:p>
        </w:tc>
      </w:tr>
    </w:tbl>
    <w:p>
      <w:pPr>
        <w:pStyle w:val="Heading2"/>
        <w:spacing w:before="320" w:after="80"/>
      </w:pPr>
      <w:r>
        <w:rPr>
          <w:rFonts w:ascii="Arial" w:cs="Arial" w:eastAsia="Arial" w:hAnsi="Arial"/>
          <w:b/>
          <w:bCs/>
          <w:i w:val="false"/>
          <w:iCs w:val="false"/>
          <w:color w:val="1A5C2E"/>
          <w:sz w:val="25"/>
          <w:szCs w:val="25"/>
        </w:rPr>
        <w:t xml:space="preserve">4.2 Submission Rules</w:t>
      </w:r>
    </w:p>
    <w:p>
      <w:pPr>
        <w:spacing w:before="60" w:after="120"/>
        <w:jc w:val="both"/>
      </w:pPr>
      <w:r>
        <w:rPr>
          <w:rFonts w:ascii="Arial" w:cs="Arial" w:eastAsia="Arial" w:hAnsi="Arial"/>
          <w:b w:val="false"/>
          <w:bCs w:val="false"/>
          <w:i w:val="false"/>
          <w:iCs w:val="false"/>
          <w:color w:val="1A2420"/>
          <w:sz w:val="22"/>
          <w:szCs w:val="22"/>
        </w:rPr>
        <w:t xml:space="preserve">The PPR enforces the following rules on submission. A proposal that violates any rule is rejected before it reaches the chain state, with a descriptive rejection code returned to the submitter:</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RULE-P1: Proposals may only be submitted during the Proposal Window phase of the current cycle. The QuarterlySchedule contract is queried to verify this.</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RULE-P2: A minimum of 3 and a maximum of 5 proposals may be active per cycle. Submission of a 6th proposal is rejected with CYCLE_FULL.</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RULE-P3: The requestedAmount must be between 100 PADU (minimum meaningful disbursement) and 80% of the current SFV available balance at the time of submission. A proposal requesting more than 80% of the vault is rejected with AMOUNT_EXCEEDS_RESERVE. This prevents a single project from draining the fund.</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RULE-P4: The boardPreApprovalSig must be a valid M-of-N multisig signature from the NGO Board over the proposal contentHash. The PPR verifies this against the current NGO Board multisig configuration. A proposal without valid board pre-approval cannot be submitted — this ensures the community is only voting on projects the NGO Board has committed to administer.</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RULE-P5: The beneficiaryAddress must pass a basic sanity check: it must not be the zero address, the SFV address, or any governance contract address.</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RULE-P6: The summaryIPFS and fullDocumentIPFS CIDs must be resolvable. The PPR does not fetch the documents, but it verifies that the CIDs are syntactically valid IPFS CIDs (CIDv1 preferred, CIDv0 accepted).</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RULE-P7: If fewer than 3 proposals are submitted before the Proposal Window closes, the cycle is marked as INSUFFICIENT_PROPOSALS. No poll is dispatched for that cycle. The next cycle opens on schedule. This prevents a poll with a single candidate.</w:t>
      </w:r>
    </w:p>
    <w:p>
      <w:pPr>
        <w:pStyle w:val="Heading1"/>
        <w:spacing w:before="520" w:after="120"/>
      </w:pPr>
      <w:r>
        <w:rPr>
          <w:rFonts w:ascii="Arial" w:cs="Arial" w:eastAsia="Arial" w:hAnsi="Arial"/>
          <w:b/>
          <w:bCs/>
          <w:i w:val="false"/>
          <w:iCs w:val="false"/>
          <w:color w:val="0A2E1A"/>
          <w:sz w:val="30"/>
          <w:szCs w:val="30"/>
        </w:rPr>
        <w:t xml:space="preserve">5. Poll Registry Contract (PRC-S)</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The PRC-S manages the active lifecycle of each quarterly poll: dispatching proposals to wallets, collecting votes during the Voting Window, tracking participation, and finalizing results. It is the Social Chamber's equivalent of the Protocol Chamber's Ratification Vote Contract, but with important differences in voting semantics — here, the community is choosing between options, not approving or rejecting a single change.</w:t>
      </w:r>
    </w:p>
    <w:p>
      <w:pPr>
        <w:pStyle w:val="Heading2"/>
        <w:spacing w:before="320" w:after="80"/>
      </w:pPr>
      <w:r>
        <w:rPr>
          <w:rFonts w:ascii="Arial" w:cs="Arial" w:eastAsia="Arial" w:hAnsi="Arial"/>
          <w:b/>
          <w:bCs/>
          <w:i w:val="false"/>
          <w:iCs w:val="false"/>
          <w:color w:val="1A5C2E"/>
          <w:sz w:val="25"/>
          <w:szCs w:val="25"/>
        </w:rPr>
        <w:t xml:space="preserve">5.1 Vote Structure and Semantics</w:t>
      </w:r>
    </w:p>
    <w:p>
      <w:pPr>
        <w:spacing w:before="60" w:after="120"/>
        <w:jc w:val="both"/>
      </w:pPr>
      <w:r>
        <w:rPr>
          <w:rFonts w:ascii="Arial" w:cs="Arial" w:eastAsia="Arial" w:hAnsi="Arial"/>
          <w:b w:val="false"/>
          <w:bCs w:val="false"/>
          <w:i w:val="false"/>
          <w:iCs w:val="false"/>
          <w:color w:val="1A2420"/>
          <w:sz w:val="22"/>
          <w:szCs w:val="22"/>
        </w:rPr>
        <w:t xml:space="preserve">Social Fund voting differs from Protocol Chamber voting in three key ways that are reflected in the contract design: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Dimension</w:t>
            </w:r>
          </w:p>
        </w:tc>
        <w:tc>
          <w:tcPr>
            <w:tcW w:type="dxa" w:w="328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Protocol Chamber (PADU-TECH-02)</w:t>
            </w:r>
          </w:p>
        </w:tc>
        <w:tc>
          <w:tcPr>
            <w:tcW w:type="dxa" w:w="368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Social Chamber (this document)</w:t>
            </w:r>
          </w:p>
        </w:tc>
      </w:tr>
      <w:tr>
        <w:tc>
          <w:tcPr>
            <w:tcW w:type="dxa" w:w="2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Vote type</w:t>
            </w:r>
          </w:p>
        </w:tc>
        <w:tc>
          <w:tcPr>
            <w:tcW w:type="dxa" w:w="328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Binary: APPROVE / REJECT / ABSTAIN</w:t>
            </w:r>
          </w:p>
        </w:tc>
        <w:tc>
          <w:tcPr>
            <w:tcW w:type="dxa" w:w="368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Preferential: choose one project from 3–5 options</w:t>
            </w:r>
          </w:p>
        </w:tc>
      </w:tr>
      <w:tr>
        <w:tc>
          <w:tcPr>
            <w:tcW w:type="dxa" w:w="2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Threshold</w:t>
            </w:r>
          </w:p>
        </w:tc>
        <w:tc>
          <w:tcPr>
            <w:tcW w:type="dxa" w:w="328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60% of ALL active wallets must APPROVE</w:t>
            </w:r>
          </w:p>
        </w:tc>
        <w:tc>
          <w:tcPr>
            <w:tcW w:type="dxa" w:w="368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Simple plurality: most votes wins. No absolute majority required.</w:t>
            </w:r>
          </w:p>
        </w:tc>
      </w:tr>
      <w:tr>
        <w:tc>
          <w:tcPr>
            <w:tcW w:type="dxa" w:w="2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Minimum participation</w:t>
            </w:r>
          </w:p>
        </w:tc>
        <w:tc>
          <w:tcPr>
            <w:tcW w:type="dxa" w:w="328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Implicit (60% threshold enforces it)</w:t>
            </w:r>
          </w:p>
        </w:tc>
        <w:tc>
          <w:tcPr>
            <w:tcW w:type="dxa" w:w="368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Explicit quorum: at least 5% of active wallets must vote for the result to be valid.</w:t>
            </w:r>
          </w:p>
        </w:tc>
      </w:tr>
      <w:tr>
        <w:tc>
          <w:tcPr>
            <w:tcW w:type="dxa" w:w="2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Vote change</w:t>
            </w:r>
          </w:p>
        </w:tc>
        <w:tc>
          <w:tcPr>
            <w:tcW w:type="dxa" w:w="328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Not permitted after submission</w:t>
            </w:r>
          </w:p>
        </w:tc>
        <w:tc>
          <w:tcPr>
            <w:tcW w:type="dxa" w:w="368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Permitted once during the Voting Window (vote revision)</w:t>
            </w:r>
          </w:p>
        </w:tc>
      </w:tr>
      <w:tr>
        <w:tc>
          <w:tcPr>
            <w:tcW w:type="dxa" w:w="2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Deliberation proof</w:t>
            </w:r>
          </w:p>
        </w:tc>
        <w:tc>
          <w:tcPr>
            <w:tcW w:type="dxa" w:w="328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Mandatory 24-hour proof-of-deliberation</w:t>
            </w:r>
          </w:p>
        </w:tc>
        <w:tc>
          <w:tcPr>
            <w:tcW w:type="dxa" w:w="368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Mandatory 48-hour review proof (lighter — project review, not protocol change)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20"/>
              <w:bottom w:val="single" w:color="1A4A7A" w:sz="1"/>
              <w:right w:val="single" w:color="C0D4C8" w:sz="1"/>
            </w:tcBorders>
            <w:shd w:fill="F0F8FF" w:val="clear"/>
            <w:tcMar>
              <w:top w:type="dxa" w:w="100"/>
              <w:left w:type="dxa" w:w="200"/>
              <w:bottom w:type="dxa" w:w="100"/>
              <w:right w:type="dxa" w:w="200"/>
            </w:tcMar>
          </w:tcPr>
          <w:p>
            <w:pPr>
              <w:spacing w:before="0" w:after="60"/>
            </w:pPr>
            <w:r>
              <w:rPr>
                <w:rFonts w:ascii="Arial" w:cs="Arial" w:eastAsia="Arial" w:hAnsi="Arial"/>
                <w:b/>
                <w:bCs/>
                <w:i w:val="false"/>
                <w:iCs w:val="false"/>
                <w:color w:val="1A4A7A"/>
                <w:sz w:val="20"/>
                <w:szCs w:val="20"/>
              </w:rPr>
              <w:t xml:space="preserve">ON THE 5% QUORUM</w:t>
            </w:r>
          </w:p>
          <w:p>
            <w:pPr>
              <w:spacing w:before="0" w:after="0"/>
              <w:jc w:val="both"/>
            </w:pPr>
            <w:r>
              <w:rPr>
                <w:rFonts w:ascii="Arial" w:cs="Arial" w:eastAsia="Arial" w:hAnsi="Arial"/>
                <w:b w:val="false"/>
                <w:bCs w:val="false"/>
                <w:i w:val="false"/>
                <w:iCs w:val="false"/>
                <w:color w:val="1A2420"/>
                <w:sz w:val="20"/>
                <w:szCs w:val="20"/>
              </w:rPr>
              <w:t xml:space="preserve">The 5% minimum participation threshold exists to prevent a proposal winning with an unrepresentatively small number of votes — for example, a connected group gaming the poll during a low-participation cycle. 5% of the active wallet base is a low bar intentionally: the goal is legitimacy, not perfection. If quorum is not met, the cycle is marked NO_QUORUM and the funds remain in the vault for the next cycle. The losing proposals may be resubmitted.</w:t>
            </w:r>
          </w:p>
        </w:tc>
      </w:tr>
    </w:tbl>
    <w:p>
      <w:pPr>
        <w:pStyle w:val="Heading2"/>
        <w:spacing w:before="320" w:after="80"/>
      </w:pPr>
      <w:r>
        <w:rPr>
          <w:rFonts w:ascii="Arial" w:cs="Arial" w:eastAsia="Arial" w:hAnsi="Arial"/>
          <w:b/>
          <w:bCs/>
          <w:i w:val="false"/>
          <w:iCs w:val="false"/>
          <w:color w:val="1A5C2E"/>
          <w:sz w:val="25"/>
          <w:szCs w:val="25"/>
        </w:rPr>
        <w:t xml:space="preserve">5.2 Dispatch and Notification</w:t>
      </w:r>
    </w:p>
    <w:p>
      <w:pPr>
        <w:spacing w:before="60" w:after="120"/>
        <w:jc w:val="both"/>
      </w:pPr>
      <w:r>
        <w:rPr>
          <w:rFonts w:ascii="Arial" w:cs="Arial" w:eastAsia="Arial" w:hAnsi="Arial"/>
          <w:b w:val="false"/>
          <w:bCs w:val="false"/>
          <w:i w:val="false"/>
          <w:iCs w:val="false"/>
          <w:color w:val="1A2420"/>
          <w:sz w:val="22"/>
          <w:szCs w:val="22"/>
        </w:rPr>
        <w:t xml:space="preserve">At the start of the Review Period (end of Proposal Window), the PRC-S automatically:</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Queries the PPR for all proposals in SUBMITTED status for the current cycle.</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Builds a dispatch Merkle tree with one leaf per active wallet: leaf = keccak256(walletAddress, cycleNumber, proposalContentHashes[]).</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Writes the dispatchRoot to chain and emits a PollDispatched event.</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The off-chain Poll Dispatch Service (PDS-S) picks up the event and sends push notifications to all registered wallets. Each notification contains the full proposal summaries and a Merkle proof for the receiving wallet.</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Wallets verify their Merkle proof on-chain before displaying the poll. Proofs that fail are flagged.</w:t>
      </w:r>
    </w:p>
    <w:p>
      <w:pPr>
        <w:spacing w:before="0" w:after="80"/>
      </w:pPr>
    </w:p>
    <w:p>
      <w:pPr>
        <w:spacing w:before="60" w:after="120"/>
        <w:jc w:val="both"/>
      </w:pPr>
      <w:r>
        <w:rPr>
          <w:rFonts w:ascii="Arial" w:cs="Arial" w:eastAsia="Arial" w:hAnsi="Arial"/>
          <w:b w:val="false"/>
          <w:bCs w:val="false"/>
          <w:i w:val="false"/>
          <w:iCs w:val="false"/>
          <w:color w:val="1A2420"/>
          <w:sz w:val="22"/>
          <w:szCs w:val="22"/>
        </w:rPr>
        <w:t xml:space="preserve">The wallet application must display the incoming poll as a persistent, non-dismissible notification: 'A Social Fund poll is now open. Your vote determines which project receives funding this quarter.' The notification must display the fund's current balance and the amounts each candidate project is requesting.</w:t>
      </w:r>
    </w:p>
    <w:p>
      <w:pPr>
        <w:pStyle w:val="Heading2"/>
        <w:spacing w:before="320" w:after="80"/>
      </w:pPr>
      <w:r>
        <w:rPr>
          <w:rFonts w:ascii="Arial" w:cs="Arial" w:eastAsia="Arial" w:hAnsi="Arial"/>
          <w:b/>
          <w:bCs/>
          <w:i w:val="false"/>
          <w:iCs w:val="false"/>
          <w:color w:val="1A5C2E"/>
          <w:sz w:val="25"/>
          <w:szCs w:val="25"/>
        </w:rPr>
        <w:t xml:space="preserve">5.3 Voting Flow and Proof-of-Review</w:t>
      </w:r>
    </w:p>
    <w:p>
      <w:pPr>
        <w:spacing w:before="60" w:after="120"/>
        <w:jc w:val="both"/>
      </w:pPr>
      <w:r>
        <w:rPr>
          <w:rFonts w:ascii="Arial" w:cs="Arial" w:eastAsia="Arial" w:hAnsi="Arial"/>
          <w:b w:val="false"/>
          <w:bCs w:val="false"/>
          <w:i w:val="false"/>
          <w:iCs w:val="false"/>
          <w:color w:val="1A2420"/>
          <w:sz w:val="22"/>
          <w:szCs w:val="22"/>
        </w:rPr>
        <w:t xml:space="preserve">To cast a vote, a wallet submits a VoteCast transaction to the PRC-S. The transaction is rejected if the proof-of-review is absent or invalid. The proof-of-review for Social Fund polls requires:</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reviewOpenedAt: timestamp when the user first opened the poll in the wallet UI. Must be at least 48 hours before the VoteCast transaction timestamp.</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summaryReadAck: boolean true, set by the wallet after the user has scrolled through the 1-page project summary for the project they intend to vote for.</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contentHashAck: must equal the contentHash of the chosen proposal stored in the PPR. Prevents voting for a proposal whose content has been altered.</w:t>
      </w:r>
    </w:p>
    <w:p>
      <w:pPr>
        <w:spacing w:before="0" w:after="60"/>
      </w:pPr>
    </w:p>
    <w:tbl>
      <w:tblPr>
        <w:tblW w:type="dxa" w:w="9360"/>
        <w:tblBorders>
          <w:top w:val="single" w:color="C0D4C8" w:sz="1"/>
          <w:left w:val="single" w:color="2A8C4A" w:sz="16"/>
          <w:bottom w:val="single" w:color="C0D4C8" w:sz="1"/>
          <w:right w:val="single" w:color="C0D4C8"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VoteCast transaction — submitted to PRC-S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struct SocialVoteCast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cycleNumber;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voterAddress;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chosenProposalId;    // must be a ACTIVE proposal in this cycle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 Proof of review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reviewOpenedAt;      // ≥ 48 hours before tx 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bool     summaryReadAck;      // must be true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bytes32  contentHashAck;      // must match PPR[chosenProposalId].contentHash</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 Revision tracking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bool     isRevision;          // true if this replaces a prior vote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priorProposalId;     // populated only if isRevision = true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bytes    signature;           // ECDSA over keccak256(abi.encode(all above))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PRC-S enforces: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Voting Window is open (QuarterlySchedule.currentPhase() == VOTING)</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Wallet has not already voted twice (max 1 revision allowed)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reviewOpenedAt + 48h &lt;= block.timestamp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summaryReadAck == true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contentHashAck == PPR.proposals[chosenProposalId].contentHash</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chosenProposalId is ACTIVE in this cycle</w:t>
            </w:r>
          </w:p>
        </w:tc>
      </w:tr>
    </w:tbl>
    <w:p>
      <w:pPr>
        <w:pStyle w:val="Heading2"/>
        <w:spacing w:before="320" w:after="80"/>
      </w:pPr>
      <w:r>
        <w:rPr>
          <w:rFonts w:ascii="Arial" w:cs="Arial" w:eastAsia="Arial" w:hAnsi="Arial"/>
          <w:b/>
          <w:bCs/>
          <w:i w:val="false"/>
          <w:iCs w:val="false"/>
          <w:color w:val="1A5C2E"/>
          <w:sz w:val="25"/>
          <w:szCs w:val="25"/>
        </w:rPr>
        <w:t xml:space="preserve">5.4 Vote Change Mechanism</w:t>
      </w:r>
    </w:p>
    <w:p>
      <w:pPr>
        <w:spacing w:before="60" w:after="120"/>
        <w:jc w:val="both"/>
      </w:pPr>
      <w:r>
        <w:rPr>
          <w:rFonts w:ascii="Arial" w:cs="Arial" w:eastAsia="Arial" w:hAnsi="Arial"/>
          <w:b w:val="false"/>
          <w:bCs w:val="false"/>
          <w:i w:val="false"/>
          <w:iCs w:val="false"/>
          <w:color w:val="1A2420"/>
          <w:sz w:val="22"/>
          <w:szCs w:val="22"/>
        </w:rPr>
        <w:t xml:space="preserve">A wallet may change its vote exactly once during the Voting Window. The second vote (the revision) supersedes the first. After a revision, the wallet cannot vote again. This is enforced by tracking vote revision counts per wallet per cycle in the PRC-S.</w:t>
      </w:r>
    </w:p>
    <w:p>
      <w:pPr>
        <w:spacing w:before="60" w:after="120"/>
        <w:jc w:val="both"/>
      </w:pPr>
      <w:r>
        <w:rPr>
          <w:rFonts w:ascii="Arial" w:cs="Arial" w:eastAsia="Arial" w:hAnsi="Arial"/>
          <w:b w:val="false"/>
          <w:bCs w:val="false"/>
          <w:i w:val="false"/>
          <w:iCs w:val="false"/>
          <w:color w:val="1A2420"/>
          <w:sz w:val="22"/>
          <w:szCs w:val="22"/>
        </w:rPr>
        <w:t xml:space="preserve">When a revision is submitted, the PRC-S atomically decrements the vote count for the originally chosen proposal and increments the count for the new choice. Running totals remain consistent at all times. The revision itself must also carry a proof-of-review for the newly chosen proposal (with its own 48-hour reviewOpenedAt — meaning a user who wants to change their vote must have read the alternative proposal at least 48 hours before the revision transaction).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A0A" w:sz="1"/>
              <w:left w:val="single" w:color="7A2A0A" w:sz="20"/>
              <w:bottom w:val="single" w:color="7A2A0A" w:sz="1"/>
              <w:right w:val="single" w:color="C0D4C8" w:sz="1"/>
            </w:tcBorders>
            <w:shd w:fill="FFF4F0" w:val="clear"/>
            <w:tcMar>
              <w:top w:type="dxa" w:w="100"/>
              <w:left w:type="dxa" w:w="200"/>
              <w:bottom w:type="dxa" w:w="100"/>
              <w:right w:type="dxa" w:w="200"/>
            </w:tcMar>
          </w:tcPr>
          <w:p>
            <w:pPr>
              <w:spacing w:before="0" w:after="60"/>
            </w:pPr>
            <w:r>
              <w:rPr>
                <w:rFonts w:ascii="Arial" w:cs="Arial" w:eastAsia="Arial" w:hAnsi="Arial"/>
                <w:b/>
                <w:bCs/>
                <w:i w:val="false"/>
                <w:iCs w:val="false"/>
                <w:color w:val="7A2A0A"/>
                <w:sz w:val="20"/>
                <w:szCs w:val="20"/>
              </w:rPr>
              <w:t xml:space="preserve">VOTE PRIVACY CAVEAT</w:t>
            </w:r>
          </w:p>
          <w:p>
            <w:pPr>
              <w:spacing w:before="0" w:after="0"/>
              <w:jc w:val="both"/>
            </w:pPr>
            <w:r>
              <w:rPr>
                <w:rFonts w:ascii="Arial" w:cs="Arial" w:eastAsia="Arial" w:hAnsi="Arial"/>
                <w:b w:val="false"/>
                <w:bCs w:val="false"/>
                <w:i w:val="false"/>
                <w:iCs w:val="false"/>
                <w:color w:val="1A2420"/>
                <w:sz w:val="20"/>
                <w:szCs w:val="20"/>
              </w:rPr>
              <w:t xml:space="preserve">Social Fund votes are public on-chain by default — any observer can see which proposal each wallet voted for. This is a deliberate transparency choice: it prevents vote manipulation and allows community accountability. Users should be clearly informed of this before casting a vote. A future amendment could explore zero-knowledge vote privacy, but this is not in scope for v0.1.</w:t>
            </w:r>
          </w:p>
        </w:tc>
      </w:tr>
    </w:tbl>
    <w:p>
      <w:pPr>
        <w:pStyle w:val="Heading2"/>
        <w:spacing w:before="320" w:after="80"/>
      </w:pPr>
      <w:r>
        <w:rPr>
          <w:rFonts w:ascii="Arial" w:cs="Arial" w:eastAsia="Arial" w:hAnsi="Arial"/>
          <w:b/>
          <w:bCs/>
          <w:i w:val="false"/>
          <w:iCs w:val="false"/>
          <w:color w:val="1A5C2E"/>
          <w:sz w:val="25"/>
          <w:szCs w:val="25"/>
        </w:rPr>
        <w:t xml:space="preserve">5.5 Result Finalization</w:t>
      </w:r>
    </w:p>
    <w:p>
      <w:pPr>
        <w:spacing w:before="60" w:after="120"/>
        <w:jc w:val="both"/>
      </w:pPr>
      <w:r>
        <w:rPr>
          <w:rFonts w:ascii="Arial" w:cs="Arial" w:eastAsia="Arial" w:hAnsi="Arial"/>
          <w:b w:val="false"/>
          <w:bCs w:val="false"/>
          <w:i w:val="false"/>
          <w:iCs w:val="false"/>
          <w:color w:val="1A2420"/>
          <w:sz w:val="22"/>
          <w:szCs w:val="22"/>
        </w:rPr>
        <w:t xml:space="preserve">At the close of the Voting Window, any participant can trigger the finalization function. The PRC-S:</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Computes the total vote count per proposal.</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Computes the participation rate: (total votes cast) / (activeWalletSnapshot at dispatch time).</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If participation rate &lt; 5%: marks the cycle as NO_QUORUM. No winner. Funds remain in vault.</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If participation rate ≥ 5%: identifies the proposal with the highest vote count as the winner. In case of a tie in vote count, the proposal with the lower requestedAmount wins (the protocol defaults to the more conservative choice). If amounts are also equal, the proposal submitted first (lower proposalId) wins.</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Writes the finalized result to chain: winner proposalId, vote counts for all proposals, participation rate, finalization timestamp.</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Emits PollFinalized event. All wallets are notified with the full result breakdown.</w:t>
      </w:r>
    </w:p>
    <w:tbl>
      <w:tblPr>
        <w:tblW w:type="dxa" w:w="9360"/>
        <w:tblBorders>
          <w:top w:val="single" w:color="C0D4C8" w:sz="1"/>
          <w:left w:val="single" w:color="2A8C4A" w:sz="16"/>
          <w:bottom w:val="single" w:color="C0D4C8" w:sz="1"/>
          <w:right w:val="single" w:color="C0D4C8"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PRC-S finalization result — written to chain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struct CycleResult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cycleNumber;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CycleResultStatus status;    // WON, NO_QUORUM, INSUFFICIENT_PROPOSALS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winnerProposalId;  // 0 if no winner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winnerVoteCount;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totalVotesCast;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activeWalletSnapshot;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participationRateBps; // e.g. 850 = 8.50%</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finalizedAt;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allProposalIds;    // for full result breakdown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allVoteCounts;     // parallel array</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enum CycleResultStatus { PENDING, WON, NO_QUORUM, INSUFFICIENT_PROPOSALS }</w:t>
            </w:r>
          </w:p>
        </w:tc>
      </w:tr>
    </w:tbl>
    <w:p>
      <w:pPr>
        <w:pStyle w:val="Heading1"/>
        <w:spacing w:before="520" w:after="120"/>
      </w:pPr>
      <w:r>
        <w:rPr>
          <w:rFonts w:ascii="Arial" w:cs="Arial" w:eastAsia="Arial" w:hAnsi="Arial"/>
          <w:b/>
          <w:bCs/>
          <w:i w:val="false"/>
          <w:iCs w:val="false"/>
          <w:color w:val="0A2E1A"/>
          <w:sz w:val="30"/>
          <w:szCs w:val="30"/>
        </w:rPr>
        <w:t xml:space="preserve">6. Dual-Authorization Disbursement</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A poll result alone does not release funds. A poll tells the NGO Board what the community has decided — but the community cannot directly call disburse() on the SFV. Conversely, the NGO Board's multisig alone cannot release funds without a valid on-chain poll result. Both authorizations are required. Neither is sufficient on its own.</w:t>
      </w:r>
    </w:p>
    <w:p>
      <w:pPr>
        <w:spacing w:before="60" w:after="120"/>
        <w:jc w:val="both"/>
      </w:pPr>
      <w:r>
        <w:rPr>
          <w:rFonts w:ascii="Arial" w:cs="Arial" w:eastAsia="Arial" w:hAnsi="Arial"/>
          <w:b w:val="false"/>
          <w:bCs w:val="false"/>
          <w:i w:val="false"/>
          <w:iCs w:val="false"/>
          <w:color w:val="1A2420"/>
          <w:sz w:val="22"/>
          <w:szCs w:val="22"/>
        </w:rPr>
        <w:t xml:space="preserve">This dual-authorization architecture is the central trust guarantee of the Social Fund: it means users can trust that the NGO Board cannot divert funds to unapproved projects, and the NGO Board can trust that disbursements are grounded in a legitimate, auditable community decision.</w:t>
      </w:r>
    </w:p>
    <w:p>
      <w:pPr>
        <w:pStyle w:val="Heading2"/>
        <w:spacing w:before="320" w:after="80"/>
      </w:pPr>
      <w:r>
        <w:rPr>
          <w:rFonts w:ascii="Arial" w:cs="Arial" w:eastAsia="Arial" w:hAnsi="Arial"/>
          <w:b/>
          <w:bCs/>
          <w:i w:val="false"/>
          <w:iCs w:val="false"/>
          <w:color w:val="1A5C2E"/>
          <w:sz w:val="25"/>
          <w:szCs w:val="25"/>
        </w:rPr>
        <w:t xml:space="preserve">6.1 Authorization Components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Authorization</w:t>
            </w:r>
          </w:p>
        </w:tc>
        <w:tc>
          <w:tcPr>
            <w:tcW w:type="dxa" w:w="24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Source</w:t>
            </w:r>
          </w:p>
        </w:tc>
        <w:tc>
          <w:tcPr>
            <w:tcW w:type="dxa" w:w="316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What it proves</w:t>
            </w:r>
          </w:p>
        </w:tc>
        <w:tc>
          <w:tcPr>
            <w:tcW w:type="dxa" w:w="16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Technical form</w:t>
            </w:r>
          </w:p>
        </w:tc>
      </w:tr>
      <w:tr>
        <w:tc>
          <w:tcPr>
            <w:tcW w:type="dxa" w:w="22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Community Mandate</w:t>
            </w:r>
          </w:p>
        </w:tc>
        <w:tc>
          <w:tcPr>
            <w:tcW w:type="dxa" w:w="2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PRC-S on-chain result</w:t>
            </w:r>
          </w:p>
        </w:tc>
        <w:tc>
          <w:tcPr>
            <w:tcW w:type="dxa" w:w="31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The community voted for this project above quorum threshold.</w:t>
            </w:r>
          </w:p>
        </w:tc>
        <w:tc>
          <w:tcPr>
            <w:tcW w:type="dxa" w:w="1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 CycleResult record in SUBMITTED status with status = WON, callable by DAC.</w:t>
            </w:r>
          </w:p>
        </w:tc>
      </w:tr>
      <w:tr>
        <w:tc>
          <w:tcPr>
            <w:tcW w:type="dxa" w:w="22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 Approval</w:t>
            </w:r>
          </w:p>
        </w:tc>
        <w:tc>
          <w:tcPr>
            <w:tcW w:type="dxa" w:w="2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NBM multisig</w:t>
            </w:r>
          </w:p>
        </w:tc>
        <w:tc>
          <w:tcPr>
            <w:tcW w:type="dxa" w:w="31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The NGO Board has verified the beneficiary, confirmed the project is ready to receive funds, and commits to stewardship.</w:t>
            </w:r>
          </w:p>
        </w:tc>
        <w:tc>
          <w:tcPr>
            <w:tcW w:type="dxa" w:w="16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M-of-N multisig signature over (cycleNumber, winnerProposalId, beneficiaryAddress, amount, disburseDeadline).</w:t>
            </w:r>
          </w:p>
        </w:tc>
      </w:tr>
    </w:tbl>
    <w:p>
      <w:pPr>
        <w:pStyle w:val="Heading2"/>
        <w:spacing w:before="320" w:after="80"/>
      </w:pPr>
      <w:r>
        <w:rPr>
          <w:rFonts w:ascii="Arial" w:cs="Arial" w:eastAsia="Arial" w:hAnsi="Arial"/>
          <w:b/>
          <w:bCs/>
          <w:i w:val="false"/>
          <w:iCs w:val="false"/>
          <w:color w:val="1A5C2E"/>
          <w:sz w:val="25"/>
          <w:szCs w:val="25"/>
        </w:rPr>
        <w:t xml:space="preserve">6.2 Disbursement Authorization Contract (DAC)</w:t>
      </w:r>
    </w:p>
    <w:tbl>
      <w:tblPr>
        <w:tblW w:type="dxa" w:w="9360"/>
        <w:tblBorders>
          <w:top w:val="single" w:color="C0D4C8" w:sz="1"/>
          <w:left w:val="single" w:color="2A8C4A" w:sz="16"/>
          <w:bottom w:val="single" w:color="C0D4C8" w:sz="1"/>
          <w:right w:val="single" w:color="C0D4C8"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DisbursementAuthorizationContract.sol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pragma solidity ^0.8.24;</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interface IPRCsocial  { function getCycleResult(uint256 cycle) external view returns (CycleResult memory);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interface ISFVault    { function disburse(uint256 cycleId, address recipient, uint256 amount) external;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interface INGOMultisig{ function isApproved(bytes32 opHash) external view returns (bool);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contract DisbursementAuthorizationContract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public immutable prcSocial;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public immutable sfv;</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public immutable ngoMultisig;</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public constant BOARD_APPROVAL_DEADLINE_DAYS = 14;</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NGO Board must approve within 14 days of poll finalization.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After 14 days, the community may trigger a BOARD_DEFAULT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process (see Section 6.3).</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mapping(uint256 =&gt; DisbursementState) public disbursements; // cycleNum → state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enum DisbursementState { PENDING, AUTHORIZED, DISBURSED, LAPSED, BOARD_DEFAULT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event BothAuthorizationsReceived(uint256 indexed cycleNum, uint256 amount,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beneficiary);</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event DisbursementExecuted(uint256 indexed cycleNum, uint256 amount,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beneficiary, uint256 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event BoardDefaultTriggered(uint256 indexed cycleNum, uint256 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@notice Called by anyone after both authorizations exist on-chain.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Verifies both conditions and triggers the SFV disbursement.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function executeDisbursement(uint256 cycleNum) external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require(disbursements[cycleNum] == DisbursementState.PENDING,</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'DAC: already processed');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1. Verify community mandate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CycleResult memory result = IPRCsocial(prcSocial).getCycleResult(cycleNum);</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require(result.status == CycleResultStatus.WON,</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'DAC: no winning community mandate for this cycle');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2. Compute the operation hash the NGO Board must have signed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bytes32 opHash = keccak256(abi.encode(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cycleNum,</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result.winnerProposalId,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result.winnerBeneficiary,   // fetched from PPR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result.winnerAmount,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result.finalizedAt + (BOARD_APPROVAL_DEADLINE_DAYS * 1 days)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3. Verify NGO Board approval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require(INGOMultisig(ngoMultisig).isApproved(opHash),</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'DAC: NGO Board has not approved this disbursement');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4. Execute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disbursements[cycleNum] = DisbursementState.DISBURSED;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emit DisbursementExecuted(cycleNum, result.winnerAmount,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result.winnerBeneficiary, block.timestamp);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ISFVault(sfv).disburse(cycleNum, result.winnerBeneficiary, result.winnerAmount);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w:t>
            </w:r>
          </w:p>
        </w:tc>
      </w:tr>
    </w:tbl>
    <w:p>
      <w:pPr>
        <w:pStyle w:val="Heading2"/>
        <w:spacing w:before="320" w:after="80"/>
      </w:pPr>
      <w:r>
        <w:rPr>
          <w:rFonts w:ascii="Arial" w:cs="Arial" w:eastAsia="Arial" w:hAnsi="Arial"/>
          <w:b/>
          <w:bCs/>
          <w:i w:val="false"/>
          <w:iCs w:val="false"/>
          <w:color w:val="1A5C2E"/>
          <w:sz w:val="25"/>
          <w:szCs w:val="25"/>
        </w:rPr>
        <w:t xml:space="preserve">6.3 Board Default Process</w:t>
      </w:r>
    </w:p>
    <w:p>
      <w:pPr>
        <w:spacing w:before="60" w:after="120"/>
        <w:jc w:val="both"/>
      </w:pPr>
      <w:r>
        <w:rPr>
          <w:rFonts w:ascii="Arial" w:cs="Arial" w:eastAsia="Arial" w:hAnsi="Arial"/>
          <w:b w:val="false"/>
          <w:bCs w:val="false"/>
          <w:i w:val="false"/>
          <w:iCs w:val="false"/>
          <w:color w:val="1A2420"/>
          <w:sz w:val="22"/>
          <w:szCs w:val="22"/>
        </w:rPr>
        <w:t xml:space="preserve">If the NGO Board fails to provide its multisig approval within 14 days of a valid poll result, the community may trigger a Board Default process. This is a safety valve: it prevents the NGO Board from silently blocking disbursements by inaction.</w:t>
      </w:r>
    </w:p>
    <w:p>
      <w:pPr>
        <w:spacing w:before="60" w:after="120"/>
        <w:jc w:val="both"/>
      </w:pPr>
      <w:r>
        <w:rPr>
          <w:rFonts w:ascii="Arial" w:cs="Arial" w:eastAsia="Arial" w:hAnsi="Arial"/>
          <w:b w:val="false"/>
          <w:bCs w:val="false"/>
          <w:i w:val="false"/>
          <w:iCs w:val="false"/>
          <w:color w:val="1A2420"/>
          <w:sz w:val="22"/>
          <w:szCs w:val="22"/>
        </w:rPr>
        <w:t xml:space="preserve">The Board Default process works as follows:</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After 14 days without board approval, any active wallet may submit a BOARD_DEFAULT_SIGNAL to the DAC.</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If 10% of active wallets submit a BOARD_DEFAULT_SIGNAL within a 7-day window, the DAC marks the cycle as BOARD_DEFAULT and emits a BoardDefaultTriggered event.</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The BOARD_DEFAULT state initiates a 30-day emergency review period during which the NGO Board may explain its non-approval through a mandatory on-chain governance statement. The statement is written to the Disbursement Ledger permanently.</w:t>
      </w:r>
    </w:p>
    <w:p>
      <w:pPr>
        <w:pStyle w:val="ListParagraph"/>
        <w:numPr>
          <w:ilvl w:val="0"/>
          <w:numId w:val="3"/>
        </w:numPr>
        <w:spacing w:before="40" w:after="80"/>
      </w:pPr>
      <w:r>
        <w:rPr>
          <w:rFonts w:ascii="Arial" w:cs="Arial" w:eastAsia="Arial" w:hAnsi="Arial"/>
          <w:b w:val="false"/>
          <w:bCs w:val="false"/>
          <w:i w:val="false"/>
          <w:iCs w:val="false"/>
          <w:color w:val="1A2420"/>
          <w:sz w:val="22"/>
          <w:szCs w:val="22"/>
        </w:rPr>
        <w:t xml:space="preserve">After the 30-day review period, if the board has still not provided approval, the disbursement is marked LAPSED. The funds remain in the SFV and are made available for the following cycle. The winning project from the lapsed cycle may be resubmitted as a proposal in the next cycle without requiring new board pre-approval.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A0A" w:sz="1"/>
              <w:left w:val="single" w:color="7A2A0A" w:sz="20"/>
              <w:bottom w:val="single" w:color="7A2A0A" w:sz="1"/>
              <w:right w:val="single" w:color="C0D4C8" w:sz="1"/>
            </w:tcBorders>
            <w:shd w:fill="FFF4F0" w:val="clear"/>
            <w:tcMar>
              <w:top w:type="dxa" w:w="100"/>
              <w:left w:type="dxa" w:w="200"/>
              <w:bottom w:type="dxa" w:w="100"/>
              <w:right w:type="dxa" w:w="200"/>
            </w:tcMar>
          </w:tcPr>
          <w:p>
            <w:pPr>
              <w:spacing w:before="0" w:after="60"/>
            </w:pPr>
            <w:r>
              <w:rPr>
                <w:rFonts w:ascii="Arial" w:cs="Arial" w:eastAsia="Arial" w:hAnsi="Arial"/>
                <w:b/>
                <w:bCs/>
                <w:i w:val="false"/>
                <w:iCs w:val="false"/>
                <w:color w:val="7A2A0A"/>
                <w:sz w:val="20"/>
                <w:szCs w:val="20"/>
              </w:rPr>
              <w:t xml:space="preserve">BOARD DEFAULT IS NOT A BYPASS</w:t>
            </w:r>
          </w:p>
          <w:p>
            <w:pPr>
              <w:spacing w:before="0" w:after="0"/>
              <w:jc w:val="both"/>
            </w:pPr>
            <w:r>
              <w:rPr>
                <w:rFonts w:ascii="Arial" w:cs="Arial" w:eastAsia="Arial" w:hAnsi="Arial"/>
                <w:b w:val="false"/>
                <w:bCs w:val="false"/>
                <w:i w:val="false"/>
                <w:iCs w:val="false"/>
                <w:color w:val="1A2420"/>
                <w:sz w:val="20"/>
                <w:szCs w:val="20"/>
              </w:rPr>
              <w:t xml:space="preserve">The Board Default process does NOT force disbursement without NGO Board approval. It cannot. The SFV's disburse() function requires a DAC call, and the DAC requires board approval. Board Default is a transparency and accountability mechanism — it creates a permanent on-chain record of board inaction and surfaces the issue to the community. Actual forced disbursement without board approval is architecturally impossible by design.</w:t>
            </w:r>
          </w:p>
        </w:tc>
      </w:tr>
    </w:tbl>
    <w:p>
      <w:pPr>
        <w:pStyle w:val="Heading2"/>
        <w:spacing w:before="320" w:after="80"/>
      </w:pPr>
      <w:r>
        <w:rPr>
          <w:rFonts w:ascii="Arial" w:cs="Arial" w:eastAsia="Arial" w:hAnsi="Arial"/>
          <w:b/>
          <w:bCs/>
          <w:i w:val="false"/>
          <w:iCs w:val="false"/>
          <w:color w:val="1A5C2E"/>
          <w:sz w:val="25"/>
          <w:szCs w:val="25"/>
        </w:rPr>
        <w:t xml:space="preserve">6.4 NGO Board Multisig Configuration</w:t>
      </w:r>
    </w:p>
    <w:p>
      <w:pPr>
        <w:spacing w:before="60" w:after="120"/>
        <w:jc w:val="both"/>
      </w:pPr>
      <w:r>
        <w:rPr>
          <w:rFonts w:ascii="Arial" w:cs="Arial" w:eastAsia="Arial" w:hAnsi="Arial"/>
          <w:b w:val="false"/>
          <w:bCs w:val="false"/>
          <w:i w:val="false"/>
          <w:iCs w:val="false"/>
          <w:color w:val="1A2420"/>
          <w:sz w:val="22"/>
          <w:szCs w:val="22"/>
        </w:rPr>
        <w:t xml:space="preserve">The NGO Board operates through an M-of-N multisig wallet. The specific M and N values, the identity of board members, and the process for replacing board members are defined in PADU-GOV-01. For the purposes of this technical specification, the multisig interface must satisfy the following requirements:</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The multisig must implement a standard interface (Gnosis Safe compatible, or equivalent) with the isApproved(bytes32 opHash) view function.</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M and N must be stored as on-chain parameters in a Board Configuration Contract, updatable only by a Protocol Chamber amendment or a formal board succession process defined in PADU-GOV-01.</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The current M-of-N configuration must be publicly readable by any wallet via a standard RPC call. Wallet apps must display the current NGO Board configuration alongside the Social Fund balance.</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Each board member's signing key should be held in a hardware security module (HSM) or hardware wallet. Software-only keys are discouraged and must be disclosed in the board member's public profile.</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The multisig must emit an event for each approval signature received, allowing the community to observe board deliberation in real time.</w:t>
      </w:r>
    </w:p>
    <w:p>
      <w:pPr>
        <w:pStyle w:val="Heading1"/>
        <w:spacing w:before="520" w:after="120"/>
      </w:pPr>
      <w:r>
        <w:rPr>
          <w:rFonts w:ascii="Arial" w:cs="Arial" w:eastAsia="Arial" w:hAnsi="Arial"/>
          <w:b/>
          <w:bCs/>
          <w:i w:val="false"/>
          <w:iCs w:val="false"/>
          <w:color w:val="0A2E1A"/>
          <w:sz w:val="30"/>
          <w:szCs w:val="30"/>
        </w:rPr>
        <w:t xml:space="preserve">7. Disbursement Ledger</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Every disbursement, every failed cycle, every Board Default event, and every lapsed cycle is permanently recorded in an append-only on-chain Disbursement Ledger. This ledger is the Social Fund's constitutional memory — it cannot be altered, and it provides full public accountability for every PADU ever disbursed from the Social Fund.</w:t>
      </w:r>
    </w:p>
    <w:tbl>
      <w:tblPr>
        <w:tblW w:type="dxa" w:w="9360"/>
        <w:tblBorders>
          <w:top w:val="single" w:color="C0D4C8" w:sz="1"/>
          <w:left w:val="single" w:color="2A8C4A" w:sz="16"/>
          <w:bottom w:val="single" w:color="C0D4C8" w:sz="1"/>
          <w:right w:val="single" w:color="C0D4C8" w:sz="1"/>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DisbursementLedger.sol</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struct LedgerEntry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entryIndex;         // monotonically increasing</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cycleNumber;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EntryType entryType;          // DISBURSED | NO_QUORUM | LAPSED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BOARD_DEFAULT | INSUFFICIENT_PROPOSALS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winnerProposalId;   // 0 if no winner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address   beneficiary;        // 0x0 if no disbursement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amountDisbursed;    // 0 if no disbursement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voteCount;          // votes for winning project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totalVotesCast;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participationBps;   // participation rate in basis points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sfvBalanceBefore;   // vault balance immediately before disbursement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sfvBalanceAfter;    // vault balance immediately after</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uint256   timestamp;</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string    boardStatement;     // optional — NGO Board narrative, max 1000 chars</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 mandatory if entryType == BOARD_DEFAULT</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enum EntryType { DISBURSED, NO_QUORUM, LAPSED, BOARD_DEFAULT, INSUFFICIENT_PROPOSALS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Append-only: no entry may be modified or deleted.</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Readable by any wallet via standard RPC.</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Wallet apps must provide a 'Social Fund History' view</w:t>
            </w:r>
          </w:p>
        </w:tc>
      </w:tr>
      <w:tr>
        <w:tc>
          <w:tcPr>
            <w:tcW w:type="dxa" w:w="9360"/>
            <w:tcBorders>
              <w:top w:val="single" w:color="FFFFFF" w:sz="1"/>
              <w:left w:val="single" w:color="FFFFFF" w:sz="1"/>
              <w:bottom w:val="single" w:color="FFFFFF" w:sz="1"/>
              <w:right w:val="single" w:color="FFFFFF" w:sz="1"/>
            </w:tcBorders>
            <w:shd w:fill="F0F8F2" w:val="clear"/>
            <w:tcMar>
              <w:top w:type="dxa" w:w="0"/>
              <w:left w:type="dxa" w:w="200"/>
              <w:bottom w:type="dxa" w:w="0"/>
              <w:right w:type="dxa" w:w="200"/>
            </w:tcMar>
          </w:tcPr>
          <w:p>
            <w:pPr>
              <w:spacing w:before="0" w:after="0"/>
            </w:pPr>
            <w:r>
              <w:rPr>
                <w:rFonts w:ascii="Courier New" w:cs="Courier New" w:eastAsia="Courier New" w:hAnsi="Courier New"/>
                <w:b w:val="false"/>
                <w:bCs w:val="false"/>
                <w:i w:val="false"/>
                <w:iCs w:val="false"/>
                <w:color w:val="0A2E1A"/>
                <w:sz w:val="18"/>
                <w:szCs w:val="18"/>
              </w:rPr>
              <w:t xml:space="preserve">// showing all ledger entries with human-readable summaries.</w:t>
            </w:r>
          </w:p>
        </w:tc>
      </w:tr>
    </w:tbl>
    <w:p>
      <w:pPr>
        <w:pStyle w:val="Heading1"/>
        <w:spacing w:before="520" w:after="120"/>
      </w:pPr>
      <w:r>
        <w:rPr>
          <w:rFonts w:ascii="Arial" w:cs="Arial" w:eastAsia="Arial" w:hAnsi="Arial"/>
          <w:b/>
          <w:bCs/>
          <w:i w:val="false"/>
          <w:iCs w:val="false"/>
          <w:color w:val="0A2E1A"/>
          <w:sz w:val="30"/>
          <w:szCs w:val="30"/>
        </w:rPr>
        <w:t xml:space="preserve">8. Wallet Application Requirements</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The following requirements are mandatory for all PADU-compatible wallet applications. They define the minimum Social Fund UX that every user must have access to.</w:t>
      </w:r>
    </w:p>
    <w:p>
      <w:pPr>
        <w:pStyle w:val="Heading2"/>
        <w:spacing w:before="320" w:after="80"/>
      </w:pPr>
      <w:r>
        <w:rPr>
          <w:rFonts w:ascii="Arial" w:cs="Arial" w:eastAsia="Arial" w:hAnsi="Arial"/>
          <w:b/>
          <w:bCs/>
          <w:i w:val="false"/>
          <w:iCs w:val="false"/>
          <w:color w:val="1A5C2E"/>
          <w:sz w:val="25"/>
          <w:szCs w:val="25"/>
        </w:rPr>
        <w:t xml:space="preserve">8.1 Persistent Social Fund Dashboard</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SFW-01: A 'Social Fund' section is accessible from the wallet's main navigation. It must not be buried more than one tap/click from the main screen.</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SFW-02: The dashboard displays: current SFV balance (PADU and fiat), total disbursed all-time, current cycle number and phase, days until next poll opens or current poll closes, and the NGO Board multisig M-of-N configuration.</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SFW-03: A balance history chart displays SFV balance over time, with disbursement events marked. Chart must cover at least the last 4 cycles (approximately 1 year).</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SFW-04: A 'Disbursement History' tab shows the full Disbursement Ledger in human-readable format, with links to IPFS project documents for each disbursed project.</w:t>
      </w:r>
    </w:p>
    <w:p>
      <w:pPr>
        <w:pStyle w:val="Heading2"/>
        <w:spacing w:before="320" w:after="80"/>
      </w:pPr>
      <w:r>
        <w:rPr>
          <w:rFonts w:ascii="Arial" w:cs="Arial" w:eastAsia="Arial" w:hAnsi="Arial"/>
          <w:b/>
          <w:bCs/>
          <w:i w:val="false"/>
          <w:iCs w:val="false"/>
          <w:color w:val="1A5C2E"/>
          <w:sz w:val="25"/>
          <w:szCs w:val="25"/>
        </w:rPr>
        <w:t xml:space="preserve">8.2 Poll Participation Flow</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SFW-05: When a poll is dispatched, the wallet must display a persistent notification that does not disappear until the user has at minimum opened the poll overview screen.</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SFW-06: The poll screen displays all 3–5 candidate projects with: title, category, country flags, requested amount, and a one-line summary. A 'Read Full Proposal' button loads the IPFS summary document and verifies its content hash.</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SFW-07: The voting interface must display all projects simultaneously — not as a sequential series of individual screens — so the user can compare them before choosing. No project is pre-highlighted or positioned to suggest preference.</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SFW-08: Before the VOTE button becomes active, the wallet must confirm: (a) the user has opened the poll at least 48 hours ago, and (b) the user has read the summary of at least their chosen project. If condition (a) is not met, the wallet displays a countdown: 'You may vote in [N] hours'.</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SFW-09: After a vote is cast, the wallet displays: the transaction hash, the user's chosen project, and the live running totals for all projects (as a bar chart, updating in real time).</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SFW-10: A wallet may change its vote once. The vote change flow requires re-reading the new chosen project's summary (48-hour proof resets for the new choice).</w:t>
      </w:r>
    </w:p>
    <w:p>
      <w:pPr>
        <w:pStyle w:val="Heading2"/>
        <w:spacing w:before="320" w:after="80"/>
      </w:pPr>
      <w:r>
        <w:rPr>
          <w:rFonts w:ascii="Arial" w:cs="Arial" w:eastAsia="Arial" w:hAnsi="Arial"/>
          <w:b/>
          <w:bCs/>
          <w:i w:val="false"/>
          <w:iCs w:val="false"/>
          <w:color w:val="1A5C2E"/>
          <w:sz w:val="25"/>
          <w:szCs w:val="25"/>
        </w:rPr>
        <w:t xml:space="preserve">8.3 Result and Disbursement Notifications</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SFW-11: When a poll result is finalized, all wallets receive a notification showing: the winning project, vote counts for all candidates, participation rate, and the amount to be disbursed.</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SFW-12: When a disbursement is executed, all wallets receive a notification with: beneficiary address, amount, transaction hash, and a link to the project document.</w:t>
      </w:r>
    </w:p>
    <w:p>
      <w:pPr>
        <w:pStyle w:val="ListParagraph"/>
        <w:numPr>
          <w:ilvl w:val="0"/>
          <w:numId w:val="2"/>
        </w:numPr>
        <w:spacing w:before="40" w:after="80"/>
      </w:pPr>
      <w:r>
        <w:rPr>
          <w:rFonts w:ascii="Arial" w:cs="Arial" w:eastAsia="Arial" w:hAnsi="Arial"/>
          <w:b w:val="false"/>
          <w:bCs w:val="false"/>
          <w:i w:val="false"/>
          <w:iCs w:val="false"/>
          <w:color w:val="1A2420"/>
          <w:sz w:val="22"/>
          <w:szCs w:val="22"/>
        </w:rPr>
        <w:t xml:space="preserve">SFW-13: When a NO_QUORUM, LAPSED, or BOARD_DEFAULT event occurs, wallets receive a notification explaining what happened in plain language and what will happen next.</w:t>
      </w:r>
    </w:p>
    <w:p>
      <w:pPr>
        <w:pStyle w:val="Heading1"/>
        <w:spacing w:before="520" w:after="120"/>
      </w:pPr>
      <w:r>
        <w:rPr>
          <w:rFonts w:ascii="Arial" w:cs="Arial" w:eastAsia="Arial" w:hAnsi="Arial"/>
          <w:b/>
          <w:bCs/>
          <w:i w:val="false"/>
          <w:iCs w:val="false"/>
          <w:color w:val="0A2E1A"/>
          <w:sz w:val="30"/>
          <w:szCs w:val="30"/>
        </w:rPr>
        <w:t xml:space="preserve">9. Security Considerations</w:t>
      </w:r>
    </w:p>
    <w:p>
      <w:pPr>
        <w:pBdr>
          <w:bottom w:val="single" w:color="2A8C4A" w:sz="8" w:space="1"/>
        </w:pBdr>
        <w:spacing w:before="0" w:after="16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Attack</w:t>
            </w:r>
          </w:p>
        </w:tc>
        <w:tc>
          <w:tcPr>
            <w:tcW w:type="dxa" w:w="336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Description</w:t>
            </w:r>
          </w:p>
        </w:tc>
        <w:tc>
          <w:tcPr>
            <w:tcW w:type="dxa" w:w="36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Mitigation</w:t>
            </w:r>
          </w:p>
        </w:tc>
      </w:tr>
      <w:tr>
        <w:tc>
          <w:tcPr>
            <w:tcW w:type="dxa" w:w="2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Vote buying / coordination</w:t>
            </w:r>
          </w:p>
        </w:tc>
        <w:tc>
          <w:tcPr>
            <w:tcW w:type="dxa" w:w="33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An actor offers incentives for wallets to vote for a specific project.</w:t>
            </w:r>
          </w:p>
        </w:tc>
        <w:tc>
          <w:tcPr>
            <w:tcW w:type="dxa" w:w="3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Votes are public — coordinated buying is detectable. Community can raise Board Default signals. Future ZK voting upgrade can address this. Not fully preventable at v0.1.</w:t>
            </w:r>
          </w:p>
        </w:tc>
      </w:tr>
      <w:tr>
        <w:tc>
          <w:tcPr>
            <w:tcW w:type="dxa" w:w="2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 capture</w:t>
            </w:r>
          </w:p>
        </w:tc>
        <w:tc>
          <w:tcPr>
            <w:tcW w:type="dxa" w:w="33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 set of bad actors gains a majority of NGO Board seats and uses board pre-approval to only offer captive projects.</w:t>
            </w:r>
          </w:p>
        </w:tc>
        <w:tc>
          <w:tcPr>
            <w:tcW w:type="dxa" w:w="36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Community can only vote on pre-approved proposals — but board capture would be visible in proposal quality. Board Default mechanism creates accountability. Full board constitution (PADU-GOV-01) should include term limits and rotation mechanisms.</w:t>
            </w:r>
          </w:p>
        </w:tc>
      </w:tr>
      <w:tr>
        <w:tc>
          <w:tcPr>
            <w:tcW w:type="dxa" w:w="2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SFV reentrancy</w:t>
            </w:r>
          </w:p>
        </w:tc>
        <w:tc>
          <w:tcPr>
            <w:tcW w:type="dxa" w:w="33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 malicious beneficiary contract calls back into SFV during disbursement.</w:t>
            </w:r>
          </w:p>
        </w:tc>
        <w:tc>
          <w:tcPr>
            <w:tcW w:type="dxa" w:w="3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SFV uses a Checks-Effects-Interactions pattern. State (totalDisbursed) is updated before the external call. Consider adding a ReentrancyGuard modifier as belt-and-suspenders.</w:t>
            </w:r>
          </w:p>
        </w:tc>
      </w:tr>
      <w:tr>
        <w:tc>
          <w:tcPr>
            <w:tcW w:type="dxa" w:w="2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Sybil vote amplification</w:t>
            </w:r>
          </w:p>
        </w:tc>
        <w:tc>
          <w:tcPr>
            <w:tcW w:type="dxa" w:w="33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 user creates many wallets to vote multiple times.</w:t>
            </w:r>
          </w:p>
        </w:tc>
        <w:tc>
          <w:tcPr>
            <w:tcW w:type="dxa" w:w="36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One wallet = one vote. Votes are not token-weighted. Creating Sybil wallets requires funding and transaction history (active wallet requirement). Cost scales with number of fake votes.</w:t>
            </w:r>
          </w:p>
        </w:tc>
      </w:tr>
      <w:tr>
        <w:tc>
          <w:tcPr>
            <w:tcW w:type="dxa" w:w="2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Proposal amount manipulation</w:t>
            </w:r>
          </w:p>
        </w:tc>
        <w:tc>
          <w:tcPr>
            <w:tcW w:type="dxa" w:w="33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An actor submits a high-amount proposal to drain the vault in a single cycle.</w:t>
            </w:r>
          </w:p>
        </w:tc>
        <w:tc>
          <w:tcPr>
            <w:tcW w:type="dxa" w:w="3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RULE-P3 caps any single proposal at 80% of current vault balance. Vault is not fully drainable in one cycle.</w:t>
            </w:r>
          </w:p>
        </w:tc>
      </w:tr>
      <w:tr>
        <w:tc>
          <w:tcPr>
            <w:tcW w:type="dxa" w:w="2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Dispatch proof forgery</w:t>
            </w:r>
          </w:p>
        </w:tc>
        <w:tc>
          <w:tcPr>
            <w:tcW w:type="dxa" w:w="33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PDS-S sends a forged proposal to selected wallets.</w:t>
            </w:r>
          </w:p>
        </w:tc>
        <w:tc>
          <w:tcPr>
            <w:tcW w:type="dxa" w:w="36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Wallets verify Merkle dispatch proofs on-chain. A forged proposal will fail the contentHash check. The attacker would need to also modify the on-chain dispatchRoot — which requires a 51% chain attack.</w:t>
            </w:r>
          </w:p>
        </w:tc>
      </w:tr>
      <w:tr>
        <w:tc>
          <w:tcPr>
            <w:tcW w:type="dxa" w:w="2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Cycle schedule manipulation</w:t>
            </w:r>
          </w:p>
        </w:tc>
        <w:tc>
          <w:tcPr>
            <w:tcW w:type="dxa" w:w="33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 block producer manipulates block timestamps to shift phase boundaries.</w:t>
            </w:r>
          </w:p>
        </w:tc>
        <w:tc>
          <w:tcPr>
            <w:tcW w:type="dxa" w:w="3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QuarterlySchedule uses block.timestamp with phase durations in days. Short-range timestamp manipulation (seconds/minutes) cannot shift a 14-day or 28-day phase boundary meaningfully.</w:t>
            </w:r>
          </w:p>
        </w:tc>
      </w:tr>
    </w:tbl>
    <w:p>
      <w:pPr>
        <w:pStyle w:val="Heading1"/>
        <w:spacing w:before="520" w:after="120"/>
      </w:pPr>
      <w:r>
        <w:rPr>
          <w:rFonts w:ascii="Arial" w:cs="Arial" w:eastAsia="Arial" w:hAnsi="Arial"/>
          <w:b/>
          <w:bCs/>
          <w:i w:val="false"/>
          <w:iCs w:val="false"/>
          <w:color w:val="0A2E1A"/>
          <w:sz w:val="30"/>
          <w:szCs w:val="30"/>
        </w:rPr>
        <w:t xml:space="preserve">10. Deployment Sequence and Genesis Parameters</w:t>
      </w:r>
    </w:p>
    <w:p>
      <w:pPr>
        <w:pBdr>
          <w:bottom w:val="single" w:color="2A8C4A" w:sz="8" w:space="1"/>
        </w:pBdr>
        <w:spacing w:before="0" w:after="160"/>
      </w:pP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Order</w:t>
            </w:r>
          </w:p>
        </w:tc>
        <w:tc>
          <w:tcPr>
            <w:tcW w:type="dxa" w:w="28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Contract</w:t>
            </w:r>
          </w:p>
        </w:tc>
        <w:tc>
          <w:tcPr>
            <w:tcW w:type="dxa" w:w="456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Genesis parameters</w:t>
            </w:r>
          </w:p>
        </w:tc>
        <w:tc>
          <w:tcPr>
            <w:tcW w:type="dxa" w:w="14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Immutable post-deploy?</w:t>
            </w:r>
          </w:p>
        </w:tc>
      </w:tr>
      <w:tr>
        <w:tc>
          <w:tcPr>
            <w:tcW w:type="dxa" w:w="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w:t>
            </w:r>
          </w:p>
        </w:tc>
        <w:tc>
          <w:tcPr>
            <w:tcW w:type="dxa" w:w="28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SocialFundVault</w:t>
            </w:r>
          </w:p>
        </w:tc>
        <w:tc>
          <w:tcPr>
            <w:tcW w:type="dxa" w:w="4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feeSplitter (from TECH-01 deployment), disbursementAuth = address(DAC) via CREATE2, vaultBalanceOracle = address(VBO) via CREATE2.</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All addresses: Yes</w:t>
            </w:r>
          </w:p>
        </w:tc>
      </w:tr>
      <w:tr>
        <w:tc>
          <w:tcPr>
            <w:tcW w:type="dxa" w:w="6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2</w:t>
            </w:r>
          </w:p>
        </w:tc>
        <w:tc>
          <w:tcPr>
            <w:tcW w:type="dxa" w:w="28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VaultBalanceOracle</w:t>
            </w:r>
          </w:p>
        </w:tc>
        <w:tc>
          <w:tcPr>
            <w:tcW w:type="dxa" w:w="4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sfv = address(SFV).</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sfv: Yes</w:t>
            </w:r>
          </w:p>
        </w:tc>
      </w:tr>
      <w:tr>
        <w:tc>
          <w:tcPr>
            <w:tcW w:type="dxa" w:w="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3</w:t>
            </w:r>
          </w:p>
        </w:tc>
        <w:tc>
          <w:tcPr>
            <w:tcW w:type="dxa" w:w="28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QuarterlySchedule</w:t>
            </w:r>
          </w:p>
        </w:tc>
        <w:tc>
          <w:tcPr>
            <w:tcW w:type="dxa" w:w="4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genesisAnchor = timestamp of first cycle start (set to a round UTC date for clarity — e.g. first day of a calendar quarter).</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genesisAnchor: Yes</w:t>
            </w:r>
          </w:p>
        </w:tc>
      </w:tr>
      <w:tr>
        <w:tc>
          <w:tcPr>
            <w:tcW w:type="dxa" w:w="6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4</w:t>
            </w:r>
          </w:p>
        </w:tc>
        <w:tc>
          <w:tcPr>
            <w:tcW w:type="dxa" w:w="28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ProjectProposalRegistry</w:t>
            </w:r>
          </w:p>
        </w:tc>
        <w:tc>
          <w:tcPr>
            <w:tcW w:type="dxa" w:w="4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quarterlySchedule = address(QS), ngoMultisig = address(NBM), sfv = address(SFV).</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quarterlySchedule, sfv: Yes. ngoMultisig: updatable by Protocol Chamber only.</w:t>
            </w:r>
          </w:p>
        </w:tc>
      </w:tr>
      <w:tr>
        <w:tc>
          <w:tcPr>
            <w:tcW w:type="dxa" w:w="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5</w:t>
            </w:r>
          </w:p>
        </w:tc>
        <w:tc>
          <w:tcPr>
            <w:tcW w:type="dxa" w:w="28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 Multisig (Gnosis)</w:t>
            </w:r>
          </w:p>
        </w:tc>
        <w:tc>
          <w:tcPr>
            <w:tcW w:type="dxa" w:w="4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Initial M-of-N configuration per PADU-GOV-01. Board member addresses loaded.</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Configurable via board succession process.</w:t>
            </w:r>
          </w:p>
        </w:tc>
      </w:tr>
      <w:tr>
        <w:tc>
          <w:tcPr>
            <w:tcW w:type="dxa" w:w="6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6</w:t>
            </w:r>
          </w:p>
        </w:tc>
        <w:tc>
          <w:tcPr>
            <w:tcW w:type="dxa" w:w="28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PollRegistryContract (Social)</w:t>
            </w:r>
          </w:p>
        </w:tc>
        <w:tc>
          <w:tcPr>
            <w:tcW w:type="dxa" w:w="4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ppr = address(PPR), schedule = address(QS), activeWalletRegistry (from TECH-01).</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All: Yes</w:t>
            </w:r>
          </w:p>
        </w:tc>
      </w:tr>
      <w:tr>
        <w:tc>
          <w:tcPr>
            <w:tcW w:type="dxa" w:w="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7</w:t>
            </w:r>
          </w:p>
        </w:tc>
        <w:tc>
          <w:tcPr>
            <w:tcW w:type="dxa" w:w="28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DisbursementAuthorizationContract</w:t>
            </w:r>
          </w:p>
        </w:tc>
        <w:tc>
          <w:tcPr>
            <w:tcW w:type="dxa" w:w="4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prcSocial = address(PRC-S), sfv = address(SFV), ngoMultisig = address(NBM).</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prcSocial, sfv: Yes. ngoMultisig: updatable by Protocol Chamber only.</w:t>
            </w:r>
          </w:p>
        </w:tc>
      </w:tr>
      <w:tr>
        <w:tc>
          <w:tcPr>
            <w:tcW w:type="dxa" w:w="6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8</w:t>
            </w:r>
          </w:p>
        </w:tc>
        <w:tc>
          <w:tcPr>
            <w:tcW w:type="dxa" w:w="28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DisbursementLedger</w:t>
            </w:r>
          </w:p>
        </w:tc>
        <w:tc>
          <w:tcPr>
            <w:tcW w:type="dxa" w:w="4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dac = address(DAC) — only writer.</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dac: Yes</w:t>
            </w:r>
          </w:p>
        </w:tc>
      </w:tr>
      <w:tr>
        <w:tc>
          <w:tcPr>
            <w:tcW w:type="dxa" w:w="6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9</w:t>
            </w:r>
          </w:p>
        </w:tc>
        <w:tc>
          <w:tcPr>
            <w:tcW w:type="dxa" w:w="28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Wire SFV to fee splitter</w:t>
            </w:r>
          </w:p>
        </w:tc>
        <w:tc>
          <w:tcPr>
            <w:tcW w:type="dxa" w:w="4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Fee splitter (TECH-01) updated to include SFV address in social_fee routing. This is the final step — no fees flow to SFV until this is done.</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Routing: updatable by Protocol Chamber only.</w:t>
            </w:r>
          </w:p>
        </w:tc>
      </w:tr>
    </w:tbl>
    <w:p>
      <w:pPr>
        <w:spacing w:before="0" w:after="120"/>
      </w:pPr>
    </w:p>
    <w:p>
      <w:pPr>
        <w:pStyle w:val="Heading1"/>
        <w:spacing w:before="520" w:after="120"/>
      </w:pPr>
      <w:r>
        <w:rPr>
          <w:rFonts w:ascii="Arial" w:cs="Arial" w:eastAsia="Arial" w:hAnsi="Arial"/>
          <w:b/>
          <w:bCs/>
          <w:i w:val="false"/>
          <w:iCs w:val="false"/>
          <w:color w:val="0A2E1A"/>
          <w:sz w:val="30"/>
          <w:szCs w:val="30"/>
        </w:rPr>
        <w:t xml:space="preserve">Appendix A: Social Chamber Governance Parameters</w:t>
      </w:r>
    </w:p>
    <w:p>
      <w:pPr>
        <w:pBdr>
          <w:bottom w:val="single" w:color="2A8C4A" w:sz="8" w:space="1"/>
        </w:pBdr>
        <w:spacing w:before="0" w:after="160"/>
      </w:pPr>
    </w:p>
    <w:p>
      <w:pPr>
        <w:spacing w:before="60" w:after="120"/>
        <w:jc w:val="both"/>
      </w:pPr>
      <w:r>
        <w:rPr>
          <w:rFonts w:ascii="Arial" w:cs="Arial" w:eastAsia="Arial" w:hAnsi="Arial"/>
          <w:b w:val="false"/>
          <w:bCs w:val="false"/>
          <w:i w:val="false"/>
          <w:iCs w:val="false"/>
          <w:color w:val="1A2420"/>
          <w:sz w:val="22"/>
          <w:szCs w:val="22"/>
        </w:rPr>
        <w:t xml:space="preserve">The following parameters are governed by the Protocol Chamber (via PADU-TECH-02) rather than the Social Chamber itself. This table is provided here for developer reference.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Parameter</w:t>
            </w:r>
          </w:p>
        </w:tc>
        <w:tc>
          <w:tcPr>
            <w:tcW w:type="dxa" w:w="34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Namespace Key</w:t>
            </w:r>
          </w:p>
        </w:tc>
        <w:tc>
          <w:tcPr>
            <w:tcW w:type="dxa" w:w="156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Genesis Value</w:t>
            </w:r>
          </w:p>
        </w:tc>
        <w:tc>
          <w:tcPr>
            <w:tcW w:type="dxa" w:w="1400"/>
            <w:tcBorders>
              <w:top w:val="single" w:color="C0D4C8" w:sz="1"/>
              <w:left w:val="single" w:color="C0D4C8" w:sz="1"/>
              <w:bottom w:val="single" w:color="C0D4C8" w:sz="1"/>
              <w:right w:val="single" w:color="C0D4C8" w:sz="1"/>
            </w:tcBorders>
            <w:shd w:fill="0A2E1A" w:val="clear"/>
            <w:tcMar>
              <w:top w:type="dxa" w:w="80"/>
              <w:left w:type="dxa" w:w="130"/>
              <w:bottom w:type="dxa" w:w="80"/>
              <w:right w:type="dxa" w:w="130"/>
            </w:tcMar>
          </w:tcPr>
          <w:p>
            <w:pPr>
              <w:jc w:val="both"/>
            </w:pPr>
            <w:r>
              <w:rPr>
                <w:rFonts w:ascii="Arial" w:cs="Arial" w:eastAsia="Arial" w:hAnsi="Arial"/>
                <w:b/>
                <w:bCs/>
                <w:i w:val="false"/>
                <w:iCs w:val="false"/>
                <w:color w:val="FFFFFF"/>
                <w:sz w:val="19"/>
                <w:szCs w:val="19"/>
              </w:rPr>
              <w:t xml:space="preserve">Acceptable Range</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Cycle duration (days)</w:t>
            </w:r>
          </w:p>
        </w:tc>
        <w:tc>
          <w:tcPr>
            <w:tcW w:type="dxa" w:w="3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social.cycle.duration.days</w:t>
            </w:r>
          </w:p>
        </w:tc>
        <w:tc>
          <w:tcPr>
            <w:tcW w:type="dxa" w:w="1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91 days</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60 – 120 days</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Proposal window (days)</w:t>
            </w:r>
          </w:p>
        </w:tc>
        <w:tc>
          <w:tcPr>
            <w:tcW w:type="dxa" w:w="3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social.cycle.proposal.days</w:t>
            </w:r>
          </w:p>
        </w:tc>
        <w:tc>
          <w:tcPr>
            <w:tcW w:type="dxa" w:w="1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14 days</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7 – 30 days</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Review period (days)</w:t>
            </w:r>
          </w:p>
        </w:tc>
        <w:tc>
          <w:tcPr>
            <w:tcW w:type="dxa" w:w="3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social.cycle.review.days</w:t>
            </w:r>
          </w:p>
        </w:tc>
        <w:tc>
          <w:tcPr>
            <w:tcW w:type="dxa" w:w="1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14 days</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7 – 30 days</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Voting window (days)</w:t>
            </w:r>
          </w:p>
        </w:tc>
        <w:tc>
          <w:tcPr>
            <w:tcW w:type="dxa" w:w="3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social.cycle.voting.days</w:t>
            </w:r>
          </w:p>
        </w:tc>
        <w:tc>
          <w:tcPr>
            <w:tcW w:type="dxa" w:w="1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28 days</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14 – 45 days</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Min proposals per cycle</w:t>
            </w:r>
          </w:p>
        </w:tc>
        <w:tc>
          <w:tcPr>
            <w:tcW w:type="dxa" w:w="3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social.proposals.min</w:t>
            </w:r>
          </w:p>
        </w:tc>
        <w:tc>
          <w:tcPr>
            <w:tcW w:type="dxa" w:w="1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3</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2 – 3</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Max proposals per cycle</w:t>
            </w:r>
          </w:p>
        </w:tc>
        <w:tc>
          <w:tcPr>
            <w:tcW w:type="dxa" w:w="3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social.proposals.max</w:t>
            </w:r>
          </w:p>
        </w:tc>
        <w:tc>
          <w:tcPr>
            <w:tcW w:type="dxa" w:w="1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5</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3 – 7</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Max single proposal (% of vault)</w:t>
            </w:r>
          </w:p>
        </w:tc>
        <w:tc>
          <w:tcPr>
            <w:tcW w:type="dxa" w:w="3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social.proposals.max.vault.pct.bps</w:t>
            </w:r>
          </w:p>
        </w:tc>
        <w:tc>
          <w:tcPr>
            <w:tcW w:type="dxa" w:w="1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8000 (80%)</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2000 – 9000 bps</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Min proposal amount (PADU)</w:t>
            </w:r>
          </w:p>
        </w:tc>
        <w:tc>
          <w:tcPr>
            <w:tcW w:type="dxa" w:w="3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social.proposals.min.amount</w:t>
            </w:r>
          </w:p>
        </w:tc>
        <w:tc>
          <w:tcPr>
            <w:tcW w:type="dxa" w:w="1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100 PADU</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10 – 1000 PADU</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Quorum threshold (% of wallets)</w:t>
            </w:r>
          </w:p>
        </w:tc>
        <w:tc>
          <w:tcPr>
            <w:tcW w:type="dxa" w:w="3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social.poll.quorum.bps</w:t>
            </w:r>
          </w:p>
        </w:tc>
        <w:tc>
          <w:tcPr>
            <w:tcW w:type="dxa" w:w="1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500 (5%)</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100 – 2000 bps</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Review proof minimum (hours)</w:t>
            </w:r>
          </w:p>
        </w:tc>
        <w:tc>
          <w:tcPr>
            <w:tcW w:type="dxa" w:w="3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social.vote.review.hours</w:t>
            </w:r>
          </w:p>
        </w:tc>
        <w:tc>
          <w:tcPr>
            <w:tcW w:type="dxa" w:w="1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48</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24 – 96 hours</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Board approval deadline (days)</w:t>
            </w:r>
          </w:p>
        </w:tc>
        <w:tc>
          <w:tcPr>
            <w:tcW w:type="dxa" w:w="3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social.board.approval.deadline.days</w:t>
            </w:r>
          </w:p>
        </w:tc>
        <w:tc>
          <w:tcPr>
            <w:tcW w:type="dxa" w:w="1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14 days</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7 – 30 days</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Board default signal threshold %</w:t>
            </w:r>
          </w:p>
        </w:tc>
        <w:tc>
          <w:tcPr>
            <w:tcW w:type="dxa" w:w="3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social.board.default.signal.bps</w:t>
            </w:r>
          </w:p>
        </w:tc>
        <w:tc>
          <w:tcPr>
            <w:tcW w:type="dxa" w:w="1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1000 (10%)</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500 – 2000 bps</w:t>
            </w:r>
          </w:p>
        </w:tc>
      </w:tr>
      <w:tr>
        <w:tc>
          <w:tcPr>
            <w:tcW w:type="dxa" w:w="30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 multisig M (min sigs)</w:t>
            </w:r>
          </w:p>
        </w:tc>
        <w:tc>
          <w:tcPr>
            <w:tcW w:type="dxa" w:w="3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social.board.multisig.m</w:t>
            </w:r>
          </w:p>
        </w:tc>
        <w:tc>
          <w:tcPr>
            <w:tcW w:type="dxa" w:w="156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Per PADU-GOV-01</w:t>
            </w:r>
          </w:p>
        </w:tc>
        <w:tc>
          <w:tcPr>
            <w:tcW w:type="dxa" w:w="1400"/>
            <w:tcBorders>
              <w:top w:val="single" w:color="C0D4C8" w:sz="1"/>
              <w:left w:val="single" w:color="C0D4C8" w:sz="1"/>
              <w:bottom w:val="single" w:color="C0D4C8" w:sz="1"/>
              <w:right w:val="single" w:color="C0D4C8" w:sz="1"/>
            </w:tcBorders>
            <w:shd w:fill="FFFFFF"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Updatable by Protocol Chamber</w:t>
            </w:r>
          </w:p>
        </w:tc>
      </w:tr>
      <w:tr>
        <w:tc>
          <w:tcPr>
            <w:tcW w:type="dxa" w:w="30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NGO Board multisig N (total)</w:t>
            </w:r>
          </w:p>
        </w:tc>
        <w:tc>
          <w:tcPr>
            <w:tcW w:type="dxa" w:w="3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social.board.multisig.n</w:t>
            </w:r>
          </w:p>
        </w:tc>
        <w:tc>
          <w:tcPr>
            <w:tcW w:type="dxa" w:w="156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Per PADU-GOV-01</w:t>
            </w:r>
          </w:p>
        </w:tc>
        <w:tc>
          <w:tcPr>
            <w:tcW w:type="dxa" w:w="1400"/>
            <w:tcBorders>
              <w:top w:val="single" w:color="C0D4C8" w:sz="1"/>
              <w:left w:val="single" w:color="C0D4C8" w:sz="1"/>
              <w:bottom w:val="single" w:color="C0D4C8" w:sz="1"/>
              <w:right w:val="single" w:color="C0D4C8" w:sz="1"/>
            </w:tcBorders>
            <w:shd w:fill="F4F8F5" w:val="clear"/>
            <w:tcMar>
              <w:top w:type="dxa" w:w="80"/>
              <w:left w:type="dxa" w:w="130"/>
              <w:bottom w:type="dxa" w:w="80"/>
              <w:right w:type="dxa" w:w="130"/>
            </w:tcMar>
          </w:tcPr>
          <w:p>
            <w:pPr>
              <w:jc w:val="both"/>
            </w:pPr>
            <w:r>
              <w:rPr>
                <w:rFonts w:ascii="Arial" w:cs="Arial" w:eastAsia="Arial" w:hAnsi="Arial"/>
                <w:b w:val="false"/>
                <w:bCs w:val="false"/>
                <w:i w:val="false"/>
                <w:iCs w:val="false"/>
                <w:color w:val="1A2420"/>
                <w:sz w:val="19"/>
                <w:szCs w:val="19"/>
              </w:rPr>
              <w:t xml:space="preserve">Updatable by Protocol Chamber</w:t>
            </w:r>
          </w:p>
        </w:tc>
      </w:tr>
    </w:tbl>
    <w:p>
      <w:pPr>
        <w:spacing w:before="0" w:after="300"/>
      </w:pPr>
    </w:p>
    <w:p>
      <w:pPr>
        <w:pBdr>
          <w:bottom w:val="single" w:color="2A8C4A" w:sz="8" w:space="1"/>
        </w:pBdr>
        <w:spacing w:before="0" w:after="160"/>
      </w:pPr>
    </w:p>
    <w:p>
      <w:pPr>
        <w:spacing w:before="60" w:after="120"/>
        <w:jc w:val="both"/>
      </w:pPr>
      <w:r>
        <w:rPr>
          <w:rFonts w:ascii="Arial" w:cs="Arial" w:eastAsia="Arial" w:hAnsi="Arial"/>
          <w:b w:val="false"/>
          <w:bCs w:val="false"/>
          <w:i/>
          <w:iCs/>
          <w:color w:val="888888"/>
          <w:sz w:val="22"/>
          <w:szCs w:val="22"/>
        </w:rPr>
        <w:t xml:space="preserve">End of PADU-TECH-03A. Companion document: PADU-TECH-03B — Remunerative Reserve &amp; Solidarity Dividend Engine.</w:t>
      </w:r>
    </w:p>
    <w:p>
      <w:pPr>
        <w:spacing w:before="60" w:after="120"/>
        <w:jc w:val="both"/>
      </w:pPr>
      <w:r>
        <w:rPr>
          <w:rFonts w:ascii="Arial" w:cs="Arial" w:eastAsia="Arial" w:hAnsi="Arial"/>
          <w:b w:val="false"/>
          <w:bCs w:val="false"/>
          <w:i/>
          <w:iCs/>
          <w:color w:val="888888"/>
          <w:sz w:val="22"/>
          <w:szCs w:val="22"/>
        </w:rPr>
        <w:t xml:space="preserve">Document maintained by the PADU Core Engineering Working Group. All sections subject to revision following Protocol Chamber formation.</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4C8" w:sz="4" w:space="1"/>
      </w:pBdr>
      <w:spacing w:before="80"/>
      <w:jc w:val="center"/>
    </w:pPr>
    <w:r>
      <w:rPr>
        <w:rFonts w:ascii="Arial" w:cs="Arial" w:eastAsia="Arial" w:hAnsi="Arial"/>
        <w:b w:val="false"/>
        <w:bCs w:val="false"/>
        <w:i w:val="false"/>
        <w:iCs w:val="false"/>
        <w:color w:val="888888"/>
        <w:sz w:val="16"/>
        <w:szCs w:val="16"/>
      </w:rPr>
      <w:t xml:space="preserve">PADU-TECH-03A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D4C8" w:sz="4" w:space="1"/>
      </w:pBdr>
      <w:spacing w:before="0" w:after="80"/>
    </w:pPr>
    <w:r>
      <w:rPr>
        <w:rFonts w:ascii="Arial" w:cs="Arial" w:eastAsia="Arial" w:hAnsi="Arial"/>
        <w:b w:val="false"/>
        <w:bCs w:val="false"/>
        <w:i w:val="false"/>
        <w:iCs w:val="false"/>
        <w:color w:val="888888"/>
        <w:sz w:val="16"/>
        <w:szCs w:val="16"/>
      </w:rPr>
      <w:t xml:space="preserve">PADU — Technical Specification v0.1  |  </w:t>
    </w:r>
    <w:r>
      <w:rPr>
        <w:rFonts w:ascii="Arial" w:cs="Arial" w:eastAsia="Arial" w:hAnsi="Arial"/>
        <w:b w:val="false"/>
        <w:bCs w:val="false"/>
        <w:i/>
        <w:iCs/>
        <w:color w:val="888888"/>
        <w:sz w:val="16"/>
        <w:szCs w:val="16"/>
      </w:rPr>
      <w:t xml:space="preserve">Module 03-A — Social Chamber: Social Fund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20"/>
      <w:outlineLvl w:val="0"/>
    </w:pPr>
    <w:rPr>
      <w:rFonts w:ascii="Arial" w:cs="Arial" w:eastAsia="Arial" w:hAnsi="Arial"/>
      <w:b/>
      <w:bCs/>
      <w:color w:val="0A2E1A"/>
      <w:sz w:val="30"/>
      <w:szCs w:val="30"/>
    </w:rPr>
  </w:style>
  <w:style w:type="paragraph" w:styleId="Heading2">
    <w:name w:val="Heading 2"/>
    <w:basedOn w:val="Normal"/>
    <w:next w:val="Normal"/>
    <w:qFormat/>
    <w:pPr>
      <w:spacing w:before="320" w:after="80"/>
      <w:outlineLvl w:val="1"/>
    </w:pPr>
    <w:rPr>
      <w:rFonts w:ascii="Arial" w:cs="Arial" w:eastAsia="Arial" w:hAnsi="Arial"/>
      <w:b/>
      <w:bCs/>
      <w:color w:val="1A5C2E"/>
      <w:sz w:val="25"/>
      <w:szCs w:val="25"/>
    </w:rPr>
  </w:style>
  <w:style w:type="paragraph" w:styleId="Heading3">
    <w:name w:val="Heading 3"/>
    <w:basedOn w:val="Normal"/>
    <w:next w:val="Normal"/>
    <w:qFormat/>
    <w:pPr>
      <w:spacing w:before="240" w:after="60"/>
      <w:outlineLvl w:val="2"/>
    </w:pPr>
    <w:rPr>
      <w:rFonts w:ascii="Arial" w:cs="Arial" w:eastAsia="Arial" w:hAnsi="Arial"/>
      <w:b/>
      <w:bCs/>
      <w:color w:val="1A6B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2026-03-13T03:02:33.812Z</dcterms:created>
  <dcterms:modified xsi:type="dcterms:W3CDTF">2026-03-13T03:02:33.813Z</dcterms:modified>
</cp:coreProperties>
</file>

<file path=docProps/custom.xml><?xml version="1.0" encoding="utf-8"?>
<Properties xmlns="http://schemas.openxmlformats.org/officeDocument/2006/custom-properties" xmlns:vt="http://schemas.openxmlformats.org/officeDocument/2006/docPropsVTypes"/>
</file>