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A1A7A" w:sz="24" w:space="1"/>
        </w:pBdr>
        <w:spacing w:before="200" w:after="0"/>
      </w:pPr>
    </w:p>
    <w:p>
      <w:pPr>
        <w:spacing w:before="0" w:after="240"/>
      </w:pPr>
    </w:p>
    <w:p>
      <w:pPr>
        <w:jc w:val="center"/>
      </w:pPr>
      <w:r>
        <w:rPr>
          <w:rFonts w:ascii="Arial" w:cs="Arial" w:eastAsia="Arial" w:hAnsi="Arial"/>
          <w:b/>
          <w:bCs/>
          <w:i w:val="false"/>
          <w:iCs w:val="false"/>
          <w:color w:val="4A1A7A"/>
          <w:sz w:val="20"/>
          <w:szCs w:val="20"/>
        </w:rPr>
        <w:t xml:space="preserve">TECHNICAL SPECIFICATION</w:t>
      </w:r>
    </w:p>
    <w:p>
      <w:pPr>
        <w:spacing w:before="0" w:after="60"/>
      </w:pPr>
    </w:p>
    <w:p>
      <w:pPr>
        <w:jc w:val="center"/>
      </w:pPr>
      <w:r>
        <w:rPr>
          <w:rFonts w:ascii="Arial" w:cs="Arial" w:eastAsia="Arial" w:hAnsi="Arial"/>
          <w:b/>
          <w:bCs/>
          <w:i w:val="false"/>
          <w:iCs w:val="false"/>
          <w:color w:val="0D2137"/>
          <w:sz w:val="44"/>
          <w:szCs w:val="44"/>
        </w:rPr>
        <w:t xml:space="preserve">Pan-African Digital Unit (PADU)</w:t>
      </w:r>
    </w:p>
    <w:p>
      <w:pPr>
        <w:spacing w:before="0" w:after="60"/>
      </w:pPr>
    </w:p>
    <w:p>
      <w:pPr>
        <w:jc w:val="center"/>
      </w:pPr>
      <w:r>
        <w:rPr>
          <w:rFonts w:ascii="Arial" w:cs="Arial" w:eastAsia="Arial" w:hAnsi="Arial"/>
          <w:b/>
          <w:bCs/>
          <w:i w:val="false"/>
          <w:iCs w:val="false"/>
          <w:color w:val="1A4A7A"/>
          <w:sz w:val="28"/>
          <w:szCs w:val="28"/>
        </w:rPr>
        <w:t xml:space="preserve">Module 02 — Protocol Chamber Architecture</w:t>
      </w:r>
    </w:p>
    <w:p>
      <w:pPr>
        <w:spacing w:before="0" w:after="30"/>
      </w:pPr>
    </w:p>
    <w:p>
      <w:pPr>
        <w:jc w:val="center"/>
      </w:pPr>
      <w:r>
        <w:rPr>
          <w:rFonts w:ascii="Arial" w:cs="Arial" w:eastAsia="Arial" w:hAnsi="Arial"/>
          <w:b w:val="false"/>
          <w:bCs w:val="false"/>
          <w:i/>
          <w:iCs/>
          <w:color w:val="4A1A7A"/>
          <w:sz w:val="22"/>
          <w:szCs w:val="22"/>
        </w:rPr>
        <w:t xml:space="preserve">Decentralized Governance Engine, User Ratification System &amp; Amendment Lifecycle</w:t>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0D2137"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Document ID</w:t>
            </w:r>
          </w:p>
        </w:tc>
        <w:tc>
          <w:tcPr>
            <w:tcW w:type="dxa" w:w="7360"/>
            <w:tcBorders>
              <w:top w:val="single" w:color="FFFFFF" w:sz="1"/>
              <w:left w:val="single" w:color="FFFFFF" w:sz="1"/>
              <w:bottom w:val="single" w:color="FFFFFF" w:sz="1"/>
              <w:right w:val="single" w:color="FFFFFF" w:sz="1"/>
            </w:tcBorders>
            <w:shd w:fill="F5F6FA" w:val="clear"/>
            <w:tcMar>
              <w:top w:type="dxa" w:w="80"/>
              <w:left w:type="dxa" w:w="140"/>
              <w:bottom w:type="dxa" w:w="80"/>
              <w:right w:type="dxa" w:w="140"/>
            </w:tcMar>
          </w:tcPr>
          <w:p>
            <w:r>
              <w:rPr>
                <w:rFonts w:ascii="Arial" w:cs="Arial" w:eastAsia="Arial" w:hAnsi="Arial"/>
                <w:b w:val="false"/>
                <w:bCs w:val="false"/>
                <w:i w:val="false"/>
                <w:iCs w:val="false"/>
                <w:color w:val="1A1A2E"/>
                <w:sz w:val="19"/>
                <w:szCs w:val="19"/>
              </w:rPr>
              <w:t xml:space="preserve">PADU-TECH-02</w:t>
            </w:r>
          </w:p>
        </w:tc>
      </w:tr>
      <w:tr>
        <w:tc>
          <w:tcPr>
            <w:tcW w:type="dxa" w:w="2000"/>
            <w:tcBorders>
              <w:top w:val="single" w:color="FFFFFF" w:sz="1"/>
              <w:left w:val="single" w:color="FFFFFF" w:sz="1"/>
              <w:bottom w:val="single" w:color="FFFFFF" w:sz="1"/>
              <w:right w:val="single" w:color="FFFFFF" w:sz="1"/>
            </w:tcBorders>
            <w:shd w:fill="0D2137"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Version</w:t>
            </w:r>
          </w:p>
        </w:tc>
        <w:tc>
          <w:tcPr>
            <w:tcW w:type="dxa" w:w="736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2E"/>
                <w:sz w:val="19"/>
                <w:szCs w:val="19"/>
              </w:rPr>
              <w:t xml:space="preserve">0.1 — Initial Draft</w:t>
            </w:r>
          </w:p>
        </w:tc>
      </w:tr>
      <w:tr>
        <w:tc>
          <w:tcPr>
            <w:tcW w:type="dxa" w:w="2000"/>
            <w:tcBorders>
              <w:top w:val="single" w:color="FFFFFF" w:sz="1"/>
              <w:left w:val="single" w:color="FFFFFF" w:sz="1"/>
              <w:bottom w:val="single" w:color="FFFFFF" w:sz="1"/>
              <w:right w:val="single" w:color="FFFFFF" w:sz="1"/>
            </w:tcBorders>
            <w:shd w:fill="0D2137"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Status</w:t>
            </w:r>
          </w:p>
        </w:tc>
        <w:tc>
          <w:tcPr>
            <w:tcW w:type="dxa" w:w="7360"/>
            <w:tcBorders>
              <w:top w:val="single" w:color="FFFFFF" w:sz="1"/>
              <w:left w:val="single" w:color="FFFFFF" w:sz="1"/>
              <w:bottom w:val="single" w:color="FFFFFF" w:sz="1"/>
              <w:right w:val="single" w:color="FFFFFF" w:sz="1"/>
            </w:tcBorders>
            <w:shd w:fill="F5F6FA" w:val="clear"/>
            <w:tcMar>
              <w:top w:type="dxa" w:w="80"/>
              <w:left w:type="dxa" w:w="140"/>
              <w:bottom w:type="dxa" w:w="80"/>
              <w:right w:type="dxa" w:w="140"/>
            </w:tcMar>
          </w:tcPr>
          <w:p>
            <w:r>
              <w:rPr>
                <w:rFonts w:ascii="Arial" w:cs="Arial" w:eastAsia="Arial" w:hAnsi="Arial"/>
                <w:b w:val="false"/>
                <w:bCs w:val="false"/>
                <w:i w:val="false"/>
                <w:iCs w:val="false"/>
                <w:color w:val="1A1A2E"/>
                <w:sz w:val="19"/>
                <w:szCs w:val="19"/>
              </w:rPr>
              <w:t xml:space="preserve">For Internal Review — Not for Public Distribution</w:t>
            </w:r>
          </w:p>
        </w:tc>
      </w:tr>
      <w:tr>
        <w:tc>
          <w:tcPr>
            <w:tcW w:type="dxa" w:w="2000"/>
            <w:tcBorders>
              <w:top w:val="single" w:color="FFFFFF" w:sz="1"/>
              <w:left w:val="single" w:color="FFFFFF" w:sz="1"/>
              <w:bottom w:val="single" w:color="FFFFFF" w:sz="1"/>
              <w:right w:val="single" w:color="FFFFFF" w:sz="1"/>
            </w:tcBorders>
            <w:shd w:fill="0D2137"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Audience</w:t>
            </w:r>
          </w:p>
        </w:tc>
        <w:tc>
          <w:tcPr>
            <w:tcW w:type="dxa" w:w="736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2E"/>
                <w:sz w:val="19"/>
                <w:szCs w:val="19"/>
              </w:rPr>
              <w:t xml:space="preserve">Protocol Engineers, Smart Contract Developers, Security Architects</w:t>
            </w:r>
          </w:p>
        </w:tc>
      </w:tr>
      <w:tr>
        <w:tc>
          <w:tcPr>
            <w:tcW w:type="dxa" w:w="2000"/>
            <w:tcBorders>
              <w:top w:val="single" w:color="FFFFFF" w:sz="1"/>
              <w:left w:val="single" w:color="FFFFFF" w:sz="1"/>
              <w:bottom w:val="single" w:color="FFFFFF" w:sz="1"/>
              <w:right w:val="single" w:color="FFFFFF" w:sz="1"/>
            </w:tcBorders>
            <w:shd w:fill="0D2137"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Depends on</w:t>
            </w:r>
          </w:p>
        </w:tc>
        <w:tc>
          <w:tcPr>
            <w:tcW w:type="dxa" w:w="7360"/>
            <w:tcBorders>
              <w:top w:val="single" w:color="FFFFFF" w:sz="1"/>
              <w:left w:val="single" w:color="FFFFFF" w:sz="1"/>
              <w:bottom w:val="single" w:color="FFFFFF" w:sz="1"/>
              <w:right w:val="single" w:color="FFFFFF" w:sz="1"/>
            </w:tcBorders>
            <w:shd w:fill="F5F6FA" w:val="clear"/>
            <w:tcMar>
              <w:top w:type="dxa" w:w="80"/>
              <w:left w:type="dxa" w:w="140"/>
              <w:bottom w:type="dxa" w:w="80"/>
              <w:right w:type="dxa" w:w="140"/>
            </w:tcMar>
          </w:tcPr>
          <w:p>
            <w:r>
              <w:rPr>
                <w:rFonts w:ascii="Arial" w:cs="Arial" w:eastAsia="Arial" w:hAnsi="Arial"/>
                <w:b w:val="false"/>
                <w:bCs w:val="false"/>
                <w:i w:val="false"/>
                <w:iCs w:val="false"/>
                <w:color w:val="1A1A2E"/>
                <w:sz w:val="19"/>
                <w:szCs w:val="19"/>
              </w:rPr>
              <w:t xml:space="preserve">PADU-TECH-01 (Wallet &amp; Identity Layer) — must be read first</w:t>
            </w:r>
          </w:p>
        </w:tc>
      </w:tr>
      <w:tr>
        <w:tc>
          <w:tcPr>
            <w:tcW w:type="dxa" w:w="2000"/>
            <w:tcBorders>
              <w:top w:val="single" w:color="FFFFFF" w:sz="1"/>
              <w:left w:val="single" w:color="FFFFFF" w:sz="1"/>
              <w:bottom w:val="single" w:color="FFFFFF" w:sz="1"/>
              <w:right w:val="single" w:color="FFFFFF" w:sz="1"/>
            </w:tcBorders>
            <w:shd w:fill="0D2137"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Next module</w:t>
            </w:r>
          </w:p>
        </w:tc>
        <w:tc>
          <w:tcPr>
            <w:tcW w:type="dxa" w:w="736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2E"/>
                <w:sz w:val="19"/>
                <w:szCs w:val="19"/>
              </w:rPr>
              <w:t xml:space="preserve">PADU-TECH-03 (Social Chamber, DAO &amp; Solidarity Dividend)</w:t>
            </w:r>
          </w:p>
        </w:tc>
      </w:tr>
      <w:tr>
        <w:tc>
          <w:tcPr>
            <w:tcW w:type="dxa" w:w="2000"/>
            <w:tcBorders>
              <w:top w:val="single" w:color="FFFFFF" w:sz="1"/>
              <w:left w:val="single" w:color="FFFFFF" w:sz="1"/>
              <w:bottom w:val="single" w:color="FFFFFF" w:sz="1"/>
              <w:right w:val="single" w:color="FFFFFF" w:sz="1"/>
            </w:tcBorders>
            <w:shd w:fill="0D2137"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Core guarantee</w:t>
            </w:r>
          </w:p>
        </w:tc>
        <w:tc>
          <w:tcPr>
            <w:tcW w:type="dxa" w:w="7360"/>
            <w:tcBorders>
              <w:top w:val="single" w:color="FFFFFF" w:sz="1"/>
              <w:left w:val="single" w:color="FFFFFF" w:sz="1"/>
              <w:bottom w:val="single" w:color="FFFFFF" w:sz="1"/>
              <w:right w:val="single" w:color="FFFFFF" w:sz="1"/>
            </w:tcBorders>
            <w:shd w:fill="F5F6FA" w:val="clear"/>
            <w:tcMar>
              <w:top w:type="dxa" w:w="80"/>
              <w:left w:type="dxa" w:w="140"/>
              <w:bottom w:type="dxa" w:w="80"/>
              <w:right w:type="dxa" w:w="140"/>
            </w:tcMar>
          </w:tcPr>
          <w:p>
            <w:r>
              <w:rPr>
                <w:rFonts w:ascii="Arial" w:cs="Arial" w:eastAsia="Arial" w:hAnsi="Arial"/>
                <w:b w:val="false"/>
                <w:bCs w:val="false"/>
                <w:i w:val="false"/>
                <w:iCs w:val="false"/>
                <w:color w:val="1A1A2E"/>
                <w:sz w:val="19"/>
                <w:szCs w:val="19"/>
              </w:rPr>
              <w:t xml:space="preserve">No protocol parameter may change without 60% active-wallet user ratification and a 5-year minimum inter-amendment interval</w:t>
            </w:r>
          </w:p>
        </w:tc>
      </w:tr>
    </w:tbl>
    <w:p>
      <w:pPr>
        <w:spacing w:before="0" w:after="300"/>
      </w:pPr>
    </w:p>
    <w:p>
      <w:pPr>
        <w:pBdr>
          <w:bottom w:val="single" w:color="4A1A7A" w:sz="24" w:space="1"/>
        </w:pBdr>
        <w:spacing w:before="0" w:after="0"/>
      </w:pPr>
    </w:p>
    <w:p>
      <w:pPr>
        <w:pStyle w:val="Heading1"/>
        <w:spacing w:before="520" w:after="120"/>
      </w:pPr>
      <w:r>
        <w:rPr>
          <w:rFonts w:ascii="Arial" w:cs="Arial" w:eastAsia="Arial" w:hAnsi="Arial"/>
          <w:b/>
          <w:bCs/>
          <w:i w:val="false"/>
          <w:iCs w:val="false"/>
          <w:color w:val="0D2137"/>
          <w:sz w:val="30"/>
          <w:szCs w:val="30"/>
        </w:rPr>
        <w:t xml:space="preserve">0. Design Philosophy: Governance Without Capture</w:t>
      </w:r>
    </w:p>
    <w:p>
      <w:pPr>
        <w:pBdr>
          <w:bottom w:val="single" w:color="4A1A7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The central tension this module resolves is fundamental to the entire PADU project: any mechanism capable of updating the protocol is, by definition, a mechanism that could be used to attack it. A governance system powerful enough to correct errors and evolve the protocol is equally powerful enough to corrupt it if captured.</w:t>
      </w:r>
    </w:p>
    <w:p>
      <w:pPr>
        <w:spacing w:before="60" w:after="120"/>
        <w:jc w:val="both"/>
      </w:pPr>
      <w:r>
        <w:rPr>
          <w:rFonts w:ascii="Arial" w:cs="Arial" w:eastAsia="Arial" w:hAnsi="Arial"/>
          <w:b w:val="false"/>
          <w:bCs w:val="false"/>
          <w:i w:val="false"/>
          <w:iCs w:val="false"/>
          <w:color w:val="1A1A2E"/>
          <w:sz w:val="22"/>
          <w:szCs w:val="22"/>
        </w:rPr>
        <w:t xml:space="preserve">The Protocol Chamber is therefore not a body of authority — it is a constrained procedure. It cannot be initiated from outside the protocol. It cannot run at arbitrary times. It cannot impose changes that users have not explicitly, individually, and deliberately ratified. And it cannot be invoked again until years have passed since the last amendment. These are not policy preferences; they are cryptographic and architectural guarantees enforced at the consensus layer.</w:t>
      </w:r>
    </w:p>
    <w:p>
      <w:pPr>
        <w:spacing w:before="60" w:after="120"/>
        <w:jc w:val="both"/>
      </w:pPr>
      <w:r>
        <w:rPr>
          <w:rFonts w:ascii="Arial" w:cs="Arial" w:eastAsia="Arial" w:hAnsi="Arial"/>
          <w:b w:val="false"/>
          <w:bCs w:val="false"/>
          <w:i w:val="false"/>
          <w:iCs w:val="false"/>
          <w:color w:val="1A1A2E"/>
          <w:sz w:val="22"/>
          <w:szCs w:val="22"/>
        </w:rPr>
        <w:t xml:space="preserve">The design follows four inviolable axioms: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Axiom</w:t>
            </w:r>
          </w:p>
        </w:tc>
        <w:tc>
          <w:tcPr>
            <w:tcW w:type="dxa" w:w="42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Statement</w:t>
            </w:r>
          </w:p>
        </w:tc>
        <w:tc>
          <w:tcPr>
            <w:tcW w:type="dxa" w:w="37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How it is enforced</w:t>
            </w:r>
          </w:p>
        </w:tc>
      </w:tr>
      <w:tr>
        <w:tc>
          <w:tcPr>
            <w:tcW w:type="dxa" w:w="1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Inertia</w:t>
            </w:r>
          </w:p>
        </w:tc>
        <w:tc>
          <w:tcPr>
            <w:tcW w:type="dxa" w:w="4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The default state of the protocol is unchanged. Change requires energy; stasis does not.</w:t>
            </w:r>
          </w:p>
        </w:tc>
        <w:tc>
          <w:tcPr>
            <w:tcW w:type="dxa" w:w="37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Amendment windows open only by wallet-time consensus. No window = no change possible.</w:t>
            </w:r>
          </w:p>
        </w:tc>
      </w:tr>
      <w:tr>
        <w:tc>
          <w:tcPr>
            <w:tcW w:type="dxa" w:w="1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Delay</w:t>
            </w:r>
          </w:p>
        </w:tc>
        <w:tc>
          <w:tcPr>
            <w:tcW w:type="dxa" w:w="4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 minimum of 5 years must separate any two ratified amendments.</w:t>
            </w:r>
          </w:p>
        </w:tc>
        <w:tc>
          <w:tcPr>
            <w:tcW w:type="dxa" w:w="37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Hardcoded cooldown in the Governance Timelock Contract. Cannot be overridden.</w:t>
            </w:r>
          </w:p>
        </w:tc>
      </w:tr>
      <w:tr>
        <w:tc>
          <w:tcPr>
            <w:tcW w:type="dxa" w:w="1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Supermajority</w:t>
            </w:r>
          </w:p>
        </w:tc>
        <w:tc>
          <w:tcPr>
            <w:tcW w:type="dxa" w:w="4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60% of active wallets must explicitly approve. Silence is not consent.</w:t>
            </w:r>
          </w:p>
        </w:tc>
        <w:tc>
          <w:tcPr>
            <w:tcW w:type="dxa" w:w="37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On-chain vote tally. Transaction inclusion is rejected until threshold is met and recorded.</w:t>
            </w:r>
          </w:p>
        </w:tc>
      </w:tr>
      <w:tr>
        <w:tc>
          <w:tcPr>
            <w:tcW w:type="dxa" w:w="1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Immutability</w:t>
            </w:r>
          </w:p>
        </w:tc>
        <w:tc>
          <w:tcPr>
            <w:tcW w:type="dxa" w:w="4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Once ratified, an amendment is written to the chain and becomes the new baseline.  A failed vote leaves the chain untouched.</w:t>
            </w:r>
          </w:p>
        </w:tc>
        <w:tc>
          <w:tcPr>
            <w:tcW w:type="dxa" w:w="37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Amendment state machine has no rollback path from FAILED. Old parameters remain active.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20"/>
              <w:bottom w:val="single" w:color="7A1A1A" w:sz="1"/>
              <w:right w:val="single" w:color="C8D0DF" w:sz="1"/>
            </w:tcBorders>
            <w:shd w:fill="FFF0F0" w:val="clear"/>
            <w:tcMar>
              <w:top w:type="dxa" w:w="100"/>
              <w:left w:type="dxa" w:w="200"/>
              <w:bottom w:type="dxa" w:w="100"/>
              <w:right w:type="dxa" w:w="200"/>
            </w:tcMar>
          </w:tcPr>
          <w:p>
            <w:pPr>
              <w:spacing w:before="0" w:after="60"/>
            </w:pPr>
            <w:r>
              <w:rPr>
                <w:rFonts w:ascii="Arial" w:cs="Arial" w:eastAsia="Arial" w:hAnsi="Arial"/>
                <w:b/>
                <w:bCs/>
                <w:i w:val="false"/>
                <w:iCs w:val="false"/>
                <w:color w:val="7A1A1A"/>
                <w:sz w:val="20"/>
                <w:szCs w:val="20"/>
              </w:rPr>
              <w:t xml:space="preserve">CRITICAL SECURITY PRINCIPLE</w:t>
            </w:r>
          </w:p>
          <w:p>
            <w:pPr>
              <w:spacing w:before="0" w:after="0"/>
              <w:jc w:val="both"/>
            </w:pPr>
            <w:r>
              <w:rPr>
                <w:rFonts w:ascii="Arial" w:cs="Arial" w:eastAsia="Arial" w:hAnsi="Arial"/>
                <w:b w:val="false"/>
                <w:bCs w:val="false"/>
                <w:i w:val="false"/>
                <w:iCs w:val="false"/>
                <w:color w:val="1A1A2E"/>
                <w:sz w:val="20"/>
                <w:szCs w:val="20"/>
              </w:rPr>
              <w:t xml:space="preserve">The Protocol Chamber smart contracts are themselves immutable after deployment. The governance system cannot govern itself — it cannot be used to change voting thresholds, cooldown periods, or the ratification mechanism. These parameters are hardcoded at deployment and can only be changed by deploying a new contract and migrating through a full social consensus process outside the protocol. This is intentional.</w:t>
            </w:r>
          </w:p>
        </w:tc>
      </w:tr>
    </w:tbl>
    <w:p>
      <w:pPr>
        <w:pStyle w:val="Heading1"/>
        <w:spacing w:before="520" w:after="120"/>
      </w:pPr>
      <w:r>
        <w:rPr>
          <w:rFonts w:ascii="Arial" w:cs="Arial" w:eastAsia="Arial" w:hAnsi="Arial"/>
          <w:b/>
          <w:bCs/>
          <w:i w:val="false"/>
          <w:iCs w:val="false"/>
          <w:color w:val="0D2137"/>
          <w:sz w:val="30"/>
          <w:szCs w:val="30"/>
        </w:rPr>
        <w:t xml:space="preserve">1. System Components Overview</w:t>
      </w:r>
    </w:p>
    <w:p>
      <w:pPr>
        <w:pBdr>
          <w:bottom w:val="single" w:color="4A1A7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The Protocol Chamber is composed of six on-chain contracts and one off-chain coordination layer. Together they form a closed, tamper-resistant state machine that cannot be triggered, advanced, or terminated by any external actor — only by the aggregate behavior of wallet holders.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c>
          <w:tcPr>
            <w:tcW w:type="dxa" w:w="32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Contract / Component</w:t>
            </w:r>
          </w:p>
        </w:tc>
        <w:tc>
          <w:tcPr>
            <w:tcW w:type="dxa" w:w="9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Symbol</w:t>
            </w:r>
          </w:p>
        </w:tc>
        <w:tc>
          <w:tcPr>
            <w:tcW w:type="dxa" w:w="52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Role</w:t>
            </w:r>
          </w:p>
        </w:tc>
      </w:tr>
      <w:tr>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Governance Clock Contract</w:t>
            </w:r>
          </w:p>
        </w:tc>
        <w:tc>
          <w:tcPr>
            <w:tcW w:type="dxa" w:w="9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GCC</w:t>
            </w:r>
          </w:p>
        </w:tc>
        <w:tc>
          <w:tcPr>
            <w:tcW w:type="dxa" w:w="52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Tracks the last ratified amendment timestamp. Enforces the 5-year cooldown. The single source of truth for whether an amendment window is legally openable.</w:t>
            </w:r>
          </w:p>
        </w:tc>
      </w:tr>
      <w:tr>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Window Consensus Contract</w:t>
            </w:r>
          </w:p>
        </w:tc>
        <w:tc>
          <w:tcPr>
            <w:tcW w:type="dxa" w:w="9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WCC</w:t>
            </w:r>
          </w:p>
        </w:tc>
        <w:tc>
          <w:tcPr>
            <w:tcW w:type="dxa" w:w="52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Accumulates wallet-timestamped signals to open an amendment window. Window opens only when a threshold of wallets have signaled within a defined rolling period.</w:t>
            </w:r>
          </w:p>
        </w:tc>
      </w:tr>
      <w:tr>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Proposal Registry Contract</w:t>
            </w:r>
          </w:p>
        </w:tc>
        <w:tc>
          <w:tcPr>
            <w:tcW w:type="dxa" w:w="9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PRC</w:t>
            </w:r>
          </w:p>
        </w:tc>
        <w:tc>
          <w:tcPr>
            <w:tcW w:type="dxa" w:w="52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Receives, stores, and fingerprints amendment proposals. Enforces proposal format. Dispatches proposal hashes to all registered wallets.</w:t>
            </w:r>
          </w:p>
        </w:tc>
      </w:tr>
      <w:tr>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Ratification Vote Contract</w:t>
            </w:r>
          </w:p>
        </w:tc>
        <w:tc>
          <w:tcPr>
            <w:tcW w:type="dxa" w:w="9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RVC</w:t>
            </w:r>
          </w:p>
        </w:tc>
        <w:tc>
          <w:tcPr>
            <w:tcW w:type="dxa" w:w="52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Collects explicit per-wallet votes (APPROVE / REJECT / ABSTAIN). Enforces the 60% approval threshold against active wallet count. Cannot be called before proposal dispatch is complete.</w:t>
            </w:r>
          </w:p>
        </w:tc>
      </w:tr>
      <w:tr>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Amendment Execution Contract</w:t>
            </w:r>
          </w:p>
        </w:tc>
        <w:tc>
          <w:tcPr>
            <w:tcW w:type="dxa" w:w="9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AEC</w:t>
            </w:r>
          </w:p>
        </w:tc>
        <w:tc>
          <w:tcPr>
            <w:tcW w:type="dxa" w:w="52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Executes parameter changes on-chain only after RVC confirms threshold reached. Has write authority over the Parameter Registry. Writes the amendment record to the immutable Amendment Ledger.</w:t>
            </w:r>
          </w:p>
        </w:tc>
      </w:tr>
      <w:tr>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Amendment Ledger</w:t>
            </w:r>
          </w:p>
        </w:tc>
        <w:tc>
          <w:tcPr>
            <w:tcW w:type="dxa" w:w="9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AL</w:t>
            </w:r>
          </w:p>
        </w:tc>
        <w:tc>
          <w:tcPr>
            <w:tcW w:type="dxa" w:w="52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Append-only on-chain record of all ratified amendments. Each entry is a permanent, timestamped, hash-anchored record of what changed and what the vote result was.</w:t>
            </w:r>
          </w:p>
        </w:tc>
      </w:tr>
      <w:tr>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Proposal Dispatch Service (off-chain)</w:t>
            </w:r>
          </w:p>
        </w:tc>
        <w:tc>
          <w:tcPr>
            <w:tcW w:type="dxa" w:w="9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PDS</w:t>
            </w:r>
          </w:p>
        </w:tc>
        <w:tc>
          <w:tcPr>
            <w:tcW w:type="dxa" w:w="52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Off-chain service that pushes proposal notifications to wallet clients via push notification channels. Wallets verify dispatch proofs on-chain — this service cannot forge or withhold proposals undetected.</w:t>
            </w:r>
          </w:p>
        </w:tc>
      </w:tr>
    </w:tbl>
    <w:p>
      <w:pPr>
        <w:pStyle w:val="Heading1"/>
        <w:spacing w:before="520" w:after="120"/>
      </w:pPr>
      <w:r>
        <w:rPr>
          <w:rFonts w:ascii="Arial" w:cs="Arial" w:eastAsia="Arial" w:hAnsi="Arial"/>
          <w:b/>
          <w:bCs/>
          <w:i w:val="false"/>
          <w:iCs w:val="false"/>
          <w:color w:val="0D2137"/>
          <w:sz w:val="30"/>
          <w:szCs w:val="30"/>
        </w:rPr>
        <w:t xml:space="preserve">2. Amendment Lifecycle: The State Machine</w:t>
      </w:r>
    </w:p>
    <w:p>
      <w:pPr>
        <w:pBdr>
          <w:bottom w:val="single" w:color="4A1A7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An amendment progresses through exactly seven states. Transitions are irreversible except where explicitly noted. No external actor can force a transition — each transition is triggered by on-chain conditions being met.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State</w:t>
            </w:r>
          </w:p>
        </w:tc>
        <w:tc>
          <w:tcPr>
            <w:tcW w:type="dxa" w:w="24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Name</w:t>
            </w:r>
          </w:p>
        </w:tc>
        <w:tc>
          <w:tcPr>
            <w:tcW w:type="dxa" w:w="32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Entry condition</w:t>
            </w:r>
          </w:p>
        </w:tc>
        <w:tc>
          <w:tcPr>
            <w:tcW w:type="dxa" w:w="31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Exit conditions</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S0</w:t>
            </w:r>
          </w:p>
        </w:tc>
        <w:tc>
          <w:tcPr>
            <w:tcW w:type="dxa" w:w="2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DORMANT</w:t>
            </w:r>
          </w:p>
        </w:tc>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Default state. System is live. No governance activity.</w:t>
            </w:r>
          </w:p>
        </w:tc>
        <w:tc>
          <w:tcPr>
            <w:tcW w:type="dxa" w:w="3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 S1: Wallets open a Candidacy Window by consensus signal.</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S1</w:t>
            </w:r>
          </w:p>
        </w:tc>
        <w:tc>
          <w:tcPr>
            <w:tcW w:type="dxa" w:w="2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CANDIDACY WINDOW OPEN</w:t>
            </w:r>
          </w:p>
        </w:tc>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WCC receives threshold of wallet-signed open signals within the rolling window.</w:t>
            </w:r>
          </w:p>
        </w:tc>
        <w:tc>
          <w:tcPr>
            <w:tcW w:type="dxa" w:w="31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 S2: One or more valid proposals submitted before window closes.
→ S0: Window expires with no valid proposal submitted (timeout).</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S2</w:t>
            </w:r>
          </w:p>
        </w:tc>
        <w:tc>
          <w:tcPr>
            <w:tcW w:type="dxa" w:w="2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PROPOSAL SUBMITTED</w:t>
            </w:r>
          </w:p>
        </w:tc>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PRC receives a validly formatted proposal with required stake.</w:t>
            </w:r>
          </w:p>
        </w:tc>
        <w:tc>
          <w:tcPr>
            <w:tcW w:type="dxa" w:w="3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 S3: PRC confirms proposal hash dispatched to all registered wallets.
→ S0: Proposal rejected by PRC (format violation or missing stake).</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S3</w:t>
            </w:r>
          </w:p>
        </w:tc>
        <w:tc>
          <w:tcPr>
            <w:tcW w:type="dxa" w:w="2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DISPATCH CONFIRMED</w:t>
            </w:r>
          </w:p>
        </w:tc>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All registered wallets have received (or been provably offered) the proposal notification.</w:t>
            </w:r>
          </w:p>
        </w:tc>
        <w:tc>
          <w:tcPr>
            <w:tcW w:type="dxa" w:w="31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 S4: Deliberation period begins automatically after dispatch confirmation.</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S4</w:t>
            </w:r>
          </w:p>
        </w:tc>
        <w:tc>
          <w:tcPr>
            <w:tcW w:type="dxa" w:w="2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DELIBERATION PERIOD</w:t>
            </w:r>
          </w:p>
        </w:tc>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Automatic. Fixed duration (90 days). No votes accepted yet.</w:t>
            </w:r>
          </w:p>
        </w:tc>
        <w:tc>
          <w:tcPr>
            <w:tcW w:type="dxa" w:w="3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 S5: Deliberation period ends. Voting window opens automatically.</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S5</w:t>
            </w:r>
          </w:p>
        </w:tc>
        <w:tc>
          <w:tcPr>
            <w:tcW w:type="dxa" w:w="2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VOTING OPEN</w:t>
            </w:r>
          </w:p>
        </w:tc>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Automatic after deliberation ends. Fixed duration (60 days).</w:t>
            </w:r>
          </w:p>
        </w:tc>
        <w:tc>
          <w:tcPr>
            <w:tcW w:type="dxa" w:w="31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 S6: Voting window closes. RVC tallies result.
→ S5: Voting window extended once if quorum not yet reached at day 45.</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S6</w:t>
            </w:r>
          </w:p>
        </w:tc>
        <w:tc>
          <w:tcPr>
            <w:tcW w:type="dxa" w:w="2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VOTE TALLIED</w:t>
            </w:r>
          </w:p>
        </w:tc>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Voting window closes. RVC computes result.</w:t>
            </w:r>
          </w:p>
        </w:tc>
        <w:tc>
          <w:tcPr>
            <w:tcW w:type="dxa" w:w="31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 S7 RATIFIED: ≥ 60% of active wallets voted APPROVE.
→ S0 FAILED: &lt; 60% APPROVE. System unchanged. GCC is not updated.</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S7</w:t>
            </w:r>
          </w:p>
        </w:tc>
        <w:tc>
          <w:tcPr>
            <w:tcW w:type="dxa" w:w="2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RATIFIED</w:t>
            </w:r>
          </w:p>
        </w:tc>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RVC confirms 60% threshold met.</w:t>
            </w:r>
          </w:p>
        </w:tc>
        <w:tc>
          <w:tcPr>
            <w:tcW w:type="dxa" w:w="31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AEC executes parameter changes. AL records amendment. GCC resets cooldown. System returns to S0.</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20"/>
              <w:bottom w:val="single" w:color="1A4A7A" w:sz="1"/>
              <w:right w:val="single" w:color="C8D0DF" w:sz="1"/>
            </w:tcBorders>
            <w:shd w:fill="F0F4FF" w:val="clear"/>
            <w:tcMar>
              <w:top w:type="dxa" w:w="100"/>
              <w:left w:type="dxa" w:w="200"/>
              <w:bottom w:type="dxa" w:w="100"/>
              <w:right w:type="dxa" w:w="200"/>
            </w:tcMar>
          </w:tcPr>
          <w:p>
            <w:pPr>
              <w:spacing w:before="0" w:after="60"/>
            </w:pPr>
            <w:r>
              <w:rPr>
                <w:rFonts w:ascii="Arial" w:cs="Arial" w:eastAsia="Arial" w:hAnsi="Arial"/>
                <w:b/>
                <w:bCs/>
                <w:i w:val="false"/>
                <w:iCs w:val="false"/>
                <w:color w:val="1A4A7A"/>
                <w:sz w:val="20"/>
                <w:szCs w:val="20"/>
              </w:rPr>
              <w:t xml:space="preserve">ON THE 5-YEAR COOLDOWN</w:t>
            </w:r>
          </w:p>
          <w:p>
            <w:pPr>
              <w:spacing w:before="0" w:after="0"/>
              <w:jc w:val="both"/>
            </w:pPr>
            <w:r>
              <w:rPr>
                <w:rFonts w:ascii="Arial" w:cs="Arial" w:eastAsia="Arial" w:hAnsi="Arial"/>
                <w:b w:val="false"/>
                <w:bCs w:val="false"/>
                <w:i w:val="false"/>
                <w:iCs w:val="false"/>
                <w:color w:val="1A1A2E"/>
                <w:sz w:val="20"/>
                <w:szCs w:val="20"/>
              </w:rPr>
              <w:t xml:space="preserve">The GCC records the block timestamp at the moment S7 RATIFIED is reached. A new Candidacy Window (S0→S1) can only be opened if the current block timestamp exceeds the last ratification timestamp by at least 157,680,000 seconds (5 × 365.25 × 24 × 3600). This check is performed inside the WCC before it accepts any open-window signals.</w:t>
            </w:r>
          </w:p>
        </w:tc>
      </w:tr>
    </w:tbl>
    <w:p>
      <w:pPr>
        <w:pStyle w:val="Heading1"/>
        <w:spacing w:before="520" w:after="120"/>
      </w:pPr>
      <w:r>
        <w:rPr>
          <w:rFonts w:ascii="Arial" w:cs="Arial" w:eastAsia="Arial" w:hAnsi="Arial"/>
          <w:b/>
          <w:bCs/>
          <w:i w:val="false"/>
          <w:iCs w:val="false"/>
          <w:color w:val="0D2137"/>
          <w:sz w:val="30"/>
          <w:szCs w:val="30"/>
        </w:rPr>
        <w:t xml:space="preserve">3. Governance Clock Contract (GCC)</w:t>
      </w:r>
    </w:p>
    <w:p>
      <w:pPr>
        <w:pBdr>
          <w:bottom w:val="single" w:color="4A1A7A" w:sz="8" w:space="1"/>
        </w:pBdr>
        <w:spacing w:before="0" w:after="160"/>
      </w:pPr>
    </w:p>
    <w:p>
      <w:pPr>
        <w:pStyle w:val="Heading2"/>
        <w:spacing w:before="320" w:after="80"/>
      </w:pPr>
      <w:r>
        <w:rPr>
          <w:rFonts w:ascii="Arial" w:cs="Arial" w:eastAsia="Arial" w:hAnsi="Arial"/>
          <w:b/>
          <w:bCs/>
          <w:i w:val="false"/>
          <w:iCs w:val="false"/>
          <w:color w:val="1A4A7A"/>
          <w:sz w:val="25"/>
          <w:szCs w:val="25"/>
        </w:rPr>
        <w:t xml:space="preserve">3.1 Purpose and Invariants</w:t>
      </w:r>
    </w:p>
    <w:p>
      <w:pPr>
        <w:spacing w:before="60" w:after="120"/>
        <w:jc w:val="both"/>
      </w:pPr>
      <w:r>
        <w:rPr>
          <w:rFonts w:ascii="Arial" w:cs="Arial" w:eastAsia="Arial" w:hAnsi="Arial"/>
          <w:b w:val="false"/>
          <w:bCs w:val="false"/>
          <w:i w:val="false"/>
          <w:iCs w:val="false"/>
          <w:color w:val="1A1A2E"/>
          <w:sz w:val="22"/>
          <w:szCs w:val="22"/>
        </w:rPr>
        <w:t xml:space="preserve">The GCC is the protocol's memory of when governance last ran. It holds one critical value — the timestamp of the most recent ratified amendment — and provides one critical check: whether enough time has passed for governance to run again. It has no other functions.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GCC is deployed once at genesis and is immutable.</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It can be written to by exactly one address: the Amendment Execution Contract (AEC). No other address has write access.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At genesis, lastAmendmentTimestamp is set to the chain's genesis block timestamp. This means the first amendment window cannot open until 5 years after chain launch — or governance is initialized with a special genesis exception (see Section 3.3).</w:t>
      </w:r>
    </w:p>
    <w:p>
      <w:pPr>
        <w:pStyle w:val="Heading2"/>
        <w:spacing w:before="320" w:after="80"/>
      </w:pPr>
      <w:r>
        <w:rPr>
          <w:rFonts w:ascii="Arial" w:cs="Arial" w:eastAsia="Arial" w:hAnsi="Arial"/>
          <w:b/>
          <w:bCs/>
          <w:i w:val="false"/>
          <w:iCs w:val="false"/>
          <w:color w:val="1A4A7A"/>
          <w:sz w:val="25"/>
          <w:szCs w:val="25"/>
        </w:rPr>
        <w:t xml:space="preserve">3.2 Contract Specification</w:t>
      </w: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SPDX-License-Identifier: MIT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GovernanceClock.sol</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pragma solidity ^0.8.24;</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contract GovernanceClock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 CONSTANTS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public constant COOLDOWN_SECONDS = 157_680_000;  // 5 years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5 × 365.25 × 24 × 3600 = 157,680,000 seconds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This constant is hardcoded and cannot be changed after deployment.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 STATE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public lastAmendmentTimestamp;   // set at genesis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public amendmentCount;           // total ratified amendments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address public immutable aecAddress;     // only writer: AEC</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 EVENTS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event AmendmentRecorded(uint256 indexed count, uint256 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 CONSTRUCTOR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constructor(address _aec, uint256 _genesisExceptionOffset)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aecAddress = _aec;</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genesisExceptionOffset: seconds subtracted from genesis 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for Phase 1 pilot — allows first amendment in year 1 for protocol</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bootstrapping. Set to 0 for mainnet (full 5-year wait).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lastAmendmentTimestamp = block.timestamp - _genesisExceptionOffset;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amendmentCount = 0;</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 READ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@notice Returns true if the 5-year cooldown has elapsed.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isCooldownElapsed() external view returns (bool)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return block.timestamp &gt;= lastAmendmentTimestamp + COOLDOWN_SECONDS;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@notice Returns seconds remaining until governance may open.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Returns 0 if cooldown has already elapsed.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secondsUntilEligible() external view returns (uint256)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eligible = lastAmendmentTimestamp + COOLDOWN_SECONDS;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if (block.timestamp &gt;= eligible) return 0;</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return eligible - block.timestamp;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 WRITE (AEC only)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@notice Called by AEC after a successful ratification vote.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Updates the cooldown timestamp to the current block.</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recordAmendment() external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require(msg.sender == aecAddress, 'GCC: only AEC may record amendments');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lastAmendmentTimestamp = block.timestamp;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amendmentCount += 1;</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emit AmendmentRecorded(amendmentCount, block.timestamp);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bl>
    <w:p>
      <w:pPr>
        <w:pStyle w:val="Heading2"/>
        <w:spacing w:before="320" w:after="80"/>
      </w:pPr>
      <w:r>
        <w:rPr>
          <w:rFonts w:ascii="Arial" w:cs="Arial" w:eastAsia="Arial" w:hAnsi="Arial"/>
          <w:b/>
          <w:bCs/>
          <w:i w:val="false"/>
          <w:iCs w:val="false"/>
          <w:color w:val="1A4A7A"/>
          <w:sz w:val="25"/>
          <w:szCs w:val="25"/>
        </w:rPr>
        <w:t xml:space="preserve">3.3 Genesis Exception</w:t>
      </w:r>
    </w:p>
    <w:p>
      <w:pPr>
        <w:spacing w:before="60" w:after="120"/>
        <w:jc w:val="both"/>
      </w:pPr>
      <w:r>
        <w:rPr>
          <w:rFonts w:ascii="Arial" w:cs="Arial" w:eastAsia="Arial" w:hAnsi="Arial"/>
          <w:b w:val="false"/>
          <w:bCs w:val="false"/>
          <w:i w:val="false"/>
          <w:iCs w:val="false"/>
          <w:color w:val="1A1A2E"/>
          <w:sz w:val="22"/>
          <w:szCs w:val="22"/>
        </w:rPr>
        <w:t xml:space="preserve">For Phase 1 pilot deployment, the GCC constructor accepts a genesisExceptionOffset parameter. This allows the founding Protocol Chamber working group to conduct one governance cycle during the first year of operation — to correct critical issues discovered in the pilot — without waiting 5 years. For mainnet, this parameter must be set to 0. The working group's use of the genesis exception must be disclosed publicly and recorded in the Amendment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20"/>
              <w:bottom w:val="single" w:color="7A1A1A" w:sz="1"/>
              <w:right w:val="single" w:color="C8D0DF" w:sz="1"/>
            </w:tcBorders>
            <w:shd w:fill="FFF0F0" w:val="clear"/>
            <w:tcMar>
              <w:top w:type="dxa" w:w="100"/>
              <w:left w:type="dxa" w:w="200"/>
              <w:bottom w:type="dxa" w:w="100"/>
              <w:right w:type="dxa" w:w="200"/>
            </w:tcMar>
          </w:tcPr>
          <w:p>
            <w:pPr>
              <w:spacing w:before="0" w:after="60"/>
            </w:pPr>
            <w:r>
              <w:rPr>
                <w:rFonts w:ascii="Arial" w:cs="Arial" w:eastAsia="Arial" w:hAnsi="Arial"/>
                <w:b/>
                <w:bCs/>
                <w:i w:val="false"/>
                <w:iCs w:val="false"/>
                <w:color w:val="7A1A1A"/>
                <w:sz w:val="20"/>
                <w:szCs w:val="20"/>
              </w:rPr>
              <w:t xml:space="preserve">MAINNET REQUIREMENT</w:t>
            </w:r>
          </w:p>
          <w:p>
            <w:pPr>
              <w:spacing w:before="0" w:after="0"/>
              <w:jc w:val="both"/>
            </w:pPr>
            <w:r>
              <w:rPr>
                <w:rFonts w:ascii="Arial" w:cs="Arial" w:eastAsia="Arial" w:hAnsi="Arial"/>
                <w:b w:val="false"/>
                <w:bCs w:val="false"/>
                <w:i w:val="false"/>
                <w:iCs w:val="false"/>
                <w:color w:val="1A1A2E"/>
                <w:sz w:val="20"/>
                <w:szCs w:val="20"/>
              </w:rPr>
              <w:t xml:space="preserve">On mainnet deployment, genesisExceptionOffset MUST be set to 0. Any deployment with a non-zero offset must be disclosed in the public deployment manifest. Wallet clients display a warning if they detect a non-zero genesis exception on the chain they are connected to.</w:t>
            </w:r>
          </w:p>
        </w:tc>
      </w:tr>
    </w:tbl>
    <w:p>
      <w:pPr>
        <w:pStyle w:val="Heading1"/>
        <w:spacing w:before="520" w:after="120"/>
      </w:pPr>
      <w:r>
        <w:rPr>
          <w:rFonts w:ascii="Arial" w:cs="Arial" w:eastAsia="Arial" w:hAnsi="Arial"/>
          <w:b/>
          <w:bCs/>
          <w:i w:val="false"/>
          <w:iCs w:val="false"/>
          <w:color w:val="0D2137"/>
          <w:sz w:val="30"/>
          <w:szCs w:val="30"/>
        </w:rPr>
        <w:t xml:space="preserve">4. Window Consensus Contract (WCC)</w:t>
      </w:r>
    </w:p>
    <w:p>
      <w:pPr>
        <w:pBdr>
          <w:bottom w:val="single" w:color="4A1A7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The WCC is the mechanism that prevents any external actor — including the founding team, a state actor, or a well-funded adversary — from unilaterally triggering governance. The amendment window can only open when a sufficient number of regular wallets independently signal their intent, within a defined rolling time window.</w:t>
      </w:r>
    </w:p>
    <w:p>
      <w:pPr>
        <w:pStyle w:val="Heading2"/>
        <w:spacing w:before="320" w:after="80"/>
      </w:pPr>
      <w:r>
        <w:rPr>
          <w:rFonts w:ascii="Arial" w:cs="Arial" w:eastAsia="Arial" w:hAnsi="Arial"/>
          <w:b/>
          <w:bCs/>
          <w:i w:val="false"/>
          <w:iCs w:val="false"/>
          <w:color w:val="1A4A7A"/>
          <w:sz w:val="25"/>
          <w:szCs w:val="25"/>
        </w:rPr>
        <w:t xml:space="preserve">4.1 Open-Window Signal</w:t>
      </w:r>
    </w:p>
    <w:p>
      <w:pPr>
        <w:spacing w:before="60" w:after="120"/>
        <w:jc w:val="both"/>
      </w:pPr>
      <w:r>
        <w:rPr>
          <w:rFonts w:ascii="Arial" w:cs="Arial" w:eastAsia="Arial" w:hAnsi="Arial"/>
          <w:b w:val="false"/>
          <w:bCs w:val="false"/>
          <w:i w:val="false"/>
          <w:iCs w:val="false"/>
          <w:color w:val="1A1A2E"/>
          <w:sz w:val="22"/>
          <w:szCs w:val="22"/>
        </w:rPr>
        <w:t xml:space="preserve">An open-window signal is a signed transaction sent by any active wallet to the WCC. It costs a small protocol fee (defined as a governance parameter at genesis — initially 1 PADU). Signals are valid for 30 days from submission. A wallet may submit only one valid signal per potential governance cycle.</w:t>
      </w:r>
    </w:p>
    <w:p>
      <w:pPr>
        <w:spacing w:before="60" w:after="120"/>
        <w:jc w:val="both"/>
      </w:pPr>
      <w:r>
        <w:rPr>
          <w:rFonts w:ascii="Arial" w:cs="Arial" w:eastAsia="Arial" w:hAnsi="Arial"/>
          <w:b w:val="false"/>
          <w:bCs w:val="false"/>
          <w:i w:val="false"/>
          <w:iCs w:val="false"/>
          <w:color w:val="1A1A2E"/>
          <w:sz w:val="22"/>
          <w:szCs w:val="22"/>
        </w:rPr>
        <w:t xml:space="preserve">The WCC opens the amendment window when both of the following are true simultaneously:</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GCC confirms the cooldown has elapsed (isCooldownElapsed() returns true).</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number of valid (non-expired) open-window signals equals or exceeds the Open-Window Threshold (OWT). The OWT is defined as 0.5% of the active wallet count at the time of each signal — a self-adjusting mechanism that scales with adoption.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20"/>
              <w:bottom w:val="single" w:color="1A4A7A" w:sz="1"/>
              <w:right w:val="single" w:color="C8D0DF" w:sz="1"/>
            </w:tcBorders>
            <w:shd w:fill="F0F4FF" w:val="clear"/>
            <w:tcMar>
              <w:top w:type="dxa" w:w="100"/>
              <w:left w:type="dxa" w:w="200"/>
              <w:bottom w:type="dxa" w:w="100"/>
              <w:right w:type="dxa" w:w="200"/>
            </w:tcMar>
          </w:tcPr>
          <w:p>
            <w:pPr>
              <w:spacing w:before="0" w:after="60"/>
            </w:pPr>
            <w:r>
              <w:rPr>
                <w:rFonts w:ascii="Arial" w:cs="Arial" w:eastAsia="Arial" w:hAnsi="Arial"/>
                <w:b/>
                <w:bCs/>
                <w:i w:val="false"/>
                <w:iCs w:val="false"/>
                <w:color w:val="1A4A7A"/>
                <w:sz w:val="20"/>
                <w:szCs w:val="20"/>
              </w:rPr>
              <w:t xml:space="preserve">ON THE 0.5% OPEN-WINDOW THRESHOLD</w:t>
            </w:r>
          </w:p>
          <w:p>
            <w:pPr>
              <w:spacing w:before="0" w:after="0"/>
              <w:jc w:val="both"/>
            </w:pPr>
            <w:r>
              <w:rPr>
                <w:rFonts w:ascii="Arial" w:cs="Arial" w:eastAsia="Arial" w:hAnsi="Arial"/>
                <w:b w:val="false"/>
                <w:bCs w:val="false"/>
                <w:i w:val="false"/>
                <w:iCs w:val="false"/>
                <w:color w:val="1A1A2E"/>
                <w:sz w:val="20"/>
                <w:szCs w:val="20"/>
              </w:rPr>
              <w:t xml:space="preserve">At 10,000 active wallets, 50 wallet holders must independently signal to open a window. At 1,000,000 wallets, 5,000 must signal. This is deliberately low — it ensures motivated communities can trigger governance — but high enough that a single actor with many wallets cannot fake grassroots demand without a prohibitively large stake commitment.</w:t>
            </w:r>
          </w:p>
        </w:tc>
      </w:tr>
    </w:tbl>
    <w:p>
      <w:pPr>
        <w:pStyle w:val="Heading2"/>
        <w:spacing w:before="320" w:after="80"/>
      </w:pPr>
      <w:r>
        <w:rPr>
          <w:rFonts w:ascii="Arial" w:cs="Arial" w:eastAsia="Arial" w:hAnsi="Arial"/>
          <w:b/>
          <w:bCs/>
          <w:i w:val="false"/>
          <w:iCs w:val="false"/>
          <w:color w:val="1A4A7A"/>
          <w:sz w:val="25"/>
          <w:szCs w:val="25"/>
        </w:rPr>
        <w:t xml:space="preserve">4.2 Contract Specification (Abridged)</w:t>
      </w: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WindowConsensus.sol (abridged — key logic shown)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pragma solidity ^0.8.24;</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interface IGoveranceClock   { function isCooldownElapsed() external view returns (bool);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interface IWalletRegistry   { function activeWalletCount() external view returns (uint256);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contract WindowConsensus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public constant SIGNAL_VALIDITY_SECONDS = 30 days;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public constant WINDOW_DURATION_SECONDS = 90 days;  // deliberation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public constant OWT_NUMERATOR   = 5;    // 0.5% = 5/1000</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public constant OWT_DENOMINATOR = 1000;</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public constant SIGNAL_FEE      = 1e18; // 1 PADU in base units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IGoveranceClock  public immutable gcc;</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IWalletRegistry  public immutable walletRegistry;</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Signal storage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mapping(address =&gt; uint256) public signalTimestamp;   // wallet → when they signaled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public validSignalCount;                       // auto-decremented on expiry</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bool    public windowOpen;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public windowOpenedAt;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event SignalSubmitted(address indexed wallet, uint256 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event WindowOpened(uint256 timestamp, uint256 signalCount);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@notice Submit an open-window signal from the calling wallet.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submitSignal() external payable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require(!windowOpen,                  'WCC: window already open');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require(gcc.isCooldownElapsed(),       'WCC: cooldown not elapsed');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require(msg.value == SIGNAL_FEE,       'WCC: incorrect signal fee');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require(signalTimestamp[msg.sender] == 0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block.timestamp - signalTimestamp[msg.sender] &gt; SIGNAL_VALIDITY_SECONDS,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'WCC: wallet already has a valid signal');</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signalTimestamp[msg.sender] = block.timestamp;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validSignalCount += 1;</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emit SignalSubmitted(msg.sender, block.timestamp);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Check if threshold reached after this signal</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_tryOpenWindow();</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_tryOpenWindow() internal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activeWallets = walletRegistry.activeWalletCount();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threshold = (activeWallets * OWT_NUMERATOR) / OWT_DENOMINATOR;</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if (threshold &lt; 10) threshold = 10;  // absolute minimum of 10 signals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if (validSignalCount &gt;= threshold)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windowOpen     = true;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windowOpenedAt = block.timestamp;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emit WindowOpened(block.timestamp, validSignalCount);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bl>
    <w:p>
      <w:pPr>
        <w:pStyle w:val="Heading2"/>
        <w:spacing w:before="320" w:after="80"/>
      </w:pPr>
      <w:r>
        <w:rPr>
          <w:rFonts w:ascii="Arial" w:cs="Arial" w:eastAsia="Arial" w:hAnsi="Arial"/>
          <w:b/>
          <w:bCs/>
          <w:i w:val="false"/>
          <w:iCs w:val="false"/>
          <w:color w:val="1A4A7A"/>
          <w:sz w:val="25"/>
          <w:szCs w:val="25"/>
        </w:rPr>
        <w:t xml:space="preserve">4.3 Sybil Resistance for Signals</w:t>
      </w:r>
    </w:p>
    <w:p>
      <w:pPr>
        <w:spacing w:before="60" w:after="120"/>
        <w:jc w:val="both"/>
      </w:pPr>
      <w:r>
        <w:rPr>
          <w:rFonts w:ascii="Arial" w:cs="Arial" w:eastAsia="Arial" w:hAnsi="Arial"/>
          <w:b w:val="false"/>
          <w:bCs w:val="false"/>
          <w:i w:val="false"/>
          <w:iCs w:val="false"/>
          <w:color w:val="1A1A2E"/>
          <w:sz w:val="22"/>
          <w:szCs w:val="22"/>
        </w:rPr>
        <w:t xml:space="preserve">Because signal submission requires a fee and is tied to a wallet address, an adversary attempting to artificially open a governance window would need to control a large number of funded wallets. Three additional protections are layered on top:</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Signal fee is burned (sent to address(0)), not collected by any party — eliminating any financial incentive to artificially trigger governance.</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Wallet Registry counts only wallets that have conducted at least one non-governance transaction in the preceding 180 days as 'active.' Freshly created empty wallets do not count toward the active wallet total used to compute OWT, but their signals do count — meaning a Sybil attacker must fund and actively use the wallets, not just create them.</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open-window signals are public on-chain. Any community member can observe an unusual spike in signals and alert the broader ecosystem before the window actually opens.</w:t>
      </w:r>
    </w:p>
    <w:p>
      <w:pPr>
        <w:pStyle w:val="Heading1"/>
        <w:spacing w:before="520" w:after="120"/>
      </w:pPr>
      <w:r>
        <w:rPr>
          <w:rFonts w:ascii="Arial" w:cs="Arial" w:eastAsia="Arial" w:hAnsi="Arial"/>
          <w:b/>
          <w:bCs/>
          <w:i w:val="false"/>
          <w:iCs w:val="false"/>
          <w:color w:val="0D2137"/>
          <w:sz w:val="30"/>
          <w:szCs w:val="30"/>
        </w:rPr>
        <w:t xml:space="preserve">5. Proposal Registry Contract (PRC)</w:t>
      </w:r>
    </w:p>
    <w:p>
      <w:pPr>
        <w:pBdr>
          <w:bottom w:val="single" w:color="4A1A7A" w:sz="8" w:space="1"/>
        </w:pBdr>
        <w:spacing w:before="0" w:after="160"/>
      </w:pPr>
    </w:p>
    <w:p>
      <w:pPr>
        <w:pStyle w:val="Heading2"/>
        <w:spacing w:before="320" w:after="80"/>
      </w:pPr>
      <w:r>
        <w:rPr>
          <w:rFonts w:ascii="Arial" w:cs="Arial" w:eastAsia="Arial" w:hAnsi="Arial"/>
          <w:b/>
          <w:bCs/>
          <w:i w:val="false"/>
          <w:iCs w:val="false"/>
          <w:color w:val="1A4A7A"/>
          <w:sz w:val="25"/>
          <w:szCs w:val="25"/>
        </w:rPr>
        <w:t xml:space="preserve">5.1 What Can Be Proposed</w:t>
      </w:r>
    </w:p>
    <w:p>
      <w:pPr>
        <w:spacing w:before="60" w:after="120"/>
        <w:jc w:val="both"/>
      </w:pPr>
      <w:r>
        <w:rPr>
          <w:rFonts w:ascii="Arial" w:cs="Arial" w:eastAsia="Arial" w:hAnsi="Arial"/>
          <w:b w:val="false"/>
          <w:bCs w:val="false"/>
          <w:i w:val="false"/>
          <w:iCs w:val="false"/>
          <w:color w:val="1A1A2E"/>
          <w:sz w:val="22"/>
          <w:szCs w:val="22"/>
        </w:rPr>
        <w:t xml:space="preserve">Not all protocol parameters are governed by the Protocol Chamber. There are three categories: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Category</w:t>
            </w:r>
          </w:p>
        </w:tc>
        <w:tc>
          <w:tcPr>
            <w:tcW w:type="dxa" w:w="45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Examples</w:t>
            </w:r>
          </w:p>
        </w:tc>
        <w:tc>
          <w:tcPr>
            <w:tcW w:type="dxa" w:w="28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Governance path</w:t>
            </w:r>
          </w:p>
        </w:tc>
      </w:tr>
      <w:tr>
        <w:tc>
          <w:tcPr>
            <w:tcW w:type="dxa" w:w="20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IMMUTABLE</w:t>
            </w:r>
          </w:p>
        </w:tc>
        <w:tc>
          <w:tcPr>
            <w:tcW w:type="dxa" w:w="4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Voting threshold (60%), cooldown period (5y), amendment state machine logic, wallet key derivation standard.</w:t>
            </w:r>
          </w:p>
        </w:tc>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Cannot be changed by any governance process. Hardcoded at deployment.</w:t>
            </w:r>
          </w:p>
        </w:tc>
      </w:tr>
      <w:tr>
        <w:tc>
          <w:tcPr>
            <w:tcW w:type="dxa" w:w="20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PROTOCOL CHAMBER</w:t>
            </w:r>
          </w:p>
        </w:tc>
        <w:tc>
          <w:tcPr>
            <w:tcW w:type="dxa" w:w="45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 Floor amount, KYC tier thresholds, fee total (1.5%) and sub-split, accredited oracle set, chain ID.</w:t>
            </w:r>
          </w:p>
        </w:tc>
        <w:tc>
          <w:tcPr>
            <w:tcW w:type="dxa" w:w="2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Full Protocol Chamber amendment process (this document).</w:t>
            </w:r>
          </w:p>
        </w:tc>
      </w:tr>
      <w:tr>
        <w:tc>
          <w:tcPr>
            <w:tcW w:type="dxa" w:w="20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SOCIAL CHAMBER</w:t>
            </w:r>
          </w:p>
        </w:tc>
        <w:tc>
          <w:tcPr>
            <w:tcW w:type="dxa" w:w="4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Social Fund allocation, Solidarity Dividend distribution schedule, ecosystem grants, marketing partnerships.</w:t>
            </w:r>
          </w:p>
        </w:tc>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Separate DAO governance — see PADU-TECH-03.</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20"/>
              <w:bottom w:val="single" w:color="7A1A1A" w:sz="1"/>
              <w:right w:val="single" w:color="C8D0DF" w:sz="1"/>
            </w:tcBorders>
            <w:shd w:fill="FFF0F0" w:val="clear"/>
            <w:tcMar>
              <w:top w:type="dxa" w:w="100"/>
              <w:left w:type="dxa" w:w="200"/>
              <w:bottom w:type="dxa" w:w="100"/>
              <w:right w:type="dxa" w:w="200"/>
            </w:tcMar>
          </w:tcPr>
          <w:p>
            <w:pPr>
              <w:spacing w:before="0" w:after="60"/>
            </w:pPr>
            <w:r>
              <w:rPr>
                <w:rFonts w:ascii="Arial" w:cs="Arial" w:eastAsia="Arial" w:hAnsi="Arial"/>
                <w:b/>
                <w:bCs/>
                <w:i w:val="false"/>
                <w:iCs w:val="false"/>
                <w:color w:val="7A1A1A"/>
                <w:sz w:val="20"/>
                <w:szCs w:val="20"/>
              </w:rPr>
              <w:t xml:space="preserve">SCOPE ENFORCEMENT</w:t>
            </w:r>
          </w:p>
          <w:p>
            <w:pPr>
              <w:spacing w:before="0" w:after="0"/>
              <w:jc w:val="both"/>
            </w:pPr>
            <w:r>
              <w:rPr>
                <w:rFonts w:ascii="Arial" w:cs="Arial" w:eastAsia="Arial" w:hAnsi="Arial"/>
                <w:b w:val="false"/>
                <w:bCs w:val="false"/>
                <w:i w:val="false"/>
                <w:iCs w:val="false"/>
                <w:color w:val="1A1A2E"/>
                <w:sz w:val="20"/>
                <w:szCs w:val="20"/>
              </w:rPr>
              <w:t xml:space="preserve">The PRC's format validator rejects any proposal that attempts to modify an IMMUTABLE parameter or a SOCIAL CHAMBER parameter. These are checked against a hardcoded parameter namespace registry. A proposal attempting to modify the voting threshold will be rejected at the PRC level, before it ever reaches wallets.</w:t>
            </w:r>
          </w:p>
        </w:tc>
      </w:tr>
    </w:tbl>
    <w:p>
      <w:pPr>
        <w:pStyle w:val="Heading2"/>
        <w:spacing w:before="320" w:after="80"/>
      </w:pPr>
      <w:r>
        <w:rPr>
          <w:rFonts w:ascii="Arial" w:cs="Arial" w:eastAsia="Arial" w:hAnsi="Arial"/>
          <w:b/>
          <w:bCs/>
          <w:i w:val="false"/>
          <w:iCs w:val="false"/>
          <w:color w:val="1A4A7A"/>
          <w:sz w:val="25"/>
          <w:szCs w:val="25"/>
        </w:rPr>
        <w:t xml:space="preserve">5.2 Proposal Format</w:t>
      </w: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AmendmentProposal struct — submitted to PRC</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struct ParameterChange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bytes32  parameterKey;      // namespaced key e.g. keccak256('kyc.floor.tier1')</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    currentValue;      // ABI-encoded current value (for verification)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    proposedValue;     // ABI-encoded proposed new value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string   rationale;         // human-readable justification (max 2000 chars)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struct AmendmentProposal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proposalId;        // assigned by PRC on submission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address          proposerAddress;   // wallet that submitted the proposal</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proposalStake;     // PADU stake locked until vote concludes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submittedAt;       // block 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ParameterChange[] changes;          // array — a single proposal may bundle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related changes (e.g. fee split rebalance)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bytes32          contentHash;       // keccak256 of all changes[] — used for</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integrity verification by wallets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string           humanTitle;        // max 120 chars — shown in wallet UI</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string           fullDocumentIPFS;  // IPFS CID of detailed supporting document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uint8            proposalVersion;   // must match current PRC schema version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bl>
    <w:p>
      <w:pPr>
        <w:pStyle w:val="Heading2"/>
        <w:spacing w:before="320" w:after="80"/>
      </w:pPr>
      <w:r>
        <w:rPr>
          <w:rFonts w:ascii="Arial" w:cs="Arial" w:eastAsia="Arial" w:hAnsi="Arial"/>
          <w:b/>
          <w:bCs/>
          <w:i w:val="false"/>
          <w:iCs w:val="false"/>
          <w:color w:val="1A4A7A"/>
          <w:sz w:val="25"/>
          <w:szCs w:val="25"/>
        </w:rPr>
        <w:t xml:space="preserve">5.3 Proposal Staking</w:t>
      </w:r>
    </w:p>
    <w:p>
      <w:pPr>
        <w:spacing w:before="60" w:after="120"/>
        <w:jc w:val="both"/>
      </w:pPr>
      <w:r>
        <w:rPr>
          <w:rFonts w:ascii="Arial" w:cs="Arial" w:eastAsia="Arial" w:hAnsi="Arial"/>
          <w:b w:val="false"/>
          <w:bCs w:val="false"/>
          <w:i w:val="false"/>
          <w:iCs w:val="false"/>
          <w:color w:val="1A1A2E"/>
          <w:sz w:val="22"/>
          <w:szCs w:val="22"/>
        </w:rPr>
        <w:t xml:space="preserve">Submitting a proposal requires locking a stake of 100 PADU (governance parameter, but in the SOCIAL CHAMBER category — see TECH-03). The stake serves two purposes: it filters out frivolous or adversarial proposals, and it provides a small economic signal that the proposer has skin in the game.</w:t>
      </w:r>
    </w:p>
    <w:p>
      <w:pPr>
        <w:spacing w:before="60" w:after="120"/>
        <w:jc w:val="both"/>
      </w:pPr>
      <w:r>
        <w:rPr>
          <w:rFonts w:ascii="Arial" w:cs="Arial" w:eastAsia="Arial" w:hAnsi="Arial"/>
          <w:b w:val="false"/>
          <w:bCs w:val="false"/>
          <w:i w:val="false"/>
          <w:iCs w:val="false"/>
          <w:color w:val="1A1A2E"/>
          <w:sz w:val="22"/>
          <w:szCs w:val="22"/>
        </w:rPr>
        <w:t xml:space="preserve">Stake outcomes: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RATIFIED: stake is returned to the proposer in full.</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FAILED (vote conducted, threshold not met): stake is returned to the proposer minus 10%. The 10% is donated to the Social Development Fund.</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REJECTED at PRC (invalid format): stake is returned in full — no penalty for format errors caught before dispatch.</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WITHDRAWN before dispatch: stake returned minus 5% (discourages strategic proposal flooding during candidacy windows).</w:t>
      </w:r>
    </w:p>
    <w:p>
      <w:pPr>
        <w:pStyle w:val="Heading2"/>
        <w:spacing w:before="320" w:after="80"/>
      </w:pPr>
      <w:r>
        <w:rPr>
          <w:rFonts w:ascii="Arial" w:cs="Arial" w:eastAsia="Arial" w:hAnsi="Arial"/>
          <w:b/>
          <w:bCs/>
          <w:i w:val="false"/>
          <w:iCs w:val="false"/>
          <w:color w:val="1A4A7A"/>
          <w:sz w:val="25"/>
          <w:szCs w:val="25"/>
        </w:rPr>
        <w:t xml:space="preserve">5.4 Dispatch Mechanism and Proof</w:t>
      </w:r>
    </w:p>
    <w:p>
      <w:pPr>
        <w:spacing w:before="60" w:after="120"/>
        <w:jc w:val="both"/>
      </w:pPr>
      <w:r>
        <w:rPr>
          <w:rFonts w:ascii="Arial" w:cs="Arial" w:eastAsia="Arial" w:hAnsi="Arial"/>
          <w:b w:val="false"/>
          <w:bCs w:val="false"/>
          <w:i w:val="false"/>
          <w:iCs w:val="false"/>
          <w:color w:val="1A1A2E"/>
          <w:sz w:val="22"/>
          <w:szCs w:val="22"/>
        </w:rPr>
        <w:t xml:space="preserve">Once a proposal passes PRC format validation, it must be dispatched to all registered wallets before voting can begin. This is a critical security property: no wallet may be silently excluded from receiving a proposal.</w:t>
      </w:r>
    </w:p>
    <w:p>
      <w:pPr>
        <w:spacing w:before="60" w:after="120"/>
        <w:jc w:val="both"/>
      </w:pPr>
      <w:r>
        <w:rPr>
          <w:rFonts w:ascii="Arial" w:cs="Arial" w:eastAsia="Arial" w:hAnsi="Arial"/>
          <w:b w:val="false"/>
          <w:bCs w:val="false"/>
          <w:i w:val="false"/>
          <w:iCs w:val="false"/>
          <w:color w:val="1A1A2E"/>
          <w:sz w:val="22"/>
          <w:szCs w:val="22"/>
        </w:rPr>
        <w:t xml:space="preserve">Dispatch works as follows:</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PRC computes a dispatch Merkle tree: each leaf is the hash of (walletAddress, proposalId, proposalContentHash).</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The Merkle root is written to the PRC on-chain as the dispatchRoot for this proposal.</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The off-chain Proposal Dispatch Service (PDS) sends push notifications to all registered wallet endpoints, each containing the proposal and a Merkle proof for that wallet's leaf.</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Each wallet, upon receiving the notification, verifies its Merkle proof against the on-chain dispatchRoot. If the proof is invalid, the notification is discarded and flagged.</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As wallets confirm receipt (by submitting a lightweight dispatch-acknowledgement transaction — zero-fee, just a signature), the PRC tracks the acknowledgement bitmap.</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Voting can only open once acknowledgement coverage reaches 80% of active wallets, OR 30 days have elapsed since dispatch began — whichever comes first. This prevents a small number of offline wallets from indefinitely blocking governance, while ensuring the vast majority of users have been notified.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20"/>
              <w:bottom w:val="single" w:color="1A4A7A" w:sz="1"/>
              <w:right w:val="single" w:color="C8D0DF" w:sz="1"/>
            </w:tcBorders>
            <w:shd w:fill="F0F4FF" w:val="clear"/>
            <w:tcMar>
              <w:top w:type="dxa" w:w="100"/>
              <w:left w:type="dxa" w:w="200"/>
              <w:bottom w:type="dxa" w:w="100"/>
              <w:right w:type="dxa" w:w="200"/>
            </w:tcMar>
          </w:tcPr>
          <w:p>
            <w:pPr>
              <w:spacing w:before="0" w:after="60"/>
            </w:pPr>
            <w:r>
              <w:rPr>
                <w:rFonts w:ascii="Arial" w:cs="Arial" w:eastAsia="Arial" w:hAnsi="Arial"/>
                <w:b/>
                <w:bCs/>
                <w:i w:val="false"/>
                <w:iCs w:val="false"/>
                <w:color w:val="1A4A7A"/>
                <w:sz w:val="20"/>
                <w:szCs w:val="20"/>
              </w:rPr>
              <w:t xml:space="preserve">ON OFFLINE WALLETS</w:t>
            </w:r>
          </w:p>
          <w:p>
            <w:pPr>
              <w:spacing w:before="0" w:after="0"/>
              <w:jc w:val="both"/>
            </w:pPr>
            <w:r>
              <w:rPr>
                <w:rFonts w:ascii="Arial" w:cs="Arial" w:eastAsia="Arial" w:hAnsi="Arial"/>
                <w:b w:val="false"/>
                <w:bCs w:val="false"/>
                <w:i w:val="false"/>
                <w:iCs w:val="false"/>
                <w:color w:val="1A1A2E"/>
                <w:sz w:val="20"/>
                <w:szCs w:val="20"/>
              </w:rPr>
              <w:t xml:space="preserve">A wallet that has been inactive for more than 180 days is excluded from the active wallet count for quorum purposes. This prevents permanently lost or abandoned wallets from creating an unachievable quorum. However, their vote is still accepted if submitted — the 60% threshold is computed against the active wallet count at dispatch time, which is snapshot and recorded in the PRC.</w:t>
            </w:r>
          </w:p>
        </w:tc>
      </w:tr>
    </w:tbl>
    <w:p>
      <w:pPr>
        <w:pStyle w:val="Heading1"/>
        <w:spacing w:before="520" w:after="120"/>
      </w:pPr>
      <w:r>
        <w:rPr>
          <w:rFonts w:ascii="Arial" w:cs="Arial" w:eastAsia="Arial" w:hAnsi="Arial"/>
          <w:b/>
          <w:bCs/>
          <w:i w:val="false"/>
          <w:iCs w:val="false"/>
          <w:color w:val="0D2137"/>
          <w:sz w:val="30"/>
          <w:szCs w:val="30"/>
        </w:rPr>
        <w:t xml:space="preserve">6. Ratification Vote Contract (RVC)</w:t>
      </w:r>
    </w:p>
    <w:p>
      <w:pPr>
        <w:pBdr>
          <w:bottom w:val="single" w:color="4A1A7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The RVC is the heart of the Protocol Chamber's democratic legitimacy. It enforces the rules that make the PADU governance system qualitatively different from both traditional corporate governance and most existing blockchain DAOs.</w:t>
      </w:r>
    </w:p>
    <w:p>
      <w:pPr>
        <w:pStyle w:val="Heading2"/>
        <w:spacing w:before="320" w:after="80"/>
      </w:pPr>
      <w:r>
        <w:rPr>
          <w:rFonts w:ascii="Arial" w:cs="Arial" w:eastAsia="Arial" w:hAnsi="Arial"/>
          <w:b/>
          <w:bCs/>
          <w:i w:val="false"/>
          <w:iCs w:val="false"/>
          <w:color w:val="1A4A7A"/>
          <w:sz w:val="25"/>
          <w:szCs w:val="25"/>
        </w:rPr>
        <w:t xml:space="preserve">6.1 The Three-Step Vote UX Requirement</w:t>
      </w:r>
    </w:p>
    <w:p>
      <w:pPr>
        <w:spacing w:before="60" w:after="120"/>
        <w:jc w:val="both"/>
      </w:pPr>
      <w:r>
        <w:rPr>
          <w:rFonts w:ascii="Arial" w:cs="Arial" w:eastAsia="Arial" w:hAnsi="Arial"/>
          <w:b w:val="false"/>
          <w:bCs w:val="false"/>
          <w:i w:val="false"/>
          <w:iCs w:val="false"/>
          <w:color w:val="1A1A2E"/>
          <w:sz w:val="22"/>
          <w:szCs w:val="22"/>
        </w:rPr>
        <w:t xml:space="preserve">This is one of the most important requirements in this entire document. The RVC enforces, at the smart contract level, that a vote transaction is only valid if it carries a proof-of-deliberation: a cryptographic demonstration that the wallet holder did not simply click a button, but actively engaged with the proposal.</w:t>
      </w:r>
    </w:p>
    <w:p>
      <w:pPr>
        <w:spacing w:before="60" w:after="120"/>
        <w:jc w:val="both"/>
      </w:pPr>
      <w:r>
        <w:rPr>
          <w:rFonts w:ascii="Arial" w:cs="Arial" w:eastAsia="Arial" w:hAnsi="Arial"/>
          <w:b w:val="false"/>
          <w:bCs w:val="false"/>
          <w:i w:val="false"/>
          <w:iCs w:val="false"/>
          <w:color w:val="1A1A2E"/>
          <w:sz w:val="22"/>
          <w:szCs w:val="22"/>
        </w:rPr>
        <w:t xml:space="preserve">The proof-of-deliberation is a hash derived from three user-supplied inputs: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c>
          <w:tcPr>
            <w:tcW w:type="dxa" w:w="6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Step</w:t>
            </w:r>
          </w:p>
        </w:tc>
        <w:tc>
          <w:tcPr>
            <w:tcW w:type="dxa" w:w="48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User action required</w:t>
            </w:r>
          </w:p>
        </w:tc>
        <w:tc>
          <w:tcPr>
            <w:tcW w:type="dxa" w:w="39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What the wallet records</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w:t>
            </w:r>
          </w:p>
        </w:tc>
        <w:tc>
          <w:tcPr>
            <w:tcW w:type="dxa" w:w="4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User opens the proposal notification and reads the human title and summary. Wallet records the timestamp of first open.</w:t>
            </w:r>
          </w:p>
        </w:tc>
        <w:tc>
          <w:tcPr>
            <w:tcW w:type="dxa" w:w="39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openedAt timestamp (must be ≥ 24 hours before vote transaction)</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2</w:t>
            </w:r>
          </w:p>
        </w:tc>
        <w:tc>
          <w:tcPr>
            <w:tcW w:type="dxa" w:w="4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User reads the full proposal document (IPFS link auto-loaded in wallet). Wallet confirms document hash matches on-chain content hash.</w:t>
            </w:r>
          </w:p>
        </w:tc>
        <w:tc>
          <w:tcPr>
            <w:tcW w:type="dxa" w:w="39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contentHashAcknowledged = true</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3</w:t>
            </w:r>
          </w:p>
        </w:tc>
        <w:tc>
          <w:tcPr>
            <w:tcW w:type="dxa" w:w="4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User selects APPROVE, REJECT, or ABSTAIN — from three separate clearly-labelled buttons, none pre-selected. User must type a 6-character confirmation code displayed on screen before the vote transaction is built.</w:t>
            </w:r>
          </w:p>
        </w:tc>
        <w:tc>
          <w:tcPr>
            <w:tcW w:type="dxa" w:w="39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voteChoice + confirmationCode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20"/>
              <w:bottom w:val="single" w:color="7A1A1A" w:sz="1"/>
              <w:right w:val="single" w:color="C8D0DF" w:sz="1"/>
            </w:tcBorders>
            <w:shd w:fill="FFF0F0" w:val="clear"/>
            <w:tcMar>
              <w:top w:type="dxa" w:w="100"/>
              <w:left w:type="dxa" w:w="200"/>
              <w:bottom w:type="dxa" w:w="100"/>
              <w:right w:type="dxa" w:w="200"/>
            </w:tcMar>
          </w:tcPr>
          <w:p>
            <w:pPr>
              <w:spacing w:before="0" w:after="60"/>
            </w:pPr>
            <w:r>
              <w:rPr>
                <w:rFonts w:ascii="Arial" w:cs="Arial" w:eastAsia="Arial" w:hAnsi="Arial"/>
                <w:b/>
                <w:bCs/>
                <w:i w:val="false"/>
                <w:iCs w:val="false"/>
                <w:color w:val="7A1A1A"/>
                <w:sz w:val="20"/>
                <w:szCs w:val="20"/>
              </w:rPr>
              <w:t xml:space="preserve">UX ENFORCEMENT IS MANDATORY</w:t>
            </w:r>
          </w:p>
          <w:p>
            <w:pPr>
              <w:spacing w:before="0" w:after="0"/>
              <w:jc w:val="both"/>
            </w:pPr>
            <w:r>
              <w:rPr>
                <w:rFonts w:ascii="Arial" w:cs="Arial" w:eastAsia="Arial" w:hAnsi="Arial"/>
                <w:b w:val="false"/>
                <w:bCs w:val="false"/>
                <w:i w:val="false"/>
                <w:iCs w:val="false"/>
                <w:color w:val="1A1A2E"/>
                <w:sz w:val="20"/>
                <w:szCs w:val="20"/>
              </w:rPr>
              <w:t xml:space="preserve">Any wallet application claiming PADU compatibility must implement all three steps without exception. A vote transaction submitted without a valid proof-of-deliberation is rejected by the RVC. Wallets that attempt to auto-vote, batch-vote without user interaction, or skip any deliberation step will generate invalid vote transactions. This is enforced on-chain, not just in the UI.</w:t>
            </w:r>
          </w:p>
        </w:tc>
      </w:tr>
    </w:tbl>
    <w:p>
      <w:pPr>
        <w:pStyle w:val="Heading2"/>
        <w:spacing w:before="320" w:after="80"/>
      </w:pPr>
      <w:r>
        <w:rPr>
          <w:rFonts w:ascii="Arial" w:cs="Arial" w:eastAsia="Arial" w:hAnsi="Arial"/>
          <w:b/>
          <w:bCs/>
          <w:i w:val="false"/>
          <w:iCs w:val="false"/>
          <w:color w:val="1A4A7A"/>
          <w:sz w:val="25"/>
          <w:szCs w:val="25"/>
        </w:rPr>
        <w:t xml:space="preserve">6.2 Vote Transaction Structure</w:t>
      </w: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VoteTransaction — submitted to RVC by wallet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struct VoteTransaction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proposalId;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address  voterAddress;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VoteChoice choice;          // enum: APPROVE = 1, REJECT = 2, ABSTAIN = 3</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 Proof of deliberation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openedAt;          // timestamp when user first opened the proposal</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bytes32  contentHashAck;    // must match proposal.contentHash exactly</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bytes6   confirmationCode;  // 6-char alphanumeric code shown to user in wallet UI</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derived: keccak256(proposalId || voterAddress)[0:3]</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unique per wallet per proposal — cannot be shared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 Timing proof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openedAt must be at least MIN_DELIBERATION_SECONDS before tx 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MIN_DELIBERATION_SECONDS = 86400 (24 hours) — hardcoded in RVC.</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    signature;         // ECDSA over keccak256(abi.encode(all above fields))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enum VoteChoice { UNSET, APPROVE, REJECT, ABSTAIN }</w:t>
            </w:r>
          </w:p>
        </w:tc>
      </w:tr>
    </w:tbl>
    <w:p>
      <w:pPr>
        <w:pStyle w:val="Heading2"/>
        <w:spacing w:before="320" w:after="80"/>
      </w:pPr>
      <w:r>
        <w:rPr>
          <w:rFonts w:ascii="Arial" w:cs="Arial" w:eastAsia="Arial" w:hAnsi="Arial"/>
          <w:b/>
          <w:bCs/>
          <w:i w:val="false"/>
          <w:iCs w:val="false"/>
          <w:color w:val="1A4A7A"/>
          <w:sz w:val="25"/>
          <w:szCs w:val="25"/>
        </w:rPr>
        <w:t xml:space="preserve">6.3 Tally Logic and Threshold</w:t>
      </w: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RVC tally logic (abridged)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contract RatificationVote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public constant APPROVAL_THRESHOLD_NUM  = 60;   // 60%</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public constant APPROVAL_THRESHOLD_DEN  = 100;</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public constant MIN_DELIBERATION_SECONDS = 86400; // 24 hours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public constant VOTING_WINDOW_SECONDS    = 60 days;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public constant QUORUM_EXTENSION_DAYS    = 15;   // one-time extension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Per-proposal state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struct ProposalTally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approveCount;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rejectCount;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abstainCount;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activeWalletSnapshot;  // active wallet count at dispatch time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votingOpenedAt;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bool    extended;              // whether the 15-day extension was used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TallyState state;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enum TallyState { PENDING, VOTING, EXTENDED, CLOSED_APPROVED, CLOSED_FAILED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castVote(VoteTransaction calldata vtx) external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ProposalTally storage tally = tallies[vtx.proposalId];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require(tally.state == TallyState.VOTING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tally.state == TallyState.EXTENDED, 'RVC: voting not open');</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Proof-of-deliberation checks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require(vtx.openedAt + MIN_DELIBERATION_SECONDS &lt;= block.timestamp,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'RVC: proposal not read for required deliberation period');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require(vtx.contentHashAck == proposals[vtx.proposalId].contentHash,</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'RVC: content hash mismatch — proposal may have been altered');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bytes6 expected = bytes6(keccak256(abi.encode(vtx.proposalId, vtx.voterAddress)));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require(vtx.confirmationCode == expected,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'RVC: invalid confirmation code');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Record vote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if      (vtx.choice == VoteChoice.APPROVE)  tally.approveCount++;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else if (vtx.choice == VoteChoice.REJECT)   tally.rejectCount++;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else                                         tally.abstainCount++;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closeVoting(uint256 proposalId) external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ProposalTally storage tally = tallies[proposalId];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 timing checks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approvalPct = (tally.approveCount * 100) / tally.activeWalletSnapshot;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if (approvalPct &gt;= APPROVAL_THRESHOLD_NUM)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tally.state = TallyState.CLOSED_APPROVED;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Notify AEC to execute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else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tally.state = TallyState.CLOSED_FAILED;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System remains unchanged. GCC is NOT updated.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bl>
    <w:p>
      <w:pPr>
        <w:pStyle w:val="Heading2"/>
        <w:spacing w:before="320" w:after="80"/>
      </w:pPr>
      <w:r>
        <w:rPr>
          <w:rFonts w:ascii="Arial" w:cs="Arial" w:eastAsia="Arial" w:hAnsi="Arial"/>
          <w:b/>
          <w:bCs/>
          <w:i w:val="false"/>
          <w:iCs w:val="false"/>
          <w:color w:val="1A4A7A"/>
          <w:sz w:val="25"/>
          <w:szCs w:val="25"/>
        </w:rPr>
        <w:t xml:space="preserve">6.4 Handling a Failed Vote</w:t>
      </w:r>
    </w:p>
    <w:p>
      <w:pPr>
        <w:spacing w:before="60" w:after="120"/>
        <w:jc w:val="both"/>
      </w:pPr>
      <w:r>
        <w:rPr>
          <w:rFonts w:ascii="Arial" w:cs="Arial" w:eastAsia="Arial" w:hAnsi="Arial"/>
          <w:b w:val="false"/>
          <w:bCs w:val="false"/>
          <w:i w:val="false"/>
          <w:iCs w:val="false"/>
          <w:color w:val="1A1A2E"/>
          <w:sz w:val="22"/>
          <w:szCs w:val="22"/>
        </w:rPr>
        <w:t xml:space="preserve">A failed vote — one that closes with less than 60% APPROVE — has the following consequences:</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system continues operating under the current parameters, with zero interruption. Nodes are not restarted. No parameter is changed.</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GCC is NOT updated. The 5-year cooldown clock continues running from the previous ratification (or genesis). This means a failed vote does not reset the governance clock — if 4 years have elapsed, only 1 more year must pass before the next window can open.</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failed proposal is recorded in the Amendment Ledger with status FAILED, the final vote tally, and the timestamp. This is a permanent public record.</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proposer's stake is returned minus 10%, donated to the Social Development Fund.</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amendment state machine returns to S0 DORMANT immediately after the failed vote is recorded.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20"/>
              <w:bottom w:val="single" w:color="1A6B3A" w:sz="1"/>
              <w:right w:val="single" w:color="C8D0DF" w:sz="1"/>
            </w:tcBorders>
            <w:shd w:fill="F0FFF4" w:val="clear"/>
            <w:tcMar>
              <w:top w:type="dxa" w:w="100"/>
              <w:left w:type="dxa" w:w="200"/>
              <w:bottom w:type="dxa" w:w="100"/>
              <w:right w:type="dxa" w:w="200"/>
            </w:tcMar>
          </w:tcPr>
          <w:p>
            <w:pPr>
              <w:spacing w:before="0" w:after="60"/>
            </w:pPr>
            <w:r>
              <w:rPr>
                <w:rFonts w:ascii="Arial" w:cs="Arial" w:eastAsia="Arial" w:hAnsi="Arial"/>
                <w:b/>
                <w:bCs/>
                <w:i w:val="false"/>
                <w:iCs w:val="false"/>
                <w:color w:val="1A6B3A"/>
                <w:sz w:val="20"/>
                <w:szCs w:val="20"/>
              </w:rPr>
              <w:t xml:space="preserve">SYSTEM CONTINUITY GUARANTEE</w:t>
            </w:r>
          </w:p>
          <w:p>
            <w:pPr>
              <w:spacing w:before="0" w:after="0"/>
              <w:jc w:val="both"/>
            </w:pPr>
            <w:r>
              <w:rPr>
                <w:rFonts w:ascii="Arial" w:cs="Arial" w:eastAsia="Arial" w:hAnsi="Arial"/>
                <w:b w:val="false"/>
                <w:bCs w:val="false"/>
                <w:i w:val="false"/>
                <w:iCs w:val="false"/>
                <w:color w:val="1A1A2E"/>
                <w:sz w:val="20"/>
                <w:szCs w:val="20"/>
              </w:rPr>
              <w:t xml:space="preserve">Under no scenario does the governance process interrupt or pause the PADU payment network. Transfers, minting, redemptions, and fee collection continue at all times regardless of governance state. The Protocol Chamber is a background process — it has no authority to pause the chain or freeze wallets.</w:t>
            </w:r>
          </w:p>
        </w:tc>
      </w:tr>
    </w:tbl>
    <w:p>
      <w:pPr>
        <w:pStyle w:val="Heading1"/>
        <w:spacing w:before="520" w:after="120"/>
      </w:pPr>
      <w:r>
        <w:rPr>
          <w:rFonts w:ascii="Arial" w:cs="Arial" w:eastAsia="Arial" w:hAnsi="Arial"/>
          <w:b/>
          <w:bCs/>
          <w:i w:val="false"/>
          <w:iCs w:val="false"/>
          <w:color w:val="0D2137"/>
          <w:sz w:val="30"/>
          <w:szCs w:val="30"/>
        </w:rPr>
        <w:t xml:space="preserve">7. Amendment Execution Contract (AEC) and Parameter Registry</w:t>
      </w:r>
    </w:p>
    <w:p>
      <w:pPr>
        <w:pBdr>
          <w:bottom w:val="single" w:color="4A1A7A" w:sz="8" w:space="1"/>
        </w:pBdr>
        <w:spacing w:before="0" w:after="160"/>
      </w:pPr>
    </w:p>
    <w:p>
      <w:pPr>
        <w:pStyle w:val="Heading2"/>
        <w:spacing w:before="320" w:after="80"/>
      </w:pPr>
      <w:r>
        <w:rPr>
          <w:rFonts w:ascii="Arial" w:cs="Arial" w:eastAsia="Arial" w:hAnsi="Arial"/>
          <w:b/>
          <w:bCs/>
          <w:i w:val="false"/>
          <w:iCs w:val="false"/>
          <w:color w:val="1A4A7A"/>
          <w:sz w:val="25"/>
          <w:szCs w:val="25"/>
        </w:rPr>
        <w:t xml:space="preserve">7.1 Parameter Registry</w:t>
      </w:r>
    </w:p>
    <w:p>
      <w:pPr>
        <w:spacing w:before="60" w:after="120"/>
        <w:jc w:val="both"/>
      </w:pPr>
      <w:r>
        <w:rPr>
          <w:rFonts w:ascii="Arial" w:cs="Arial" w:eastAsia="Arial" w:hAnsi="Arial"/>
          <w:b w:val="false"/>
          <w:bCs w:val="false"/>
          <w:i w:val="false"/>
          <w:iCs w:val="false"/>
          <w:color w:val="1A1A2E"/>
          <w:sz w:val="22"/>
          <w:szCs w:val="22"/>
        </w:rPr>
        <w:t xml:space="preserve">The Parameter Registry is an on-chain key-value store that holds all Protocol-Chamber-governed protocol parameters. Every component that needs a governance parameter (nodes, the KYC Floor Registry, the fee splitter) reads from this registry — they never hardcode values. This means a ratified amendment takes effect the moment the AEC writes the new values, without any node restart or upgrade.</w:t>
      </w: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ParameterRegistry.sol (abridged)</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contract ParameterRegistry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address public immutable aecAddress;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Parameter storage: namespaced keys to ABI-encoded values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mapping(bytes32 =&gt; bytes) private parameters;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mapping(bytes32 =&gt; uint256) public lastUpdatedAt;  // per-parameter</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 Pre-populated at genesis with initial values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Key: keccak256('kyc.floor.tier1')  → abi.encode(500e18)  // 500 PADU</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Key: keccak256('kyc.floor.tier2')  → abi.encode(5000e18) // 5000 PADU</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Key: keccak256('fee.total.bps')    → abi.encode(150)     // 1.50%</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Key: keccak256('fee.ops.bps')      → abi.encode(50)      // 0.50%</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Key: keccak256('fee.social.bps')   → abi.encode(50)      // 0.50%</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Key: keccak256('fee.solidarity.bps')→ abi.encode(50)     // 0.50%</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Key: keccak256('governance.owt.num')→ abi.encode(5)      // 0.5%</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Key: keccak256('governance.owt.den')→ abi.encode(1000)</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 (and more — see Parameter Namespace Reference, Appendix A)</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get(bytes32 key) external view returns (bytes memory)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return parameters[key];</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function set(bytes32 key, bytes calldata value) external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require(msg.sender == aecAddress, 'PR: only AEC may write parameters');</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parameters[key]    = value;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lastUpdatedAt[key] = block.timestamp;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bl>
    <w:p>
      <w:pPr>
        <w:pStyle w:val="Heading2"/>
        <w:spacing w:before="320" w:after="80"/>
      </w:pPr>
      <w:r>
        <w:rPr>
          <w:rFonts w:ascii="Arial" w:cs="Arial" w:eastAsia="Arial" w:hAnsi="Arial"/>
          <w:b/>
          <w:bCs/>
          <w:i w:val="false"/>
          <w:iCs w:val="false"/>
          <w:color w:val="1A4A7A"/>
          <w:sz w:val="25"/>
          <w:szCs w:val="25"/>
        </w:rPr>
        <w:t xml:space="preserve">7.2 Amendment Execution Flow</w:t>
      </w:r>
    </w:p>
    <w:p>
      <w:pPr>
        <w:spacing w:before="60" w:after="120"/>
        <w:jc w:val="both"/>
      </w:pPr>
      <w:r>
        <w:rPr>
          <w:rFonts w:ascii="Arial" w:cs="Arial" w:eastAsia="Arial" w:hAnsi="Arial"/>
          <w:b w:val="false"/>
          <w:bCs w:val="false"/>
          <w:i w:val="false"/>
          <w:iCs w:val="false"/>
          <w:color w:val="1A1A2E"/>
          <w:sz w:val="22"/>
          <w:szCs w:val="22"/>
        </w:rPr>
        <w:t xml:space="preserve">The AEC is called by the RVC after a successful vote. It performs the following steps atomically in a single transaction:</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Verify the call is from the RVC and that the proposal ID matches a CLOSED_APPROVED tally.</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Read the ParameterChange array from the PRC for the given proposal ID.</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For each ParameterChange, verify that the currentValue field matches the value currently in the Parameter Registry. If any mismatch is detected (meaning a concurrent amendment changed a parameter), the execution reverts — preventing accidental overwrites.</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Write each proposedValue to the Parameter Registry.</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Call GCC.recordAmendment() to reset the 5-year cooldown.</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Write the ratification record to the Amendment Ledger.</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Emit a AmendmentExecuted event containing the full parameter diff — this event is picked up by all wallet clients, triggering the user notification flow (Section 8).</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20"/>
              <w:bottom w:val="single" w:color="7A1A1A" w:sz="1"/>
              <w:right w:val="single" w:color="C8D0DF" w:sz="1"/>
            </w:tcBorders>
            <w:shd w:fill="FFF0F0" w:val="clear"/>
            <w:tcMar>
              <w:top w:type="dxa" w:w="100"/>
              <w:left w:type="dxa" w:w="200"/>
              <w:bottom w:type="dxa" w:w="100"/>
              <w:right w:type="dxa" w:w="200"/>
            </w:tcMar>
          </w:tcPr>
          <w:p>
            <w:pPr>
              <w:spacing w:before="0" w:after="60"/>
            </w:pPr>
            <w:r>
              <w:rPr>
                <w:rFonts w:ascii="Arial" w:cs="Arial" w:eastAsia="Arial" w:hAnsi="Arial"/>
                <w:b/>
                <w:bCs/>
                <w:i w:val="false"/>
                <w:iCs w:val="false"/>
                <w:color w:val="7A1A1A"/>
                <w:sz w:val="20"/>
                <w:szCs w:val="20"/>
              </w:rPr>
              <w:t xml:space="preserve">ATOMICITY REQUIREMENT</w:t>
            </w:r>
          </w:p>
          <w:p>
            <w:pPr>
              <w:spacing w:before="0" w:after="0"/>
              <w:jc w:val="both"/>
            </w:pPr>
            <w:r>
              <w:rPr>
                <w:rFonts w:ascii="Arial" w:cs="Arial" w:eastAsia="Arial" w:hAnsi="Arial"/>
                <w:b w:val="false"/>
                <w:bCs w:val="false"/>
                <w:i w:val="false"/>
                <w:iCs w:val="false"/>
                <w:color w:val="1A1A2E"/>
                <w:sz w:val="20"/>
                <w:szCs w:val="20"/>
              </w:rPr>
              <w:t xml:space="preserve">All steps in the AEC execution must succeed or all must revert. There is no partial execution. If the GCC call fails (e.g., due to a re-entrancy attack), the entire execution reverts and no parameters are changed. Implement the full execution as a single function with no external state changes until all validations pass.</w:t>
            </w:r>
          </w:p>
        </w:tc>
      </w:tr>
    </w:tbl>
    <w:p>
      <w:pPr>
        <w:pStyle w:val="Heading2"/>
        <w:spacing w:before="320" w:after="80"/>
      </w:pPr>
      <w:r>
        <w:rPr>
          <w:rFonts w:ascii="Arial" w:cs="Arial" w:eastAsia="Arial" w:hAnsi="Arial"/>
          <w:b/>
          <w:bCs/>
          <w:i w:val="false"/>
          <w:iCs w:val="false"/>
          <w:color w:val="1A4A7A"/>
          <w:sz w:val="25"/>
          <w:szCs w:val="25"/>
        </w:rPr>
        <w:t xml:space="preserve">7.3 Amendment Ledger</w:t>
      </w:r>
    </w:p>
    <w:p>
      <w:pPr>
        <w:spacing w:before="60" w:after="120"/>
        <w:jc w:val="both"/>
      </w:pPr>
      <w:r>
        <w:rPr>
          <w:rFonts w:ascii="Arial" w:cs="Arial" w:eastAsia="Arial" w:hAnsi="Arial"/>
          <w:b w:val="false"/>
          <w:bCs w:val="false"/>
          <w:i w:val="false"/>
          <w:iCs w:val="false"/>
          <w:color w:val="1A1A2E"/>
          <w:sz w:val="22"/>
          <w:szCs w:val="22"/>
        </w:rPr>
        <w:t xml:space="preserve">The Amendment Ledger is an append-only log — no entry may be modified or deleted. Each entry records the complete before/after state of every parameter changed in the amendment, the vote tally, and the content hash of the original proposal. This creates a permanent, auditable constitutional history of the protocol.</w:t>
      </w:r>
    </w:p>
    <w:tbl>
      <w:tblPr>
        <w:tblW w:type="dxa" w:w="9360"/>
        <w:tblBorders>
          <w:top w:val="single" w:color="C8D0DF" w:sz="1"/>
          <w:left w:val="single" w:color="1A4A7A" w:sz="16"/>
          <w:bottom w:val="single" w:color="C8D0DF" w:sz="1"/>
          <w:right w:val="single" w:color="C8D0DF"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AmendmentLedger.sol</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struct LedgerEntry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amendmentNumber;     // sequential, from GCC.amendmentCount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ratifiedAt;          // block timestamp</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bytes32  proposalContentHash; // links to the original proposal</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approveCount;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rejectCount;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abstainCount;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uint256  activeWalletSnapshot;</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ParameterDiff[] diffs;        // full before/after for each changed parameter</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struct ParameterDiff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bytes32  key;</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    valueBefore;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bytes    valueAfter;</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Entries are indexed by amendment number and also by block range for</w:t>
            </w:r>
          </w:p>
        </w:tc>
      </w:tr>
      <w:tr>
        <w:tc>
          <w:tcPr>
            <w:tcW w:type="dxa" w:w="9360"/>
            <w:tcBorders>
              <w:top w:val="single" w:color="FFFFFF" w:sz="1"/>
              <w:left w:val="single" w:color="FFFFFF" w:sz="1"/>
              <w:bottom w:val="single" w:color="FFFFFF" w:sz="1"/>
              <w:right w:val="single" w:color="FFFFFF" w:sz="1"/>
            </w:tcBorders>
            <w:shd w:fill="F0F2F8"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1E1E2E"/>
                <w:sz w:val="18"/>
                <w:szCs w:val="18"/>
              </w:rPr>
              <w:t xml:space="preserve">// efficient historical queries by wallet clients.</w:t>
            </w:r>
          </w:p>
        </w:tc>
      </w:tr>
    </w:tbl>
    <w:p>
      <w:pPr>
        <w:pStyle w:val="Heading1"/>
        <w:spacing w:before="520" w:after="120"/>
      </w:pPr>
      <w:r>
        <w:rPr>
          <w:rFonts w:ascii="Arial" w:cs="Arial" w:eastAsia="Arial" w:hAnsi="Arial"/>
          <w:b/>
          <w:bCs/>
          <w:i w:val="false"/>
          <w:iCs w:val="false"/>
          <w:color w:val="0D2137"/>
          <w:sz w:val="30"/>
          <w:szCs w:val="30"/>
        </w:rPr>
        <w:t xml:space="preserve">8. User Notification and Ratification UX Flow</w:t>
      </w:r>
    </w:p>
    <w:p>
      <w:pPr>
        <w:pBdr>
          <w:bottom w:val="single" w:color="4A1A7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This section specifies the user-facing experience that wallet applications must implement. It is normative — any deviation constitutes a compatibility violation.</w:t>
      </w:r>
    </w:p>
    <w:p>
      <w:pPr>
        <w:pStyle w:val="Heading2"/>
        <w:spacing w:before="320" w:after="80"/>
      </w:pPr>
      <w:r>
        <w:rPr>
          <w:rFonts w:ascii="Arial" w:cs="Arial" w:eastAsia="Arial" w:hAnsi="Arial"/>
          <w:b/>
          <w:bCs/>
          <w:i w:val="false"/>
          <w:iCs w:val="false"/>
          <w:color w:val="1A4A7A"/>
          <w:sz w:val="25"/>
          <w:szCs w:val="25"/>
        </w:rPr>
        <w:t xml:space="preserve">8.1 Incoming Proposal Notification</w:t>
      </w:r>
    </w:p>
    <w:p>
      <w:pPr>
        <w:spacing w:before="60" w:after="120"/>
        <w:jc w:val="both"/>
      </w:pPr>
      <w:r>
        <w:rPr>
          <w:rFonts w:ascii="Arial" w:cs="Arial" w:eastAsia="Arial" w:hAnsi="Arial"/>
          <w:b w:val="false"/>
          <w:bCs w:val="false"/>
          <w:i w:val="false"/>
          <w:iCs w:val="false"/>
          <w:color w:val="1A1A2E"/>
          <w:sz w:val="22"/>
          <w:szCs w:val="22"/>
        </w:rPr>
        <w:t xml:space="preserve">When a new proposal is dispatched (S2→S3 transition), every wallet receives a push notification. The wallet application must:</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Display a persistent, non-dismissible banner in the main wallet screen: 'A Protocol Amendment proposal has been submitted. Your vote is required.' This banner must remain until the user has completed the deliberation steps or the voting window has closed.</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Not present any voting buttons at this stage. The deliberation period (90 days) must pass before voting opens. The banner explains this and shows a countdown.</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Verify the Merkle dispatch proof on-chain before displaying any proposal content. If the proof fails, display an error and flag the issue to the user — they may be receiving a forged proposal.</w:t>
      </w:r>
    </w:p>
    <w:p>
      <w:pPr>
        <w:pStyle w:val="ListParagraph"/>
        <w:numPr>
          <w:ilvl w:val="0"/>
          <w:numId w:val="3"/>
        </w:numPr>
        <w:spacing w:before="40" w:after="80"/>
      </w:pPr>
      <w:r>
        <w:rPr>
          <w:rFonts w:ascii="Arial" w:cs="Arial" w:eastAsia="Arial" w:hAnsi="Arial"/>
          <w:b w:val="false"/>
          <w:bCs w:val="false"/>
          <w:i w:val="false"/>
          <w:iCs w:val="false"/>
          <w:color w:val="1A1A2E"/>
          <w:sz w:val="22"/>
          <w:szCs w:val="22"/>
        </w:rPr>
        <w:t xml:space="preserve">Display the proposal's human title, a plain-language summary of the changes proposed (wallet applications should render a simplified diff), and the IPFS link to the full supporting document.</w:t>
      </w:r>
    </w:p>
    <w:p>
      <w:pPr>
        <w:pStyle w:val="Heading2"/>
        <w:spacing w:before="320" w:after="80"/>
      </w:pPr>
      <w:r>
        <w:rPr>
          <w:rFonts w:ascii="Arial" w:cs="Arial" w:eastAsia="Arial" w:hAnsi="Arial"/>
          <w:b/>
          <w:bCs/>
          <w:i w:val="false"/>
          <w:iCs w:val="false"/>
          <w:color w:val="1A4A7A"/>
          <w:sz w:val="25"/>
          <w:szCs w:val="25"/>
        </w:rPr>
        <w:t xml:space="preserve">8.2 Deliberation Period UX</w:t>
      </w:r>
    </w:p>
    <w:p>
      <w:pPr>
        <w:spacing w:before="60" w:after="120"/>
        <w:jc w:val="both"/>
      </w:pPr>
      <w:r>
        <w:rPr>
          <w:rFonts w:ascii="Arial" w:cs="Arial" w:eastAsia="Arial" w:hAnsi="Arial"/>
          <w:b w:val="false"/>
          <w:bCs w:val="false"/>
          <w:i w:val="false"/>
          <w:iCs w:val="false"/>
          <w:color w:val="1A1A2E"/>
          <w:sz w:val="22"/>
          <w:szCs w:val="22"/>
        </w:rPr>
        <w:t xml:space="preserve">During the 90-day deliberation period, the wallet must:</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Track whether the user has opened and read the proposal (timestamp the first open).</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Offer a 'Read Full Proposal' button that loads the IPFS document. Verify the document hash against contentHash before displaying. Display a warning if the document has been altered.</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Display a community discussion link (off-chain, e.g., a governance forum). Wallet does not host discussion — it links to it.</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Show a countdown to voting opening. Do not display voting controls during deliberation.</w:t>
      </w:r>
    </w:p>
    <w:p>
      <w:pPr>
        <w:pStyle w:val="Heading2"/>
        <w:spacing w:before="320" w:after="80"/>
      </w:pPr>
      <w:r>
        <w:rPr>
          <w:rFonts w:ascii="Arial" w:cs="Arial" w:eastAsia="Arial" w:hAnsi="Arial"/>
          <w:b/>
          <w:bCs/>
          <w:i w:val="false"/>
          <w:iCs w:val="false"/>
          <w:color w:val="1A4A7A"/>
          <w:sz w:val="25"/>
          <w:szCs w:val="25"/>
        </w:rPr>
        <w:t xml:space="preserve">8.3 Voting UX — The Three-Step Flow</w:t>
      </w:r>
    </w:p>
    <w:p>
      <w:pPr>
        <w:spacing w:before="60" w:after="120"/>
        <w:jc w:val="both"/>
      </w:pPr>
      <w:r>
        <w:rPr>
          <w:rFonts w:ascii="Arial" w:cs="Arial" w:eastAsia="Arial" w:hAnsi="Arial"/>
          <w:b w:val="false"/>
          <w:bCs w:val="false"/>
          <w:i w:val="false"/>
          <w:iCs w:val="false"/>
          <w:color w:val="1A1A2E"/>
          <w:sz w:val="22"/>
          <w:szCs w:val="22"/>
        </w:rPr>
        <w:t xml:space="preserve">When the voting window opens (S4→S5), the wallet activates the vote flow. The following steps are mandatory and must be presented in sequence: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8D0DF" w:sz="1"/>
              <w:left w:val="single" w:color="C8D0DF" w:sz="1"/>
              <w:bottom w:val="single" w:color="C8D0DF" w:sz="1"/>
              <w:right w:val="single" w:color="C8D0DF" w:sz="1"/>
            </w:tcBorders>
            <w:shd w:fill="4A1A7A" w:val="clear"/>
            <w:tcMar>
              <w:top w:type="dxa" w:w="80"/>
              <w:left w:type="dxa" w:w="80"/>
              <w:bottom w:type="dxa" w:w="80"/>
              <w:right w:type="dxa" w:w="80"/>
            </w:tcMar>
          </w:tcPr>
          <w:p>
            <w:pPr>
              <w:jc w:val="center"/>
            </w:pPr>
            <w:r>
              <w:rPr>
                <w:rFonts w:ascii="Arial" w:cs="Arial" w:eastAsia="Arial" w:hAnsi="Arial"/>
                <w:b/>
                <w:bCs/>
                <w:i w:val="false"/>
                <w:iCs w:val="false"/>
                <w:color w:val="FFFFFF"/>
                <w:sz w:val="19"/>
                <w:szCs w:val="19"/>
              </w:rPr>
              <w:t xml:space="preserve">Step</w:t>
            </w:r>
          </w:p>
        </w:tc>
        <w:tc>
          <w:tcPr>
            <w:tcW w:type="dxa" w:w="2800"/>
            <w:tcBorders>
              <w:top w:val="single" w:color="C8D0DF" w:sz="1"/>
              <w:left w:val="single" w:color="C8D0DF" w:sz="1"/>
              <w:bottom w:val="single" w:color="C8D0DF" w:sz="1"/>
              <w:right w:val="single" w:color="C8D0DF" w:sz="1"/>
            </w:tcBorders>
            <w:shd w:fill="4A1A7A"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Screen / Action</w:t>
            </w:r>
          </w:p>
        </w:tc>
        <w:tc>
          <w:tcPr>
            <w:tcW w:type="dxa" w:w="5960"/>
            <w:tcBorders>
              <w:top w:val="single" w:color="C8D0DF" w:sz="1"/>
              <w:left w:val="single" w:color="C8D0DF" w:sz="1"/>
              <w:bottom w:val="single" w:color="C8D0DF" w:sz="1"/>
              <w:right w:val="single" w:color="C8D0DF" w:sz="1"/>
            </w:tcBorders>
            <w:shd w:fill="4A1A7A"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Requirements</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80"/>
              <w:bottom w:type="dxa" w:w="80"/>
              <w:right w:type="dxa" w:w="80"/>
            </w:tcMar>
          </w:tcPr>
          <w:p>
            <w:pPr>
              <w:jc w:val="center"/>
            </w:pPr>
            <w:r>
              <w:rPr>
                <w:rFonts w:ascii="Arial" w:cs="Arial" w:eastAsia="Arial" w:hAnsi="Arial"/>
                <w:b/>
                <w:bCs/>
                <w:i w:val="false"/>
                <w:iCs w:val="false"/>
                <w:color w:val="4A1A7A"/>
                <w:sz w:val="20"/>
                <w:szCs w:val="20"/>
              </w:rPr>
              <w:t xml:space="preserve">1 of 3</w:t>
            </w:r>
          </w:p>
        </w:tc>
        <w:tc>
          <w:tcPr>
            <w:tcW w:type="dxa" w:w="2800"/>
            <w:tcBorders>
              <w:top w:val="single" w:color="C8D0DF" w:sz="1"/>
              <w:left w:val="single" w:color="C8D0DF" w:sz="1"/>
              <w:bottom w:val="single" w:color="C8D0DF" w:sz="1"/>
              <w:right w:val="single" w:color="C8D0DF" w:sz="1"/>
            </w:tcBorders>
            <w:shd w:fill="F5F6FA" w:val="clear"/>
            <w:tcMar>
              <w:top w:type="dxa" w:w="80"/>
              <w:left w:type="dxa" w:w="140"/>
              <w:bottom w:type="dxa" w:w="80"/>
              <w:right w:type="dxa" w:w="140"/>
            </w:tcMar>
          </w:tcPr>
          <w:p>
            <w:r>
              <w:rPr>
                <w:rFonts w:ascii="Arial" w:cs="Arial" w:eastAsia="Arial" w:hAnsi="Arial"/>
                <w:b/>
                <w:bCs/>
                <w:i w:val="false"/>
                <w:iCs w:val="false"/>
                <w:color w:val="1A1A2E"/>
                <w:sz w:val="20"/>
                <w:szCs w:val="20"/>
              </w:rPr>
              <w:t xml:space="preserve">PROPOSAL REVIEW GATE</w:t>
            </w:r>
          </w:p>
        </w:tc>
        <w:tc>
          <w:tcPr>
            <w:tcW w:type="dxa" w:w="5960"/>
            <w:tcBorders>
              <w:top w:val="single" w:color="C8D0DF" w:sz="1"/>
              <w:left w:val="single" w:color="C8D0DF" w:sz="1"/>
              <w:bottom w:val="single" w:color="C8D0DF" w:sz="1"/>
              <w:right w:val="single" w:color="C8D0DF" w:sz="1"/>
            </w:tcBorders>
            <w:shd w:fill="F5F6FA" w:val="clear"/>
            <w:tcMar>
              <w:top w:type="dxa" w:w="80"/>
              <w:left w:type="dxa" w:w="140"/>
              <w:bottom w:type="dxa" w:w="80"/>
              <w:right w:type="dxa" w:w="140"/>
            </w:tcMar>
          </w:tcPr>
          <w:p>
            <w:pPr>
              <w:jc w:val="both"/>
            </w:pPr>
            <w:r>
              <w:rPr>
                <w:rFonts w:ascii="Arial" w:cs="Arial" w:eastAsia="Arial" w:hAnsi="Arial"/>
                <w:b w:val="false"/>
                <w:bCs w:val="false"/>
                <w:i w:val="false"/>
                <w:iCs w:val="false"/>
                <w:color w:val="1A1A2E"/>
                <w:sz w:val="19"/>
                <w:szCs w:val="19"/>
              </w:rPr>
              <w:t xml:space="preserve">User must scroll through a summary of every parameter change in the proposal. A 'I have read this proposal' checkbox appears only after the user has scrolled past the last item. Checkbox is NOT pre-ticked. The 'Proceed to vote' button is disabled until the box is checked. The timestamp of this action is recorded as the deliberation proof openedAt value. If this timestamp is less than 24 hours before the current time, the vote cannot be submitted — the user must wait.</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80"/>
              <w:bottom w:type="dxa" w:w="80"/>
              <w:right w:type="dxa" w:w="80"/>
            </w:tcMar>
          </w:tcPr>
          <w:p>
            <w:pPr>
              <w:jc w:val="center"/>
            </w:pPr>
            <w:r>
              <w:rPr>
                <w:rFonts w:ascii="Arial" w:cs="Arial" w:eastAsia="Arial" w:hAnsi="Arial"/>
                <w:b/>
                <w:bCs/>
                <w:i w:val="false"/>
                <w:iCs w:val="false"/>
                <w:color w:val="4A1A7A"/>
                <w:sz w:val="20"/>
                <w:szCs w:val="20"/>
              </w:rPr>
              <w:t xml:space="preserve">2 of 3</w:t>
            </w:r>
          </w:p>
        </w:tc>
        <w:tc>
          <w:tcPr>
            <w:tcW w:type="dxa" w:w="2800"/>
            <w:tcBorders>
              <w:top w:val="single" w:color="C8D0DF" w:sz="1"/>
              <w:left w:val="single" w:color="C8D0DF" w:sz="1"/>
              <w:bottom w:val="single" w:color="C8D0DF" w:sz="1"/>
              <w:right w:val="single" w:color="C8D0DF" w:sz="1"/>
            </w:tcBorders>
            <w:shd w:fill="FFFFFF" w:val="clear"/>
            <w:tcMar>
              <w:top w:type="dxa" w:w="80"/>
              <w:left w:type="dxa" w:w="140"/>
              <w:bottom w:type="dxa" w:w="80"/>
              <w:right w:type="dxa" w:w="140"/>
            </w:tcMar>
          </w:tcPr>
          <w:p>
            <w:r>
              <w:rPr>
                <w:rFonts w:ascii="Arial" w:cs="Arial" w:eastAsia="Arial" w:hAnsi="Arial"/>
                <w:b/>
                <w:bCs/>
                <w:i w:val="false"/>
                <w:iCs w:val="false"/>
                <w:color w:val="1A1A2E"/>
                <w:sz w:val="20"/>
                <w:szCs w:val="20"/>
              </w:rPr>
              <w:t xml:space="preserve">CONSEQUENCE SCREEN</w:t>
            </w:r>
          </w:p>
        </w:tc>
        <w:tc>
          <w:tcPr>
            <w:tcW w:type="dxa" w:w="5960"/>
            <w:tcBorders>
              <w:top w:val="single" w:color="C8D0DF" w:sz="1"/>
              <w:left w:val="single" w:color="C8D0DF" w:sz="1"/>
              <w:bottom w:val="single" w:color="C8D0DF" w:sz="1"/>
              <w:right w:val="single" w:color="C8D0DF" w:sz="1"/>
            </w:tcBorders>
            <w:shd w:fill="FFFFFF" w:val="clear"/>
            <w:tcMar>
              <w:top w:type="dxa" w:w="80"/>
              <w:left w:type="dxa" w:w="140"/>
              <w:bottom w:type="dxa" w:w="80"/>
              <w:right w:type="dxa" w:w="140"/>
            </w:tcMar>
          </w:tcPr>
          <w:p>
            <w:pPr>
              <w:jc w:val="both"/>
            </w:pPr>
            <w:r>
              <w:rPr>
                <w:rFonts w:ascii="Arial" w:cs="Arial" w:eastAsia="Arial" w:hAnsi="Arial"/>
                <w:b w:val="false"/>
                <w:bCs w:val="false"/>
                <w:i w:val="false"/>
                <w:iCs w:val="false"/>
                <w:color w:val="1A1A2E"/>
                <w:sz w:val="19"/>
                <w:szCs w:val="19"/>
              </w:rPr>
              <w:t xml:space="preserve">A plain-language screen displays what will change if this proposal is ratified — in concrete terms, not technical. Example: 'If approved, the minimum transfer amount requiring identity verification will change from 500 PADU to 750 PADU.' There is no 'OK' button. The user must explicitly choose: 'I understand the consequences' (advances) or 'I want to read more' (returns to proposal). Auto-advance is not permitted.</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80"/>
              <w:bottom w:type="dxa" w:w="80"/>
              <w:right w:type="dxa" w:w="80"/>
            </w:tcMar>
          </w:tcPr>
          <w:p>
            <w:pPr>
              <w:jc w:val="center"/>
            </w:pPr>
            <w:r>
              <w:rPr>
                <w:rFonts w:ascii="Arial" w:cs="Arial" w:eastAsia="Arial" w:hAnsi="Arial"/>
                <w:b/>
                <w:bCs/>
                <w:i w:val="false"/>
                <w:iCs w:val="false"/>
                <w:color w:val="4A1A7A"/>
                <w:sz w:val="20"/>
                <w:szCs w:val="20"/>
              </w:rPr>
              <w:t xml:space="preserve">3 of 3</w:t>
            </w:r>
          </w:p>
        </w:tc>
        <w:tc>
          <w:tcPr>
            <w:tcW w:type="dxa" w:w="2800"/>
            <w:tcBorders>
              <w:top w:val="single" w:color="C8D0DF" w:sz="1"/>
              <w:left w:val="single" w:color="C8D0DF" w:sz="1"/>
              <w:bottom w:val="single" w:color="C8D0DF" w:sz="1"/>
              <w:right w:val="single" w:color="C8D0DF" w:sz="1"/>
            </w:tcBorders>
            <w:shd w:fill="F5F6FA" w:val="clear"/>
            <w:tcMar>
              <w:top w:type="dxa" w:w="80"/>
              <w:left w:type="dxa" w:w="140"/>
              <w:bottom w:type="dxa" w:w="80"/>
              <w:right w:type="dxa" w:w="140"/>
            </w:tcMar>
          </w:tcPr>
          <w:p>
            <w:r>
              <w:rPr>
                <w:rFonts w:ascii="Arial" w:cs="Arial" w:eastAsia="Arial" w:hAnsi="Arial"/>
                <w:b/>
                <w:bCs/>
                <w:i w:val="false"/>
                <w:iCs w:val="false"/>
                <w:color w:val="1A1A2E"/>
                <w:sz w:val="20"/>
                <w:szCs w:val="20"/>
              </w:rPr>
              <w:t xml:space="preserve">VOTE SCREEN</w:t>
            </w:r>
          </w:p>
        </w:tc>
        <w:tc>
          <w:tcPr>
            <w:tcW w:type="dxa" w:w="5960"/>
            <w:tcBorders>
              <w:top w:val="single" w:color="C8D0DF" w:sz="1"/>
              <w:left w:val="single" w:color="C8D0DF" w:sz="1"/>
              <w:bottom w:val="single" w:color="C8D0DF" w:sz="1"/>
              <w:right w:val="single" w:color="C8D0DF" w:sz="1"/>
            </w:tcBorders>
            <w:shd w:fill="F5F6FA" w:val="clear"/>
            <w:tcMar>
              <w:top w:type="dxa" w:w="80"/>
              <w:left w:type="dxa" w:w="140"/>
              <w:bottom w:type="dxa" w:w="80"/>
              <w:right w:type="dxa" w:w="140"/>
            </w:tcMar>
          </w:tcPr>
          <w:p>
            <w:pPr>
              <w:jc w:val="both"/>
            </w:pPr>
            <w:r>
              <w:rPr>
                <w:rFonts w:ascii="Arial" w:cs="Arial" w:eastAsia="Arial" w:hAnsi="Arial"/>
                <w:b w:val="false"/>
                <w:bCs w:val="false"/>
                <w:i w:val="false"/>
                <w:iCs w:val="false"/>
                <w:color w:val="1A1A2E"/>
                <w:sz w:val="19"/>
                <w:szCs w:val="19"/>
              </w:rPr>
              <w:t xml:space="preserve">Three clearly labelled, equal-sized buttons: APPROVE / REJECT / ABSTAIN. None is pre-selected, highlighted, or positioned to suggest a preference. The user selects one. A confirmation code (6 alphanumeric characters, unique to this wallet and proposal) is displayed on screen. The user must type it into a text field before the Submit Vote button becomes active. Submit Vote triggers the signed VoteTransaction broadcast.</w:t>
            </w:r>
          </w:p>
        </w:tc>
      </w:tr>
    </w:tbl>
    <w:p>
      <w:pPr>
        <w:pStyle w:val="Heading2"/>
        <w:spacing w:before="320" w:after="80"/>
      </w:pPr>
      <w:r>
        <w:rPr>
          <w:rFonts w:ascii="Arial" w:cs="Arial" w:eastAsia="Arial" w:hAnsi="Arial"/>
          <w:b/>
          <w:bCs/>
          <w:i w:val="false"/>
          <w:iCs w:val="false"/>
          <w:color w:val="1A4A7A"/>
          <w:sz w:val="25"/>
          <w:szCs w:val="25"/>
        </w:rPr>
        <w:t xml:space="preserve">8.4 Post-Vote and Result Notification</w:t>
      </w:r>
    </w:p>
    <w:p>
      <w:pPr>
        <w:spacing w:before="60" w:after="120"/>
        <w:jc w:val="both"/>
      </w:pPr>
      <w:r>
        <w:rPr>
          <w:rFonts w:ascii="Arial" w:cs="Arial" w:eastAsia="Arial" w:hAnsi="Arial"/>
          <w:b w:val="false"/>
          <w:bCs w:val="false"/>
          <w:i w:val="false"/>
          <w:iCs w:val="false"/>
          <w:color w:val="1A1A2E"/>
          <w:sz w:val="22"/>
          <w:szCs w:val="22"/>
        </w:rPr>
        <w:t xml:space="preserve">After a user submits their vote:</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The wallet displays a receipt: the vote choice, the transaction hash, and a confirmation that the on-chain RVC recorded the vote.</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During the voting window, the wallet displays a live tally (approve/reject/abstain counts and current percentage). This is read from the RVC and updates in real time.</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When the voting window closes and the result is computed, every wallet receives a result notification — regardless of whether the user voted. The notification states the outcome (RATIFIED or FAILED) and the final tally.</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If RATIFIED: the wallet displays a diff screen showing exactly what changed, with before/after values for every amended parameter. The user must acknowledge this screen before the wallet returns to normal operation. Acknowledgement is logged locally (not on-chain) — it is a UX gate, not a further vote.</w:t>
      </w:r>
    </w:p>
    <w:p>
      <w:pPr>
        <w:pStyle w:val="ListParagraph"/>
        <w:numPr>
          <w:ilvl w:val="0"/>
          <w:numId w:val="2"/>
        </w:numPr>
        <w:spacing w:before="40" w:after="80"/>
      </w:pPr>
      <w:r>
        <w:rPr>
          <w:rFonts w:ascii="Arial" w:cs="Arial" w:eastAsia="Arial" w:hAnsi="Arial"/>
          <w:b w:val="false"/>
          <w:bCs w:val="false"/>
          <w:i w:val="false"/>
          <w:iCs w:val="false"/>
          <w:color w:val="1A1A2E"/>
          <w:sz w:val="22"/>
          <w:szCs w:val="22"/>
        </w:rPr>
        <w:t xml:space="preserve">If FAILED: the wallet displays the final tally and confirms that no parameters have changed. The system continues operating as before.</w:t>
      </w:r>
    </w:p>
    <w:p>
      <w:pPr>
        <w:pStyle w:val="Heading1"/>
        <w:spacing w:before="520" w:after="120"/>
      </w:pPr>
      <w:r>
        <w:rPr>
          <w:rFonts w:ascii="Arial" w:cs="Arial" w:eastAsia="Arial" w:hAnsi="Arial"/>
          <w:b/>
          <w:bCs/>
          <w:i w:val="false"/>
          <w:iCs w:val="false"/>
          <w:color w:val="0D2137"/>
          <w:sz w:val="30"/>
          <w:szCs w:val="30"/>
        </w:rPr>
        <w:t xml:space="preserve">9. Security Architecture and Attack Vectors</w:t>
      </w:r>
    </w:p>
    <w:p>
      <w:pPr>
        <w:pBdr>
          <w:bottom w:val="single" w:color="4A1A7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This section documents known attack vectors against the governance system and the specific mitigations built into the architecture. Developers must implement defenses against all vectors listed here.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c>
          <w:tcPr>
            <w:tcW w:type="dxa" w:w="24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Attack Vector</w:t>
            </w:r>
          </w:p>
        </w:tc>
        <w:tc>
          <w:tcPr>
            <w:tcW w:type="dxa" w:w="328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Description</w:t>
            </w:r>
          </w:p>
        </w:tc>
        <w:tc>
          <w:tcPr>
            <w:tcW w:type="dxa" w:w="368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Mitigation</w:t>
            </w:r>
          </w:p>
        </w:tc>
      </w:tr>
      <w:tr>
        <w:tc>
          <w:tcPr>
            <w:tcW w:type="dxa" w:w="2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External trigger attack</w:t>
            </w:r>
          </w:p>
        </w:tc>
        <w:tc>
          <w:tcPr>
            <w:tcW w:type="dxa" w:w="328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An actor outside the chain attempts to initiate a governance cycle via API call, phishing, or social engineering.</w:t>
            </w:r>
          </w:p>
        </w:tc>
        <w:tc>
          <w:tcPr>
            <w:tcW w:type="dxa" w:w="368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WCC only accepts signals from wallet transactions on-chain. No off-chain API can trigger the process. The GCC cooldown enforces a physical time constraint that no API can bypass.</w:t>
            </w:r>
          </w:p>
        </w:tc>
      </w:tr>
      <w:tr>
        <w:tc>
          <w:tcPr>
            <w:tcW w:type="dxa" w:w="2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Sybil signal attack</w:t>
            </w:r>
          </w:p>
        </w:tc>
        <w:tc>
          <w:tcPr>
            <w:tcW w:type="dxa" w:w="328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An actor creates thousands of wallets to artificially reach the open-window threshold.</w:t>
            </w:r>
          </w:p>
        </w:tc>
        <w:tc>
          <w:tcPr>
            <w:tcW w:type="dxa" w:w="368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Signal fee burn disincentivises cost. Active wallet definition (180-day transaction history) prevents empty wallet Sybil farms. Signal threshold scales with active wallet count.</w:t>
            </w:r>
          </w:p>
        </w:tc>
      </w:tr>
      <w:tr>
        <w:tc>
          <w:tcPr>
            <w:tcW w:type="dxa" w:w="2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Governance contract upgrade attack</w:t>
            </w:r>
          </w:p>
        </w:tc>
        <w:tc>
          <w:tcPr>
            <w:tcW w:type="dxa" w:w="328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An actor attempts to use governance to modify the governance contracts themselves.</w:t>
            </w:r>
          </w:p>
        </w:tc>
        <w:tc>
          <w:tcPr>
            <w:tcW w:type="dxa" w:w="368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Governance contract addresses are hardcoded in each other. The AEC cannot write to itself or the RVC. The PRC namespace validator rejects any proposal targeting governance contract addresses.</w:t>
            </w:r>
          </w:p>
        </w:tc>
      </w:tr>
      <w:tr>
        <w:tc>
          <w:tcPr>
            <w:tcW w:type="dxa" w:w="2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Proposal flooding attack</w:t>
            </w:r>
          </w:p>
        </w:tc>
        <w:tc>
          <w:tcPr>
            <w:tcW w:type="dxa" w:w="328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An actor submits many proposals to exhaust the candidacy window and prevent legitimate proposals from being reviewed.</w:t>
            </w:r>
          </w:p>
        </w:tc>
        <w:tc>
          <w:tcPr>
            <w:tcW w:type="dxa" w:w="368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Maximum of 3 simultaneous proposals per candidacy window. Each proposal requires a 100 PADU stake, making flooding expensive. PRC closes the candidacy window once 3 proposals are accepted.</w:t>
            </w:r>
          </w:p>
        </w:tc>
      </w:tr>
      <w:tr>
        <w:tc>
          <w:tcPr>
            <w:tcW w:type="dxa" w:w="2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Silent majority capture</w:t>
            </w:r>
          </w:p>
        </w:tc>
        <w:tc>
          <w:tcPr>
            <w:tcW w:type="dxa" w:w="328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 well-funded actor controls enough wallets to reach 60% approval on a self-serving proposal.</w:t>
            </w:r>
          </w:p>
        </w:tc>
        <w:tc>
          <w:tcPr>
            <w:tcW w:type="dxa" w:w="368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The 60% threshold applies to ALL active wallets, not just participating voters. Abstentions and non-votes count against approval. A 60% approval therefore requires active, deliberate support from a supermajority of the user base.</w:t>
            </w:r>
          </w:p>
        </w:tc>
      </w:tr>
      <w:tr>
        <w:tc>
          <w:tcPr>
            <w:tcW w:type="dxa" w:w="2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Dispatch suppression attack</w:t>
            </w:r>
          </w:p>
        </w:tc>
        <w:tc>
          <w:tcPr>
            <w:tcW w:type="dxa" w:w="328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An actor running PDS infrastructure suppresses delivery to certain wallets to manipulate vote composition.</w:t>
            </w:r>
          </w:p>
        </w:tc>
        <w:tc>
          <w:tcPr>
            <w:tcW w:type="dxa" w:w="368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Wallets verify Merkle dispatch proofs on-chain. If a wallet never receives a dispatch notification, it can query the PRC directly and participate via any RPC node. PDS failure does not block voting — it just means the dispatch completion timer runs to the 30-day fallback.</w:t>
            </w:r>
          </w:p>
        </w:tc>
      </w:tr>
      <w:tr>
        <w:tc>
          <w:tcPr>
            <w:tcW w:type="dxa" w:w="24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Front-running parameter reads</w:t>
            </w:r>
          </w:p>
        </w:tc>
        <w:tc>
          <w:tcPr>
            <w:tcW w:type="dxa" w:w="328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 validator front-runs a parameter change to extract value during the transition block.</w:t>
            </w:r>
          </w:p>
        </w:tc>
        <w:tc>
          <w:tcPr>
            <w:tcW w:type="dxa" w:w="368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Parameter changes are applied atomically in the AEC execution transaction. There is no 'partial update' state. Validators cannot observe a proposal passing and front-run before execution because execution happens in the same transaction as the vote close.</w:t>
            </w:r>
          </w:p>
        </w:tc>
      </w:tr>
      <w:tr>
        <w:tc>
          <w:tcPr>
            <w:tcW w:type="dxa" w:w="24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Long-range governance reset</w:t>
            </w:r>
          </w:p>
        </w:tc>
        <w:tc>
          <w:tcPr>
            <w:tcW w:type="dxa" w:w="328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An actor with sufficient stake attempts to ratify amendments consecutively to reshape the protocol.</w:t>
            </w:r>
          </w:p>
        </w:tc>
        <w:tc>
          <w:tcPr>
            <w:tcW w:type="dxa" w:w="368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5-year cooldown between any two amendments is enforced by GCC. Even with total user consent, the protocol cannot be materially changed more than once per 5-year period.</w:t>
            </w:r>
          </w:p>
        </w:tc>
      </w:tr>
    </w:tbl>
    <w:p>
      <w:pPr>
        <w:pStyle w:val="Heading1"/>
        <w:spacing w:before="520" w:after="120"/>
      </w:pPr>
      <w:r>
        <w:rPr>
          <w:rFonts w:ascii="Arial" w:cs="Arial" w:eastAsia="Arial" w:hAnsi="Arial"/>
          <w:b/>
          <w:bCs/>
          <w:i w:val="false"/>
          <w:iCs w:val="false"/>
          <w:color w:val="0D2137"/>
          <w:sz w:val="30"/>
          <w:szCs w:val="30"/>
        </w:rPr>
        <w:t xml:space="preserve">10. Deployment Sequence and Checklist</w:t>
      </w:r>
    </w:p>
    <w:p>
      <w:pPr>
        <w:pBdr>
          <w:bottom w:val="single" w:color="4A1A7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The governance contracts must be deployed in a specific order due to their mutual address dependencies. Use a deployment script that computes all addresses before any deployment (CREATE2 with salt) to avoid circular dependency issues.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560"/>
        <w:gridCol w:w="1600"/>
      </w:tblGrid>
      <w:tr>
        <w:tc>
          <w:tcPr>
            <w:tcW w:type="dxa" w:w="6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Order</w:t>
            </w:r>
          </w:p>
        </w:tc>
        <w:tc>
          <w:tcPr>
            <w:tcW w:type="dxa" w:w="26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Contract</w:t>
            </w:r>
          </w:p>
        </w:tc>
        <w:tc>
          <w:tcPr>
            <w:tcW w:type="dxa" w:w="45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Key deployment parameters</w:t>
            </w:r>
          </w:p>
        </w:tc>
        <w:tc>
          <w:tcPr>
            <w:tcW w:type="dxa" w:w="16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Immutable after deploy?</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w:t>
            </w:r>
          </w:p>
        </w:tc>
        <w:tc>
          <w:tcPr>
            <w:tcW w:type="dxa" w:w="2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Amendment Ledger</w:t>
            </w:r>
          </w:p>
        </w:tc>
        <w:tc>
          <w:tcPr>
            <w:tcW w:type="dxa" w:w="4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No dependencies. Deploy first.</w:t>
            </w:r>
          </w:p>
        </w:tc>
        <w:tc>
          <w:tcPr>
            <w:tcW w:type="dxa" w:w="1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Yes</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2</w:t>
            </w:r>
          </w:p>
        </w:tc>
        <w:tc>
          <w:tcPr>
            <w:tcW w:type="dxa" w:w="2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Parameter Registry</w:t>
            </w:r>
          </w:p>
        </w:tc>
        <w:tc>
          <w:tcPr>
            <w:tcW w:type="dxa" w:w="45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aecAddress = address(AEC) — computed via CREATE2 before deployment.</w:t>
            </w:r>
          </w:p>
        </w:tc>
        <w:tc>
          <w:tcPr>
            <w:tcW w:type="dxa" w:w="1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aecAddress: Yes. Data: No (written by AEC)</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3</w:t>
            </w:r>
          </w:p>
        </w:tc>
        <w:tc>
          <w:tcPr>
            <w:tcW w:type="dxa" w:w="2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Governance Clock</w:t>
            </w:r>
          </w:p>
        </w:tc>
        <w:tc>
          <w:tcPr>
            <w:tcW w:type="dxa" w:w="4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aecAddress = address(AEC). genesisExceptionOffset = 0 for mainnet.</w:t>
            </w:r>
          </w:p>
        </w:tc>
        <w:tc>
          <w:tcPr>
            <w:tcW w:type="dxa" w:w="1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All fields: Yes</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4</w:t>
            </w:r>
          </w:p>
        </w:tc>
        <w:tc>
          <w:tcPr>
            <w:tcW w:type="dxa" w:w="2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Wallet Registry</w:t>
            </w:r>
          </w:p>
        </w:tc>
        <w:tc>
          <w:tcPr>
            <w:tcW w:type="dxa" w:w="45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No governance dependencies. Can be deployed any time before WCC.</w:t>
            </w:r>
          </w:p>
        </w:tc>
        <w:tc>
          <w:tcPr>
            <w:tcW w:type="dxa" w:w="1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Yes (logic). No (data)</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5</w:t>
            </w:r>
          </w:p>
        </w:tc>
        <w:tc>
          <w:tcPr>
            <w:tcW w:type="dxa" w:w="2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Window Consensus</w:t>
            </w:r>
          </w:p>
        </w:tc>
        <w:tc>
          <w:tcPr>
            <w:tcW w:type="dxa" w:w="4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gcc = address(GCC). walletRegistry = address(WR).</w:t>
            </w:r>
          </w:p>
        </w:tc>
        <w:tc>
          <w:tcPr>
            <w:tcW w:type="dxa" w:w="1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gcc, walletRegistry: Yes</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6</w:t>
            </w:r>
          </w:p>
        </w:tc>
        <w:tc>
          <w:tcPr>
            <w:tcW w:type="dxa" w:w="2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Proposal Registry</w:t>
            </w:r>
          </w:p>
        </w:tc>
        <w:tc>
          <w:tcPr>
            <w:tcW w:type="dxa" w:w="45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wcc = address(WCC). dispatchService = address(PDS multisig).</w:t>
            </w:r>
          </w:p>
        </w:tc>
        <w:tc>
          <w:tcPr>
            <w:tcW w:type="dxa" w:w="1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wcc: Yes</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7</w:t>
            </w:r>
          </w:p>
        </w:tc>
        <w:tc>
          <w:tcPr>
            <w:tcW w:type="dxa" w:w="2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ZK Verifier</w:t>
            </w:r>
          </w:p>
        </w:tc>
        <w:tc>
          <w:tcPr>
            <w:tcW w:type="dxa" w:w="4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Requires completed trusted setup ceremony. verificationKey loaded.</w:t>
            </w:r>
          </w:p>
        </w:tc>
        <w:tc>
          <w:tcPr>
            <w:tcW w:type="dxa" w:w="1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verificationKey: Yes</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8</w:t>
            </w:r>
          </w:p>
        </w:tc>
        <w:tc>
          <w:tcPr>
            <w:tcW w:type="dxa" w:w="2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Ratification Vote</w:t>
            </w:r>
          </w:p>
        </w:tc>
        <w:tc>
          <w:tcPr>
            <w:tcW w:type="dxa" w:w="45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prc = address(PRC). aec = address(AEC).</w:t>
            </w:r>
          </w:p>
        </w:tc>
        <w:tc>
          <w:tcPr>
            <w:tcW w:type="dxa" w:w="1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prc, aec: Yes</w:t>
            </w:r>
          </w:p>
        </w:tc>
      </w:tr>
      <w:tr>
        <w:tc>
          <w:tcPr>
            <w:tcW w:type="dxa" w:w="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9</w:t>
            </w:r>
          </w:p>
        </w:tc>
        <w:tc>
          <w:tcPr>
            <w:tcW w:type="dxa" w:w="2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Amendment Execution</w:t>
            </w:r>
          </w:p>
        </w:tc>
        <w:tc>
          <w:tcPr>
            <w:tcW w:type="dxa" w:w="4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rvc = address(RVC). gcc = address(GCC). pr = address(PR). al = address(AL).</w:t>
            </w:r>
          </w:p>
        </w:tc>
        <w:tc>
          <w:tcPr>
            <w:tcW w:type="dxa" w:w="16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All addresses: Yes</w:t>
            </w:r>
          </w:p>
        </w:tc>
      </w:tr>
      <w:tr>
        <w:tc>
          <w:tcPr>
            <w:tcW w:type="dxa" w:w="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10</w:t>
            </w:r>
          </w:p>
        </w:tc>
        <w:tc>
          <w:tcPr>
            <w:tcW w:type="dxa" w:w="2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Parameter Registry (init)</w:t>
            </w:r>
          </w:p>
        </w:tc>
        <w:tc>
          <w:tcPr>
            <w:tcW w:type="dxa" w:w="45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AEC calls pr.set() for each genesis parameter value.</w:t>
            </w:r>
          </w:p>
        </w:tc>
        <w:tc>
          <w:tcPr>
            <w:tcW w:type="dxa" w:w="16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N/A — initialization step</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20"/>
              <w:bottom w:val="single" w:color="7A1A1A" w:sz="1"/>
              <w:right w:val="single" w:color="C8D0DF" w:sz="1"/>
            </w:tcBorders>
            <w:shd w:fill="FFF0F0" w:val="clear"/>
            <w:tcMar>
              <w:top w:type="dxa" w:w="100"/>
              <w:left w:type="dxa" w:w="200"/>
              <w:bottom w:type="dxa" w:w="100"/>
              <w:right w:type="dxa" w:w="200"/>
            </w:tcMar>
          </w:tcPr>
          <w:p>
            <w:pPr>
              <w:spacing w:before="0" w:after="60"/>
            </w:pPr>
            <w:r>
              <w:rPr>
                <w:rFonts w:ascii="Arial" w:cs="Arial" w:eastAsia="Arial" w:hAnsi="Arial"/>
                <w:b/>
                <w:bCs/>
                <w:i w:val="false"/>
                <w:iCs w:val="false"/>
                <w:color w:val="7A1A1A"/>
                <w:sz w:val="20"/>
                <w:szCs w:val="20"/>
              </w:rPr>
              <w:t xml:space="preserve">POST-DEPLOYMENT VERIFICATION</w:t>
            </w:r>
          </w:p>
          <w:p>
            <w:pPr>
              <w:spacing w:before="0" w:after="0"/>
              <w:jc w:val="both"/>
            </w:pPr>
            <w:r>
              <w:rPr>
                <w:rFonts w:ascii="Arial" w:cs="Arial" w:eastAsia="Arial" w:hAnsi="Arial"/>
                <w:b w:val="false"/>
                <w:bCs w:val="false"/>
                <w:i w:val="false"/>
                <w:iCs w:val="false"/>
                <w:color w:val="1A1A2E"/>
                <w:sz w:val="20"/>
                <w:szCs w:val="20"/>
              </w:rPr>
              <w:t xml:space="preserve">After deployment, run the full governance simulation test suite against mainnet fork before going live. Verify: (1) GCC rejects WCC calls from non-AEC addresses, (2) WCC rejects signals when cooldown not elapsed, (3) PRC rejects proposals targeting IMMUTABLE parameters, (4) RVC rejects vote transactions with invalid proof-of-deliberation, (5) AEC reverts if parameter currentValue mismatch is detected.</w:t>
            </w:r>
          </w:p>
        </w:tc>
      </w:tr>
    </w:tbl>
    <w:p>
      <w:pPr>
        <w:spacing w:before="0" w:after="200"/>
      </w:pPr>
    </w:p>
    <w:p>
      <w:pPr>
        <w:pStyle w:val="Heading1"/>
        <w:spacing w:before="520" w:after="120"/>
      </w:pPr>
      <w:r>
        <w:rPr>
          <w:rFonts w:ascii="Arial" w:cs="Arial" w:eastAsia="Arial" w:hAnsi="Arial"/>
          <w:b/>
          <w:bCs/>
          <w:i w:val="false"/>
          <w:iCs w:val="false"/>
          <w:color w:val="0D2137"/>
          <w:sz w:val="30"/>
          <w:szCs w:val="30"/>
        </w:rPr>
        <w:t xml:space="preserve">Appendix A: Parameter Namespace Reference</w:t>
      </w:r>
    </w:p>
    <w:p>
      <w:pPr>
        <w:pBdr>
          <w:bottom w:val="single" w:color="4A1A7A" w:sz="8" w:space="1"/>
        </w:pBdr>
        <w:spacing w:before="0" w:after="160"/>
      </w:pPr>
    </w:p>
    <w:p>
      <w:pPr>
        <w:spacing w:before="60" w:after="120"/>
        <w:jc w:val="both"/>
      </w:pPr>
      <w:r>
        <w:rPr>
          <w:rFonts w:ascii="Arial" w:cs="Arial" w:eastAsia="Arial" w:hAnsi="Arial"/>
          <w:b w:val="false"/>
          <w:bCs w:val="false"/>
          <w:i w:val="false"/>
          <w:iCs w:val="false"/>
          <w:color w:val="1A1A2E"/>
          <w:sz w:val="22"/>
          <w:szCs w:val="22"/>
        </w:rPr>
        <w:t xml:space="preserve">The following table defines all Protocol-Chamber-governed parameters, their namespace keys, genesis values, and acceptable value ranges. Parameters outside this list cannot be modified by the Protocol Chamber.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60"/>
        <w:gridCol w:w="1800"/>
      </w:tblGrid>
      <w:tr>
        <w:tc>
          <w:tcPr>
            <w:tcW w:type="dxa" w:w="32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Namespace Key</w:t>
            </w:r>
          </w:p>
        </w:tc>
        <w:tc>
          <w:tcPr>
            <w:tcW w:type="dxa" w:w="28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Description</w:t>
            </w:r>
          </w:p>
        </w:tc>
        <w:tc>
          <w:tcPr>
            <w:tcW w:type="dxa" w:w="156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Genesis Value</w:t>
            </w:r>
          </w:p>
        </w:tc>
        <w:tc>
          <w:tcPr>
            <w:tcW w:type="dxa" w:w="1800"/>
            <w:tcBorders>
              <w:top w:val="single" w:color="C8D0DF" w:sz="1"/>
              <w:left w:val="single" w:color="C8D0DF" w:sz="1"/>
              <w:bottom w:val="single" w:color="C8D0DF" w:sz="1"/>
              <w:right w:val="single" w:color="C8D0DF" w:sz="1"/>
            </w:tcBorders>
            <w:shd w:fill="0D2137"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Acceptable Range</w:t>
            </w:r>
          </w:p>
        </w:tc>
      </w:tr>
      <w:tr>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kyc.floor.tier1</w:t>
            </w:r>
          </w:p>
        </w:tc>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 Floor — Tier 1 threshold</w:t>
            </w:r>
          </w:p>
        </w:tc>
        <w:tc>
          <w:tcPr>
            <w:tcW w:type="dxa" w:w="1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500 PADU</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100 – 10,000 PADU</w:t>
            </w:r>
          </w:p>
        </w:tc>
      </w:tr>
      <w:tr>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kyc.floor.tier2</w:t>
            </w:r>
          </w:p>
        </w:tc>
        <w:tc>
          <w:tcPr>
            <w:tcW w:type="dxa" w:w="2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 Floor — Tier 2 threshold</w:t>
            </w:r>
          </w:p>
        </w:tc>
        <w:tc>
          <w:tcPr>
            <w:tcW w:type="dxa" w:w="15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5,000 PADU</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Must be ≥ 5× tier1</w:t>
            </w:r>
          </w:p>
        </w:tc>
      </w:tr>
      <w:tr>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kyc.proof.validity.seconds</w:t>
            </w:r>
          </w:p>
        </w:tc>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KYC proof validity period</w:t>
            </w:r>
          </w:p>
        </w:tc>
        <w:tc>
          <w:tcPr>
            <w:tcW w:type="dxa" w:w="1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31,536,000 (1yr)</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6 months – 3 years</w:t>
            </w:r>
          </w:p>
        </w:tc>
      </w:tr>
      <w:tr>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fee.total.bps</w:t>
            </w:r>
          </w:p>
        </w:tc>
        <w:tc>
          <w:tcPr>
            <w:tcW w:type="dxa" w:w="2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Total transaction fee (basis points)</w:t>
            </w:r>
          </w:p>
        </w:tc>
        <w:tc>
          <w:tcPr>
            <w:tcW w:type="dxa" w:w="15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150 (1.50%)</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50 – 300 bps</w:t>
            </w:r>
          </w:p>
        </w:tc>
      </w:tr>
      <w:tr>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fee.ops.bps</w:t>
            </w:r>
          </w:p>
        </w:tc>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Operational sub-fee</w:t>
            </w:r>
          </w:p>
        </w:tc>
        <w:tc>
          <w:tcPr>
            <w:tcW w:type="dxa" w:w="1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50 (0.50%)</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Must sum with social + solidarity = total</w:t>
            </w:r>
          </w:p>
        </w:tc>
      </w:tr>
      <w:tr>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fee.social.bps</w:t>
            </w:r>
          </w:p>
        </w:tc>
        <w:tc>
          <w:tcPr>
            <w:tcW w:type="dxa" w:w="2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Social Fund sub-fee</w:t>
            </w:r>
          </w:p>
        </w:tc>
        <w:tc>
          <w:tcPr>
            <w:tcW w:type="dxa" w:w="15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50 (0.50%)</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Must sum with ops + solidarity = total</w:t>
            </w:r>
          </w:p>
        </w:tc>
      </w:tr>
      <w:tr>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fee.solidarity.bps</w:t>
            </w:r>
          </w:p>
        </w:tc>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Solidarity Reserve sub-fee</w:t>
            </w:r>
          </w:p>
        </w:tc>
        <w:tc>
          <w:tcPr>
            <w:tcW w:type="dxa" w:w="1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50 (0.50%)</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Must sum with ops + social = total</w:t>
            </w:r>
          </w:p>
        </w:tc>
      </w:tr>
      <w:tr>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governance.owt.num</w:t>
            </w:r>
          </w:p>
        </w:tc>
        <w:tc>
          <w:tcPr>
            <w:tcW w:type="dxa" w:w="2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Open-window threshold numerator</w:t>
            </w:r>
          </w:p>
        </w:tc>
        <w:tc>
          <w:tcPr>
            <w:tcW w:type="dxa" w:w="15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5</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 – 20</w:t>
            </w:r>
          </w:p>
        </w:tc>
      </w:tr>
      <w:tr>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governance.owt.den</w:t>
            </w:r>
          </w:p>
        </w:tc>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Open-window threshold denominator</w:t>
            </w:r>
          </w:p>
        </w:tc>
        <w:tc>
          <w:tcPr>
            <w:tcW w:type="dxa" w:w="1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1000</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Fixed at 1000</w:t>
            </w:r>
          </w:p>
        </w:tc>
      </w:tr>
      <w:tr>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governance.signal.fee</w:t>
            </w:r>
          </w:p>
        </w:tc>
        <w:tc>
          <w:tcPr>
            <w:tcW w:type="dxa" w:w="2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Fee to submit an open-window signal</w:t>
            </w:r>
          </w:p>
        </w:tc>
        <w:tc>
          <w:tcPr>
            <w:tcW w:type="dxa" w:w="15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 PADU</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0.1 – 10 PADU</w:t>
            </w:r>
          </w:p>
        </w:tc>
      </w:tr>
      <w:tr>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governance.proposal.stake</w:t>
            </w:r>
          </w:p>
        </w:tc>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Stake required to submit a proposal</w:t>
            </w:r>
          </w:p>
        </w:tc>
        <w:tc>
          <w:tcPr>
            <w:tcW w:type="dxa" w:w="1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100 PADU</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10 – 1000 PADU</w:t>
            </w:r>
          </w:p>
        </w:tc>
      </w:tr>
      <w:tr>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governance.deliberation.days</w:t>
            </w:r>
          </w:p>
        </w:tc>
        <w:tc>
          <w:tcPr>
            <w:tcW w:type="dxa" w:w="2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Deliberation period duration</w:t>
            </w:r>
          </w:p>
        </w:tc>
        <w:tc>
          <w:tcPr>
            <w:tcW w:type="dxa" w:w="15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90 days</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30 – 180 days</w:t>
            </w:r>
          </w:p>
        </w:tc>
      </w:tr>
      <w:tr>
        <w:tc>
          <w:tcPr>
            <w:tcW w:type="dxa" w:w="32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governance.voting.days</w:t>
            </w:r>
          </w:p>
        </w:tc>
        <w:tc>
          <w:tcPr>
            <w:tcW w:type="dxa" w:w="2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Voting window duration</w:t>
            </w:r>
          </w:p>
        </w:tc>
        <w:tc>
          <w:tcPr>
            <w:tcW w:type="dxa" w:w="156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60 days</w:t>
            </w:r>
          </w:p>
        </w:tc>
        <w:tc>
          <w:tcPr>
            <w:tcW w:type="dxa" w:w="1800"/>
            <w:tcBorders>
              <w:top w:val="single" w:color="C8D0DF" w:sz="1"/>
              <w:left w:val="single" w:color="C8D0DF" w:sz="1"/>
              <w:bottom w:val="single" w:color="C8D0DF" w:sz="1"/>
              <w:right w:val="single" w:color="C8D0DF"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30 – 90 days</w:t>
            </w:r>
          </w:p>
        </w:tc>
      </w:tr>
      <w:tr>
        <w:tc>
          <w:tcPr>
            <w:tcW w:type="dxa" w:w="32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oracle.accreditation.list</w:t>
            </w:r>
          </w:p>
        </w:tc>
        <w:tc>
          <w:tcPr>
            <w:tcW w:type="dxa" w:w="2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List of accredited KYC oracle addresses</w:t>
            </w:r>
          </w:p>
        </w:tc>
        <w:tc>
          <w:tcPr>
            <w:tcW w:type="dxa" w:w="156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See deployment</w:t>
            </w:r>
          </w:p>
        </w:tc>
        <w:tc>
          <w:tcPr>
            <w:tcW w:type="dxa" w:w="1800"/>
            <w:tcBorders>
              <w:top w:val="single" w:color="C8D0DF" w:sz="1"/>
              <w:left w:val="single" w:color="C8D0DF" w:sz="1"/>
              <w:bottom w:val="single" w:color="C8D0DF" w:sz="1"/>
              <w:right w:val="single" w:color="C8D0DF" w:sz="1"/>
            </w:tcBorders>
            <w:shd w:fill="F5F6FA" w:val="clear"/>
            <w:tcMar>
              <w:top w:type="dxa" w:w="80"/>
              <w:left w:type="dxa" w:w="130"/>
              <w:bottom w:type="dxa" w:w="80"/>
              <w:right w:type="dxa" w:w="130"/>
            </w:tcMar>
          </w:tcPr>
          <w:p>
            <w:pPr>
              <w:jc w:val="both"/>
            </w:pPr>
            <w:r>
              <w:rPr>
                <w:rFonts w:ascii="Arial" w:cs="Arial" w:eastAsia="Arial" w:hAnsi="Arial"/>
                <w:b w:val="false"/>
                <w:bCs w:val="false"/>
                <w:i w:val="false"/>
                <w:iCs w:val="false"/>
                <w:color w:val="1A1A2E"/>
                <w:sz w:val="19"/>
                <w:szCs w:val="19"/>
              </w:rPr>
              <w:t xml:space="preserve">Managed via proposal</w:t>
            </w:r>
          </w:p>
        </w:tc>
      </w:tr>
    </w:tbl>
    <w:p>
      <w:pPr>
        <w:spacing w:before="0" w:after="300"/>
      </w:pPr>
    </w:p>
    <w:p>
      <w:pPr>
        <w:pBdr>
          <w:bottom w:val="single" w:color="4A1A7A" w:sz="8" w:space="1"/>
        </w:pBdr>
        <w:spacing w:before="0" w:after="160"/>
      </w:pPr>
    </w:p>
    <w:p>
      <w:pPr>
        <w:spacing w:before="60" w:after="120"/>
        <w:jc w:val="both"/>
      </w:pPr>
      <w:r>
        <w:rPr>
          <w:rFonts w:ascii="Arial" w:cs="Arial" w:eastAsia="Arial" w:hAnsi="Arial"/>
          <w:b w:val="false"/>
          <w:bCs w:val="false"/>
          <w:i/>
          <w:iCs/>
          <w:color w:val="888888"/>
          <w:sz w:val="22"/>
          <w:szCs w:val="22"/>
        </w:rPr>
        <w:t xml:space="preserve">End of PADU-TECH-02. Next document: PADU-TECH-03 — Social Chamber, DAO Governance, and Solidarity Dividend Engine.</w:t>
      </w:r>
    </w:p>
    <w:p>
      <w:pPr>
        <w:spacing w:before="60" w:after="120"/>
        <w:jc w:val="both"/>
      </w:pPr>
      <w:r>
        <w:rPr>
          <w:rFonts w:ascii="Arial" w:cs="Arial" w:eastAsia="Arial" w:hAnsi="Arial"/>
          <w:b w:val="false"/>
          <w:bCs w:val="false"/>
          <w:i/>
          <w:iCs/>
          <w:color w:val="888888"/>
          <w:sz w:val="22"/>
          <w:szCs w:val="22"/>
        </w:rPr>
        <w:t xml:space="preserve">Document maintained by the PADU Core Engineering Working Group. All sections subject to revision following Protocol Chamber formation and legal review.</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DF" w:sz="4" w:space="1"/>
      </w:pBdr>
      <w:spacing w:before="80"/>
      <w:jc w:val="center"/>
    </w:pPr>
    <w:r>
      <w:rPr>
        <w:rFonts w:ascii="Arial" w:cs="Arial" w:eastAsia="Arial" w:hAnsi="Arial"/>
        <w:b w:val="false"/>
        <w:bCs w:val="false"/>
        <w:i w:val="false"/>
        <w:iCs w:val="false"/>
        <w:color w:val="888888"/>
        <w:sz w:val="16"/>
        <w:szCs w:val="16"/>
      </w:rPr>
      <w:t xml:space="preserve">PADU-TECH-02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0DF" w:sz="4" w:space="1"/>
      </w:pBdr>
      <w:spacing w:before="0" w:after="80"/>
    </w:pPr>
    <w:r>
      <w:rPr>
        <w:rFonts w:ascii="Arial" w:cs="Arial" w:eastAsia="Arial" w:hAnsi="Arial"/>
        <w:b w:val="false"/>
        <w:bCs w:val="false"/>
        <w:i w:val="false"/>
        <w:iCs w:val="false"/>
        <w:color w:val="888888"/>
        <w:sz w:val="16"/>
        <w:szCs w:val="16"/>
      </w:rPr>
      <w:t xml:space="preserve">PADU — Technical Specification v0.1  |  </w:t>
    </w:r>
    <w:r>
      <w:rPr>
        <w:rFonts w:ascii="Arial" w:cs="Arial" w:eastAsia="Arial" w:hAnsi="Arial"/>
        <w:b w:val="false"/>
        <w:bCs w:val="false"/>
        <w:i/>
        <w:iCs/>
        <w:color w:val="888888"/>
        <w:sz w:val="16"/>
        <w:szCs w:val="16"/>
      </w:rPr>
      <w:t xml:space="preserve">Module 02 — Protocol Chamber &amp; Governance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20"/>
      <w:outlineLvl w:val="0"/>
    </w:pPr>
    <w:rPr>
      <w:rFonts w:ascii="Arial" w:cs="Arial" w:eastAsia="Arial" w:hAnsi="Arial"/>
      <w:b/>
      <w:bCs/>
      <w:color w:val="0D2137"/>
      <w:sz w:val="30"/>
      <w:szCs w:val="30"/>
    </w:rPr>
  </w:style>
  <w:style w:type="paragraph" w:styleId="Heading2">
    <w:name w:val="Heading 2"/>
    <w:basedOn w:val="Normal"/>
    <w:next w:val="Normal"/>
    <w:qFormat/>
    <w:pPr>
      <w:spacing w:before="320" w:after="80"/>
      <w:outlineLvl w:val="1"/>
    </w:pPr>
    <w:rPr>
      <w:rFonts w:ascii="Arial" w:cs="Arial" w:eastAsia="Arial" w:hAnsi="Arial"/>
      <w:b/>
      <w:bCs/>
      <w:color w:val="1A4A7A"/>
      <w:sz w:val="25"/>
      <w:szCs w:val="25"/>
    </w:rPr>
  </w:style>
  <w:style w:type="paragraph" w:styleId="Heading3">
    <w:name w:val="Heading 3"/>
    <w:basedOn w:val="Normal"/>
    <w:next w:val="Normal"/>
    <w:qFormat/>
    <w:pPr>
      <w:spacing w:before="240" w:after="60"/>
      <w:outlineLvl w:val="2"/>
    </w:pPr>
    <w:rPr>
      <w:rFonts w:ascii="Arial" w:cs="Arial" w:eastAsia="Arial" w:hAnsi="Arial"/>
      <w:b/>
      <w:bCs/>
      <w:color w:val="1A6B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2026-03-13T01:44:55.185Z</dcterms:created>
  <dcterms:modified xsi:type="dcterms:W3CDTF">2026-03-13T01:44:55.187Z</dcterms:modified>
</cp:coreProperties>
</file>

<file path=docProps/custom.xml><?xml version="1.0" encoding="utf-8"?>
<Properties xmlns="http://schemas.openxmlformats.org/officeDocument/2006/custom-properties" xmlns:vt="http://schemas.openxmlformats.org/officeDocument/2006/docPropsVTypes"/>
</file>