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22A" w:sz="20" w:space="1"/>
        </w:pBdr>
        <w:spacing w:before="240" w:after="0"/>
      </w:pPr>
    </w:p>
    <w:p>
      <w:pPr>
        <w:spacing w:before="0" w:after="280"/>
      </w:pPr>
    </w:p>
    <w:p>
      <w:pPr>
        <w:jc w:val="center"/>
      </w:pPr>
      <w:r>
        <w:rPr>
          <w:rFonts w:ascii="Arial" w:cs="Arial" w:eastAsia="Arial" w:hAnsi="Arial"/>
          <w:b/>
          <w:bCs/>
          <w:color w:val="C8922A"/>
          <w:sz w:val="20"/>
          <w:szCs w:val="20"/>
        </w:rPr>
        <w:t xml:space="preserve">POSITION PAPER</w:t>
      </w:r>
    </w:p>
    <w:p>
      <w:pPr>
        <w:spacing w:before="0" w:after="80"/>
      </w:pPr>
    </w:p>
    <w:p>
      <w:pPr>
        <w:jc w:val="center"/>
      </w:pPr>
      <w:r>
        <w:rPr>
          <w:rFonts w:ascii="Arial" w:cs="Arial" w:eastAsia="Arial" w:hAnsi="Arial"/>
          <w:b/>
          <w:bCs/>
          <w:color w:val="1A3557"/>
          <w:sz w:val="40"/>
          <w:szCs w:val="40"/>
        </w:rPr>
        <w:t xml:space="preserve">A Pan-African Digital Monetary Infrastructure</w:t>
      </w:r>
    </w:p>
    <w:p>
      <w:pPr>
        <w:spacing w:before="0" w:after="60"/>
      </w:pPr>
    </w:p>
    <w:p>
      <w:pPr>
        <w:jc w:val="center"/>
      </w:pPr>
      <w:r>
        <w:rPr>
          <w:rFonts w:ascii="Arial" w:cs="Arial" w:eastAsia="Arial" w:hAnsi="Arial"/>
          <w:b w:val="false"/>
          <w:bCs w:val="false"/>
          <w:color w:val="2E5F8A"/>
          <w:sz w:val="24"/>
          <w:szCs w:val="24"/>
        </w:rPr>
        <w:t xml:space="preserve">Towards a Sovereign, Inclusive and Self-Sustaining Payment Ecosystem</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3557" w:val="clear"/>
            <w:tcMar>
              <w:top w:type="dxa" w:w="100"/>
              <w:left w:type="dxa" w:w="160"/>
              <w:bottom w:type="dxa" w:w="100"/>
              <w:right w:type="dxa" w:w="160"/>
            </w:tcMar>
          </w:tcPr>
          <w:p>
            <w:r>
              <w:rPr>
                <w:rFonts w:ascii="Arial" w:cs="Arial" w:eastAsia="Arial" w:hAnsi="Arial"/>
                <w:b/>
                <w:bCs/>
                <w:color w:val="FFFFFF"/>
                <w:sz w:val="20"/>
                <w:szCs w:val="20"/>
              </w:rPr>
              <w:t xml:space="preserve">Prepared for</w:t>
            </w:r>
          </w:p>
        </w:tc>
        <w:tc>
          <w:tcPr>
            <w:tcW w:type="dxa" w:w="7160"/>
            <w:tcBorders>
              <w:top w:val="none" w:color="FFFFFF" w:sz="0"/>
              <w:left w:val="none" w:color="FFFFFF" w:sz="0"/>
              <w:bottom w:val="none" w:color="FFFFFF" w:sz="0"/>
              <w:right w:val="none" w:color="FFFFFF" w:sz="0"/>
            </w:tcBorders>
            <w:shd w:fill="F2F4F7" w:val="clear"/>
            <w:tcMar>
              <w:top w:type="dxa" w:w="100"/>
              <w:left w:type="dxa" w:w="160"/>
              <w:bottom w:type="dxa" w:w="100"/>
              <w:right w:type="dxa" w:w="160"/>
            </w:tcMar>
          </w:tcPr>
          <w:p>
            <w:r>
              <w:rPr>
                <w:rFonts w:ascii="Arial" w:cs="Arial" w:eastAsia="Arial" w:hAnsi="Arial"/>
                <w:color w:val="222222"/>
                <w:sz w:val="20"/>
                <w:szCs w:val="20"/>
              </w:rPr>
              <w:t xml:space="preserve">Heads of State, Ministers of Finance and Economy, and Senior Policy Advisors of the African Union and its Member States</w:t>
            </w:r>
          </w:p>
        </w:tc>
      </w:tr>
      <w:tr>
        <w:tc>
          <w:tcPr>
            <w:tcW w:type="dxa" w:w="2200"/>
            <w:tcBorders>
              <w:top w:val="none" w:color="FFFFFF" w:sz="0"/>
              <w:left w:val="none" w:color="FFFFFF" w:sz="0"/>
              <w:bottom w:val="none" w:color="FFFFFF" w:sz="0"/>
              <w:right w:val="none" w:color="FFFFFF" w:sz="0"/>
            </w:tcBorders>
            <w:shd w:fill="1A3557" w:val="clear"/>
            <w:tcMar>
              <w:top w:type="dxa" w:w="100"/>
              <w:left w:type="dxa" w:w="160"/>
              <w:bottom w:type="dxa" w:w="100"/>
              <w:right w:type="dxa" w:w="160"/>
            </w:tcMar>
          </w:tcPr>
          <w:p>
            <w:r>
              <w:rPr>
                <w:rFonts w:ascii="Arial" w:cs="Arial" w:eastAsia="Arial" w:hAnsi="Arial"/>
                <w:b/>
                <w:bCs/>
                <w:color w:val="FFFFFF"/>
                <w:sz w:val="20"/>
                <w:szCs w:val="20"/>
              </w:rPr>
              <w:t xml:space="preserve">Classification</w:t>
            </w:r>
          </w:p>
        </w:tc>
        <w:tc>
          <w:tcPr>
            <w:tcW w:type="dxa" w:w="7160"/>
            <w:tcBorders>
              <w:top w:val="none" w:color="FFFFFF" w:sz="0"/>
              <w:left w:val="none" w:color="FFFFFF" w:sz="0"/>
              <w:bottom w:val="none" w:color="FFFFFF" w:sz="0"/>
              <w:right w:val="none" w:color="FFFFFF" w:sz="0"/>
            </w:tcBorders>
            <w:shd w:fill="F2F4F7" w:val="clear"/>
            <w:tcMar>
              <w:top w:type="dxa" w:w="100"/>
              <w:left w:type="dxa" w:w="160"/>
              <w:bottom w:type="dxa" w:w="100"/>
              <w:right w:type="dxa" w:w="160"/>
            </w:tcMar>
          </w:tcPr>
          <w:p>
            <w:r>
              <w:rPr>
                <w:rFonts w:ascii="Arial" w:cs="Arial" w:eastAsia="Arial" w:hAnsi="Arial"/>
                <w:color w:val="222222"/>
                <w:sz w:val="20"/>
                <w:szCs w:val="20"/>
              </w:rPr>
              <w:t xml:space="preserve">Confidential — For Restricted Circulation</w:t>
            </w:r>
          </w:p>
        </w:tc>
      </w:tr>
      <w:tr>
        <w:tc>
          <w:tcPr>
            <w:tcW w:type="dxa" w:w="2200"/>
            <w:tcBorders>
              <w:top w:val="none" w:color="FFFFFF" w:sz="0"/>
              <w:left w:val="none" w:color="FFFFFF" w:sz="0"/>
              <w:bottom w:val="none" w:color="FFFFFF" w:sz="0"/>
              <w:right w:val="none" w:color="FFFFFF" w:sz="0"/>
            </w:tcBorders>
            <w:shd w:fill="1A3557"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7160"/>
            <w:tcBorders>
              <w:top w:val="none" w:color="FFFFFF" w:sz="0"/>
              <w:left w:val="none" w:color="FFFFFF" w:sz="0"/>
              <w:bottom w:val="none" w:color="FFFFFF" w:sz="0"/>
              <w:right w:val="none" w:color="FFFFFF" w:sz="0"/>
            </w:tcBorders>
            <w:shd w:fill="F2F4F7" w:val="clear"/>
            <w:tcMar>
              <w:top w:type="dxa" w:w="100"/>
              <w:left w:type="dxa" w:w="160"/>
              <w:bottom w:type="dxa" w:w="100"/>
              <w:right w:type="dxa" w:w="160"/>
            </w:tcMar>
          </w:tcPr>
          <w:p>
            <w:r>
              <w:rPr>
                <w:rFonts w:ascii="Arial" w:cs="Arial" w:eastAsia="Arial" w:hAnsi="Arial"/>
                <w:color w:val="222222"/>
                <w:sz w:val="20"/>
                <w:szCs w:val="20"/>
              </w:rPr>
              <w:t xml:space="preserve">Draft v0.1 — 2025</w:t>
            </w:r>
          </w:p>
        </w:tc>
      </w:tr>
    </w:tbl>
    <w:p>
      <w:pPr>
        <w:spacing w:before="0" w:after="300"/>
      </w:pPr>
    </w:p>
    <w:p>
      <w:pPr>
        <w:pBdr>
          <w:bottom w:val="single" w:color="C8922A" w:sz="20" w:space="1"/>
        </w:pBdr>
        <w:spacing w:before="0" w:after="0"/>
      </w:pPr>
    </w:p>
    <w:p>
      <w:pPr>
        <w:spacing w:before="0" w:after="400"/>
      </w:pPr>
    </w:p>
    <w:p>
      <w:pPr>
        <w:pStyle w:val="Heading1"/>
        <w:spacing w:before="400" w:after="120"/>
      </w:pPr>
      <w:r>
        <w:rPr>
          <w:rFonts w:ascii="Arial" w:cs="Arial" w:eastAsia="Arial" w:hAnsi="Arial"/>
          <w:b/>
          <w:bCs/>
          <w:color w:val="1A3557"/>
          <w:sz w:val="28"/>
          <w:szCs w:val="28"/>
        </w:rPr>
        <w:t xml:space="preserve">Executive Summary</w:t>
      </w:r>
    </w:p>
    <w:p>
      <w:pPr>
        <w:pBdr>
          <w:bottom w:val="single" w:color="C8922A" w:sz="8" w:space="1"/>
        </w:pBdr>
        <w:spacing w:before="0" w:after="200"/>
      </w:pPr>
    </w:p>
    <w:p>
      <w:pPr>
        <w:spacing w:before="60" w:after="120"/>
        <w:jc w:val="both"/>
      </w:pPr>
      <w:r>
        <w:rPr>
          <w:rFonts w:ascii="Arial" w:cs="Arial" w:eastAsia="Arial" w:hAnsi="Arial"/>
          <w:b w:val="false"/>
          <w:bCs w:val="false"/>
          <w:i w:val="false"/>
          <w:iCs w:val="false"/>
          <w:color w:val="222222"/>
          <w:sz w:val="22"/>
          <w:szCs w:val="22"/>
        </w:rPr>
        <w:t xml:space="preserve">This paper presents a proposal for the creation of a Pan-African Digital Monetary Infrastructure — a blockchain-based digital currency designed to serve the needs of African citizens, diaspora communities, and enterprises, both on the continent and abroad.</w:t>
      </w:r>
    </w:p>
    <w:p>
      <w:pPr>
        <w:spacing w:before="60" w:after="120"/>
        <w:jc w:val="both"/>
      </w:pPr>
      <w:r>
        <w:rPr>
          <w:rFonts w:ascii="Arial" w:cs="Arial" w:eastAsia="Arial" w:hAnsi="Arial"/>
          <w:b w:val="false"/>
          <w:bCs w:val="false"/>
          <w:i w:val="false"/>
          <w:iCs w:val="false"/>
          <w:color w:val="222222"/>
          <w:sz w:val="22"/>
          <w:szCs w:val="22"/>
        </w:rPr>
        <w:t xml:space="preserve">The initiative does not seek to disrupt existing trade relationships or international financial agreements. Rather, it proposes a complementary instrument: a voluntary, community-governed payment and value-transfer system that reduces the structural costs currently borne by African households and businesses when conducting cross-border financial transactions.</w:t>
      </w:r>
    </w:p>
    <w:p>
      <w:pPr>
        <w:spacing w:before="60" w:after="120"/>
        <w:jc w:val="both"/>
      </w:pPr>
      <w:r>
        <w:rPr>
          <w:rFonts w:ascii="Arial" w:cs="Arial" w:eastAsia="Arial" w:hAnsi="Arial"/>
          <w:b w:val="false"/>
          <w:bCs w:val="false"/>
          <w:i w:val="false"/>
          <w:iCs w:val="false"/>
          <w:color w:val="222222"/>
          <w:sz w:val="22"/>
          <w:szCs w:val="22"/>
        </w:rPr>
        <w:t xml:space="preserve">The ambition is long-term: to give African states, institutions, and citizens access to a monetary tool that is transparent in its governance, grounded in real assets, and designed to accumulate value within the African economic space rather than extract it outward.</w:t>
      </w:r>
    </w:p>
    <w:p>
      <w:pPr>
        <w:spacing w:before="60" w:after="120"/>
        <w:jc w:val="both"/>
      </w:pPr>
      <w:r>
        <w:rPr>
          <w:rFonts w:ascii="Arial" w:cs="Arial" w:eastAsia="Arial" w:hAnsi="Arial"/>
          <w:b w:val="false"/>
          <w:bCs w:val="false"/>
          <w:i w:val="false"/>
          <w:iCs w:val="false"/>
          <w:color w:val="222222"/>
          <w:sz w:val="22"/>
          <w:szCs w:val="22"/>
        </w:rPr>
        <w:t xml:space="preserve">Participation by sovereign states is neither required nor presumed. The system is architected to grow from the ground up — from individual users, diaspora networks, and civil society — with formal state engagement welcomed as the ecosystem matures and proves its stability.</w:t>
      </w:r>
    </w:p>
    <w:p>
      <w:pPr>
        <w:spacing w:before="0" w:after="200"/>
      </w:pPr>
    </w:p>
    <w:p>
      <w:pPr>
        <w:pStyle w:val="Heading1"/>
        <w:spacing w:before="400" w:after="120"/>
      </w:pPr>
      <w:r>
        <w:rPr>
          <w:rFonts w:ascii="Arial" w:cs="Arial" w:eastAsia="Arial" w:hAnsi="Arial"/>
          <w:b/>
          <w:bCs/>
          <w:color w:val="1A3557"/>
          <w:sz w:val="28"/>
          <w:szCs w:val="28"/>
        </w:rPr>
        <w:t xml:space="preserve">1. Context and Rationale</w:t>
      </w:r>
    </w:p>
    <w:p>
      <w:pPr>
        <w:pBdr>
          <w:bottom w:val="single" w:color="C8922A" w:sz="8" w:space="1"/>
        </w:pBdr>
        <w:spacing w:before="0" w:after="200"/>
      </w:pPr>
    </w:p>
    <w:p>
      <w:pPr>
        <w:pStyle w:val="Heading2"/>
        <w:spacing w:before="280" w:after="80"/>
      </w:pPr>
      <w:r>
        <w:rPr>
          <w:rFonts w:ascii="Arial" w:cs="Arial" w:eastAsia="Arial" w:hAnsi="Arial"/>
          <w:b/>
          <w:bCs/>
          <w:color w:val="2E5F8A"/>
          <w:sz w:val="24"/>
          <w:szCs w:val="24"/>
        </w:rPr>
        <w:t xml:space="preserve">1.1 The Cost of Financial Exclusion from Monetary Governance</w:t>
      </w:r>
    </w:p>
    <w:p>
      <w:pPr>
        <w:spacing w:before="60" w:after="120"/>
        <w:jc w:val="both"/>
      </w:pPr>
      <w:r>
        <w:rPr>
          <w:rFonts w:ascii="Arial" w:cs="Arial" w:eastAsia="Arial" w:hAnsi="Arial"/>
          <w:b w:val="false"/>
          <w:bCs w:val="false"/>
          <w:i w:val="false"/>
          <w:iCs w:val="false"/>
          <w:color w:val="222222"/>
          <w:sz w:val="22"/>
          <w:szCs w:val="22"/>
        </w:rPr>
        <w:t xml:space="preserve">African nations have long demonstrated resilience and economic ingenuity in contexts of significant structural constraint. Among those constraints, the architecture of monetary systems governing parts of the continent has been a subject of growing scholarly, economic, and political attention.</w:t>
      </w:r>
    </w:p>
    <w:p>
      <w:pPr>
        <w:spacing w:before="60" w:after="120"/>
        <w:jc w:val="both"/>
      </w:pPr>
      <w:r>
        <w:rPr>
          <w:rFonts w:ascii="Arial" w:cs="Arial" w:eastAsia="Arial" w:hAnsi="Arial"/>
          <w:b w:val="false"/>
          <w:bCs w:val="false"/>
          <w:i w:val="false"/>
          <w:iCs w:val="false"/>
          <w:color w:val="222222"/>
          <w:sz w:val="22"/>
          <w:szCs w:val="22"/>
        </w:rPr>
        <w:t xml:space="preserve">The central concern is straightforward: when the monetary policy governing a currency — its supply, its interest rates, its strategic orientation — is determined by an institution whose primary mandate is to serve the interests of a different economy and a different population, the resulting currency, however stable, is an instrument of dependence rather than empowerment.</w:t>
      </w:r>
    </w:p>
    <w:p>
      <w:pPr>
        <w:spacing w:before="60" w:after="120"/>
        <w:jc w:val="both"/>
      </w:pPr>
      <w:r>
        <w:rPr>
          <w:rFonts w:ascii="Arial" w:cs="Arial" w:eastAsia="Arial" w:hAnsi="Arial"/>
          <w:b w:val="false"/>
          <w:bCs w:val="false"/>
          <w:i w:val="false"/>
          <w:iCs w:val="false"/>
          <w:color w:val="222222"/>
          <w:sz w:val="22"/>
          <w:szCs w:val="22"/>
        </w:rPr>
        <w:t xml:space="preserve">This is not a criticism of any bilateral relationship or treaty. It is a structural observation: monetary sovereignty — the ability of a people and their elected representatives to exercise meaningful control over the value and supply of money — is a foundational dimension of national and continental sovereignty. Where it is absent or delegated, economic policy is constrained in ways that compound across generations.</w:t>
      </w:r>
    </w:p>
    <w:p>
      <w:pPr>
        <w:pStyle w:val="Heading2"/>
        <w:spacing w:before="280" w:after="80"/>
      </w:pPr>
      <w:r>
        <w:rPr>
          <w:rFonts w:ascii="Arial" w:cs="Arial" w:eastAsia="Arial" w:hAnsi="Arial"/>
          <w:b/>
          <w:bCs/>
          <w:color w:val="2E5F8A"/>
          <w:sz w:val="24"/>
          <w:szCs w:val="24"/>
        </w:rPr>
        <w:t xml:space="preserve">1.2 The Remittance Corridor: A Quantifiable Opportunity</w:t>
      </w:r>
    </w:p>
    <w:p>
      <w:pPr>
        <w:spacing w:before="60" w:after="120"/>
        <w:jc w:val="both"/>
      </w:pPr>
      <w:r>
        <w:rPr>
          <w:rFonts w:ascii="Arial" w:cs="Arial" w:eastAsia="Arial" w:hAnsi="Arial"/>
          <w:b w:val="false"/>
          <w:bCs w:val="false"/>
          <w:i w:val="false"/>
          <w:iCs w:val="false"/>
          <w:color w:val="222222"/>
          <w:sz w:val="22"/>
          <w:szCs w:val="22"/>
        </w:rPr>
        <w:t xml:space="preserve">Africa receives over 100 billion USD annually in remittances from diaspora communities — a figure that consistently exceeds foreign direct investment flows to the continent. Yet the average cost of sending money from Europe or North America to sub-Saharan Africa remains among the highest in the world, routinely between 6% and 9% of the transferred amount.</w:t>
      </w:r>
    </w:p>
    <w:p>
      <w:pPr>
        <w:spacing w:before="60" w:after="120"/>
        <w:jc w:val="both"/>
      </w:pPr>
      <w:r>
        <w:rPr>
          <w:rFonts w:ascii="Arial" w:cs="Arial" w:eastAsia="Arial" w:hAnsi="Arial"/>
          <w:b w:val="false"/>
          <w:bCs w:val="false"/>
          <w:i w:val="false"/>
          <w:iCs w:val="false"/>
          <w:color w:val="222222"/>
          <w:sz w:val="22"/>
          <w:szCs w:val="22"/>
        </w:rPr>
        <w:t xml:space="preserve">This means that for every 100 euros sent by a family member in France to relatives in West or Central Africa, between 6 and 9 euros are captured by intermediary institutions — the majority of which are headquartered outside Africa, and none of which reinvest those earnings in the African communities they serve.</w:t>
      </w:r>
    </w:p>
    <w:p>
      <w:pPr>
        <w:spacing w:before="60" w:after="120"/>
        <w:jc w:val="both"/>
      </w:pPr>
      <w:r>
        <w:rPr>
          <w:rFonts w:ascii="Arial" w:cs="Arial" w:eastAsia="Arial" w:hAnsi="Arial"/>
          <w:b w:val="false"/>
          <w:bCs w:val="false"/>
          <w:i w:val="false"/>
          <w:iCs w:val="false"/>
          <w:color w:val="222222"/>
          <w:sz w:val="22"/>
          <w:szCs w:val="22"/>
        </w:rPr>
        <w:t xml:space="preserve">Reducing this structural leakage — while simultaneously creating a mechanism that retains and compounds value within the African economic sphere — represents a concrete, measurable, and politically unambiguous opportunity.</w:t>
      </w:r>
    </w:p>
    <w:p>
      <w:pPr>
        <w:spacing w:before="0" w:after="200"/>
      </w:pPr>
    </w:p>
    <w:p>
      <w:pPr>
        <w:pStyle w:val="Heading1"/>
        <w:spacing w:before="400" w:after="120"/>
      </w:pPr>
      <w:r>
        <w:rPr>
          <w:rFonts w:ascii="Arial" w:cs="Arial" w:eastAsia="Arial" w:hAnsi="Arial"/>
          <w:b/>
          <w:bCs/>
          <w:color w:val="1A3557"/>
          <w:sz w:val="28"/>
          <w:szCs w:val="28"/>
        </w:rPr>
        <w:t xml:space="preserve">2. The Proposal: A Pan-African Digital Currency</w:t>
      </w:r>
    </w:p>
    <w:p>
      <w:pPr>
        <w:pBdr>
          <w:bottom w:val="single" w:color="C8922A" w:sz="8" w:space="1"/>
        </w:pBdr>
        <w:spacing w:before="0" w:after="200"/>
      </w:pPr>
    </w:p>
    <w:p>
      <w:pPr>
        <w:pStyle w:val="Heading2"/>
        <w:spacing w:before="280" w:after="80"/>
      </w:pPr>
      <w:r>
        <w:rPr>
          <w:rFonts w:ascii="Arial" w:cs="Arial" w:eastAsia="Arial" w:hAnsi="Arial"/>
          <w:b/>
          <w:bCs/>
          <w:color w:val="2E5F8A"/>
          <w:sz w:val="24"/>
          <w:szCs w:val="24"/>
        </w:rPr>
        <w:t xml:space="preserve">2.1 Core Principles</w:t>
      </w:r>
    </w:p>
    <w:p>
      <w:pPr>
        <w:spacing w:before="60" w:after="120"/>
        <w:jc w:val="both"/>
      </w:pPr>
      <w:r>
        <w:rPr>
          <w:rFonts w:ascii="Arial" w:cs="Arial" w:eastAsia="Arial" w:hAnsi="Arial"/>
          <w:b w:val="false"/>
          <w:bCs w:val="false"/>
          <w:i w:val="false"/>
          <w:iCs w:val="false"/>
          <w:color w:val="222222"/>
          <w:sz w:val="22"/>
          <w:szCs w:val="22"/>
        </w:rPr>
        <w:t xml:space="preserve">The proposed digital currency — provisionally designated the Pan-African Digital Unit, or PADU — is built on four foundational principles:</w:t>
      </w:r>
    </w:p>
    <w:p>
      <w:pPr>
        <w:spacing w:before="0" w:after="40"/>
      </w:pPr>
    </w:p>
    <w:p>
      <w:pPr>
        <w:pStyle w:val="ListParagraph"/>
        <w:numPr>
          <w:ilvl w:val="0"/>
          <w:numId w:val="2"/>
        </w:numPr>
        <w:spacing w:before="40" w:after="80"/>
      </w:pPr>
      <w:r>
        <w:rPr>
          <w:rFonts w:ascii="Arial" w:cs="Arial" w:eastAsia="Arial" w:hAnsi="Arial"/>
          <w:color w:val="222222"/>
          <w:sz w:val="22"/>
          <w:szCs w:val="22"/>
        </w:rPr>
        <w:t xml:space="preserve">Voluntary participation: no government, institution, or citizen is required to adopt the currency. Adoption grows through demonstrated utility and trust.</w:t>
      </w:r>
    </w:p>
    <w:p>
      <w:pPr>
        <w:pStyle w:val="ListParagraph"/>
        <w:numPr>
          <w:ilvl w:val="0"/>
          <w:numId w:val="2"/>
        </w:numPr>
        <w:spacing w:before="40" w:after="80"/>
      </w:pPr>
      <w:r>
        <w:rPr>
          <w:rFonts w:ascii="Arial" w:cs="Arial" w:eastAsia="Arial" w:hAnsi="Arial"/>
          <w:color w:val="222222"/>
          <w:sz w:val="22"/>
          <w:szCs w:val="22"/>
        </w:rPr>
        <w:t xml:space="preserve">Asset-backed stability: unlike speculative digital currencies, each unit of PADU is created exclusively through the conversion of an existing, verifiable asset — such as an established currency, gold, or a basket of stable instruments. No unit is created without a corresponding real-world value deposit.</w:t>
      </w:r>
    </w:p>
    <w:p>
      <w:pPr>
        <w:pStyle w:val="ListParagraph"/>
        <w:numPr>
          <w:ilvl w:val="0"/>
          <w:numId w:val="2"/>
        </w:numPr>
        <w:spacing w:before="40" w:after="80"/>
      </w:pPr>
      <w:r>
        <w:rPr>
          <w:rFonts w:ascii="Arial" w:cs="Arial" w:eastAsia="Arial" w:hAnsi="Arial"/>
          <w:color w:val="222222"/>
          <w:sz w:val="22"/>
          <w:szCs w:val="22"/>
        </w:rPr>
        <w:t xml:space="preserve">Algorithmic governance: the rules governing currency supply, transaction fees, and reserve management are encoded in open-source smart contracts — publicly verifiable, immutable, and not subject to political interference or unilateral amendment.</w:t>
      </w:r>
    </w:p>
    <w:p>
      <w:pPr>
        <w:pStyle w:val="ListParagraph"/>
        <w:numPr>
          <w:ilvl w:val="0"/>
          <w:numId w:val="2"/>
        </w:numPr>
        <w:spacing w:before="40" w:after="80"/>
      </w:pPr>
      <w:r>
        <w:rPr>
          <w:rFonts w:ascii="Arial" w:cs="Arial" w:eastAsia="Arial" w:hAnsi="Arial"/>
          <w:color w:val="222222"/>
          <w:sz w:val="22"/>
          <w:szCs w:val="22"/>
        </w:rPr>
        <w:t xml:space="preserve">Community sovereignty: strategic decisions — including the composition of the asset reserve, social fund allocations, and ecosystem development priorities — are made through a transparent, proportional voting mechanism that includes state representatives, diaspora members, and end-users.</w:t>
      </w:r>
    </w:p>
    <w:p>
      <w:pPr>
        <w:pStyle w:val="Heading2"/>
        <w:spacing w:before="280" w:after="80"/>
      </w:pPr>
      <w:r>
        <w:rPr>
          <w:rFonts w:ascii="Arial" w:cs="Arial" w:eastAsia="Arial" w:hAnsi="Arial"/>
          <w:b/>
          <w:bCs/>
          <w:color w:val="2E5F8A"/>
          <w:sz w:val="24"/>
          <w:szCs w:val="24"/>
        </w:rPr>
        <w:t xml:space="preserve">2.2 How the Currency Is Created</w:t>
      </w:r>
    </w:p>
    <w:p>
      <w:pPr>
        <w:spacing w:before="60" w:after="120"/>
        <w:jc w:val="both"/>
      </w:pPr>
      <w:r>
        <w:rPr>
          <w:rFonts w:ascii="Arial" w:cs="Arial" w:eastAsia="Arial" w:hAnsi="Arial"/>
          <w:b w:val="false"/>
          <w:bCs w:val="false"/>
          <w:i w:val="false"/>
          <w:iCs w:val="false"/>
          <w:color w:val="222222"/>
          <w:sz w:val="22"/>
          <w:szCs w:val="22"/>
        </w:rPr>
        <w:t xml:space="preserve">A user — whether a diaspora member, an enterprise, or a participating institution — deposits an agreed asset (initially: euros, US dollars, or gold) into the system's verified reserve. In exchange, they receive an equivalent value in PADU, minus a small transaction fee of 1.5%.</w:t>
      </w:r>
    </w:p>
    <w:p>
      <w:pPr>
        <w:spacing w:before="60" w:after="120"/>
        <w:jc w:val="both"/>
      </w:pPr>
      <w:r>
        <w:rPr>
          <w:rFonts w:ascii="Arial" w:cs="Arial" w:eastAsia="Arial" w:hAnsi="Arial"/>
          <w:b w:val="false"/>
          <w:bCs w:val="false"/>
          <w:i w:val="false"/>
          <w:iCs w:val="false"/>
          <w:color w:val="222222"/>
          <w:sz w:val="22"/>
          <w:szCs w:val="22"/>
        </w:rPr>
        <w:t xml:space="preserve">This fee is not a cost of speculation or financial intermediation. It is a contribution to three distinct purposes: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7E2" w:sz="1"/>
              <w:left w:val="single" w:color="D0D7E2" w:sz="1"/>
              <w:bottom w:val="single" w:color="D0D7E2" w:sz="1"/>
              <w:right w:val="single" w:color="D0D7E2" w:sz="1"/>
            </w:tcBorders>
            <w:shd w:fill="1A3557"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1800"/>
            <w:tcBorders>
              <w:top w:val="single" w:color="D0D7E2" w:sz="1"/>
              <w:left w:val="single" w:color="D0D7E2" w:sz="1"/>
              <w:bottom w:val="single" w:color="D0D7E2" w:sz="1"/>
              <w:right w:val="single" w:color="D0D7E2" w:sz="1"/>
            </w:tcBorders>
            <w:shd w:fill="1A3557" w:val="clear"/>
            <w:tcMar>
              <w:top w:type="dxa" w:w="100"/>
              <w:left w:type="dxa" w:w="160"/>
              <w:bottom w:type="dxa" w:w="100"/>
              <w:right w:type="dxa" w:w="160"/>
            </w:tcMar>
          </w:tcPr>
          <w:p>
            <w:r>
              <w:rPr>
                <w:rFonts w:ascii="Arial" w:cs="Arial" w:eastAsia="Arial" w:hAnsi="Arial"/>
                <w:b/>
                <w:bCs/>
                <w:color w:val="FFFFFF"/>
                <w:sz w:val="20"/>
                <w:szCs w:val="20"/>
              </w:rPr>
              <w:t xml:space="preserve">Rate</w:t>
            </w:r>
          </w:p>
        </w:tc>
        <w:tc>
          <w:tcPr>
            <w:tcW w:type="dxa" w:w="5360"/>
            <w:tcBorders>
              <w:top w:val="single" w:color="D0D7E2" w:sz="1"/>
              <w:left w:val="single" w:color="D0D7E2" w:sz="1"/>
              <w:bottom w:val="single" w:color="D0D7E2" w:sz="1"/>
              <w:right w:val="single" w:color="D0D7E2" w:sz="1"/>
            </w:tcBorders>
            <w:shd w:fill="1A3557"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D0D7E2" w:sz="1"/>
              <w:left w:val="single" w:color="D0D7E2" w:sz="1"/>
              <w:bottom w:val="single" w:color="D0D7E2" w:sz="1"/>
              <w:right w:val="single" w:color="D0D7E2" w:sz="1"/>
            </w:tcBorders>
            <w:shd w:fill="F2F4F7" w:val="clear"/>
            <w:tcMar>
              <w:top w:type="dxa" w:w="80"/>
              <w:left w:type="dxa" w:w="160"/>
              <w:bottom w:type="dxa" w:w="80"/>
              <w:right w:type="dxa" w:w="160"/>
            </w:tcMar>
          </w:tcPr>
          <w:p>
            <w:r>
              <w:rPr>
                <w:rFonts w:ascii="Arial" w:cs="Arial" w:eastAsia="Arial" w:hAnsi="Arial"/>
                <w:sz w:val="20"/>
                <w:szCs w:val="20"/>
              </w:rPr>
              <w:t xml:space="preserve">Operational Reserve</w:t>
            </w:r>
          </w:p>
        </w:tc>
        <w:tc>
          <w:tcPr>
            <w:tcW w:type="dxa" w:w="1800"/>
            <w:tcBorders>
              <w:top w:val="single" w:color="D0D7E2" w:sz="1"/>
              <w:left w:val="single" w:color="D0D7E2" w:sz="1"/>
              <w:bottom w:val="single" w:color="D0D7E2" w:sz="1"/>
              <w:right w:val="single" w:color="D0D7E2" w:sz="1"/>
            </w:tcBorders>
            <w:shd w:fill="F2F4F7" w:val="clear"/>
            <w:tcMar>
              <w:top w:type="dxa" w:w="80"/>
              <w:left w:type="dxa" w:w="160"/>
              <w:bottom w:type="dxa" w:w="80"/>
              <w:right w:type="dxa" w:w="160"/>
            </w:tcMar>
          </w:tcPr>
          <w:p>
            <w:r>
              <w:rPr>
                <w:rFonts w:ascii="Arial" w:cs="Arial" w:eastAsia="Arial" w:hAnsi="Arial"/>
                <w:b/>
                <w:bCs/>
                <w:sz w:val="20"/>
                <w:szCs w:val="20"/>
              </w:rPr>
              <w:t xml:space="preserve">0.5%</w:t>
            </w:r>
          </w:p>
        </w:tc>
        <w:tc>
          <w:tcPr>
            <w:tcW w:type="dxa" w:w="5360"/>
            <w:tcBorders>
              <w:top w:val="single" w:color="D0D7E2" w:sz="1"/>
              <w:left w:val="single" w:color="D0D7E2" w:sz="1"/>
              <w:bottom w:val="single" w:color="D0D7E2" w:sz="1"/>
              <w:right w:val="single" w:color="D0D7E2" w:sz="1"/>
            </w:tcBorders>
            <w:shd w:fill="F2F4F7" w:val="clear"/>
            <w:tcMar>
              <w:top w:type="dxa" w:w="80"/>
              <w:left w:type="dxa" w:w="160"/>
              <w:bottom w:type="dxa" w:w="80"/>
              <w:right w:type="dxa" w:w="160"/>
            </w:tcMar>
          </w:tcPr>
          <w:p>
            <w:r>
              <w:rPr>
                <w:rFonts w:ascii="Arial" w:cs="Arial" w:eastAsia="Arial" w:hAnsi="Arial"/>
                <w:sz w:val="20"/>
                <w:szCs w:val="20"/>
              </w:rPr>
              <w:t xml:space="preserve">Technology infrastructure, auditing, security, and protocol maintenance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Arial" w:cs="Arial" w:eastAsia="Arial" w:hAnsi="Arial"/>
                <w:sz w:val="20"/>
                <w:szCs w:val="20"/>
              </w:rPr>
              <w:t xml:space="preserve">Social Development Fund</w:t>
            </w:r>
          </w:p>
        </w:tc>
        <w:tc>
          <w:tcPr>
            <w:tcW w:type="dxa" w:w="1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Arial" w:cs="Arial" w:eastAsia="Arial" w:hAnsi="Arial"/>
                <w:b/>
                <w:bCs/>
                <w:sz w:val="20"/>
                <w:szCs w:val="20"/>
              </w:rPr>
              <w:t xml:space="preserve">0.5%</w:t>
            </w:r>
          </w:p>
        </w:tc>
        <w:tc>
          <w:tcPr>
            <w:tcW w:type="dxa" w:w="53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Arial" w:cs="Arial" w:eastAsia="Arial" w:hAnsi="Arial"/>
                <w:sz w:val="20"/>
                <w:szCs w:val="20"/>
              </w:rPr>
              <w:t xml:space="preserve">Micro-grants and social programs in participating communities, allocated by the governance body</w:t>
            </w:r>
          </w:p>
        </w:tc>
      </w:tr>
      <w:tr>
        <w:tc>
          <w:tcPr>
            <w:tcW w:type="dxa" w:w="2200"/>
            <w:tcBorders>
              <w:top w:val="single" w:color="D0D7E2" w:sz="1"/>
              <w:left w:val="single" w:color="D0D7E2" w:sz="1"/>
              <w:bottom w:val="single" w:color="D0D7E2" w:sz="1"/>
              <w:right w:val="single" w:color="D0D7E2" w:sz="1"/>
            </w:tcBorders>
            <w:shd w:fill="F2F4F7" w:val="clear"/>
            <w:tcMar>
              <w:top w:type="dxa" w:w="80"/>
              <w:left w:type="dxa" w:w="160"/>
              <w:bottom w:type="dxa" w:w="80"/>
              <w:right w:type="dxa" w:w="160"/>
            </w:tcMar>
          </w:tcPr>
          <w:p>
            <w:r>
              <w:rPr>
                <w:rFonts w:ascii="Arial" w:cs="Arial" w:eastAsia="Arial" w:hAnsi="Arial"/>
                <w:sz w:val="20"/>
                <w:szCs w:val="20"/>
              </w:rPr>
              <w:t xml:space="preserve">Solidarity Yield Reserve</w:t>
            </w:r>
          </w:p>
        </w:tc>
        <w:tc>
          <w:tcPr>
            <w:tcW w:type="dxa" w:w="1800"/>
            <w:tcBorders>
              <w:top w:val="single" w:color="D0D7E2" w:sz="1"/>
              <w:left w:val="single" w:color="D0D7E2" w:sz="1"/>
              <w:bottom w:val="single" w:color="D0D7E2" w:sz="1"/>
              <w:right w:val="single" w:color="D0D7E2" w:sz="1"/>
            </w:tcBorders>
            <w:shd w:fill="F2F4F7" w:val="clear"/>
            <w:tcMar>
              <w:top w:type="dxa" w:w="80"/>
              <w:left w:type="dxa" w:w="160"/>
              <w:bottom w:type="dxa" w:w="80"/>
              <w:right w:type="dxa" w:w="160"/>
            </w:tcMar>
          </w:tcPr>
          <w:p>
            <w:r>
              <w:rPr>
                <w:rFonts w:ascii="Arial" w:cs="Arial" w:eastAsia="Arial" w:hAnsi="Arial"/>
                <w:b/>
                <w:bCs/>
                <w:sz w:val="20"/>
                <w:szCs w:val="20"/>
              </w:rPr>
              <w:t xml:space="preserve">0.5%</w:t>
            </w:r>
          </w:p>
        </w:tc>
        <w:tc>
          <w:tcPr>
            <w:tcW w:type="dxa" w:w="5360"/>
            <w:tcBorders>
              <w:top w:val="single" w:color="D0D7E2" w:sz="1"/>
              <w:left w:val="single" w:color="D0D7E2" w:sz="1"/>
              <w:bottom w:val="single" w:color="D0D7E2" w:sz="1"/>
              <w:right w:val="single" w:color="D0D7E2" w:sz="1"/>
            </w:tcBorders>
            <w:shd w:fill="F2F4F7" w:val="clear"/>
            <w:tcMar>
              <w:top w:type="dxa" w:w="80"/>
              <w:left w:type="dxa" w:w="160"/>
              <w:bottom w:type="dxa" w:w="80"/>
              <w:right w:type="dxa" w:w="160"/>
            </w:tcMar>
          </w:tcPr>
          <w:p>
            <w:r>
              <w:rPr>
                <w:rFonts w:ascii="Arial" w:cs="Arial" w:eastAsia="Arial" w:hAnsi="Arial"/>
                <w:sz w:val="20"/>
                <w:szCs w:val="20"/>
              </w:rPr>
              <w:t xml:space="preserve">Accumulates over time to reward early contributors through a deferred solidarity dividend mechanism (see Section 3.2)</w:t>
            </w:r>
          </w:p>
        </w:tc>
      </w:tr>
    </w:tbl>
    <w:p>
      <w:pPr>
        <w:spacing w:before="0" w:after="160"/>
      </w:pPr>
    </w:p>
    <w:p>
      <w:pPr>
        <w:spacing w:before="60" w:after="120"/>
        <w:jc w:val="both"/>
      </w:pPr>
      <w:r>
        <w:rPr>
          <w:rFonts w:ascii="Arial" w:cs="Arial" w:eastAsia="Arial" w:hAnsi="Arial"/>
          <w:b w:val="false"/>
          <w:bCs w:val="false"/>
          <w:i w:val="false"/>
          <w:iCs w:val="false"/>
          <w:color w:val="222222"/>
          <w:sz w:val="22"/>
          <w:szCs w:val="22"/>
        </w:rPr>
        <w:t xml:space="preserve">The net result: a sender in France transferring 100 euros converts them at a cost of 1.5 euros — compared to a market average of 6 to 9 euros under current systems. The receiver accesses 98.5 euros in equivalent value, and the remaining 1.5 euros are invested in the ecosystem itself.</w:t>
      </w:r>
    </w:p>
    <w:p>
      <w:pPr>
        <w:pStyle w:val="Heading2"/>
        <w:spacing w:before="280" w:after="80"/>
      </w:pPr>
      <w:r>
        <w:rPr>
          <w:rFonts w:ascii="Arial" w:cs="Arial" w:eastAsia="Arial" w:hAnsi="Arial"/>
          <w:b/>
          <w:bCs/>
          <w:color w:val="2E5F8A"/>
          <w:sz w:val="24"/>
          <w:szCs w:val="24"/>
        </w:rPr>
        <w:t xml:space="preserve">2.3 Asset Backing and Monetary Stability</w:t>
      </w:r>
    </w:p>
    <w:p>
      <w:pPr>
        <w:spacing w:before="60" w:after="120"/>
        <w:jc w:val="both"/>
      </w:pPr>
      <w:r>
        <w:rPr>
          <w:rFonts w:ascii="Arial" w:cs="Arial" w:eastAsia="Arial" w:hAnsi="Arial"/>
          <w:b w:val="false"/>
          <w:bCs w:val="false"/>
          <w:i w:val="false"/>
          <w:iCs w:val="false"/>
          <w:color w:val="222222"/>
          <w:sz w:val="22"/>
          <w:szCs w:val="22"/>
        </w:rPr>
        <w:t xml:space="preserve">The system's integrity rests on one non-negotiable commitment: every unit of PADU in circulation corresponds to a verified, auditable asset held in reserve. Currency creation is not discretionary; it is mechanical, transparent, and constrained by the value of deposits received.</w:t>
      </w:r>
    </w:p>
    <w:p>
      <w:pPr>
        <w:spacing w:before="60" w:after="120"/>
        <w:jc w:val="both"/>
      </w:pPr>
      <w:r>
        <w:rPr>
          <w:rFonts w:ascii="Arial" w:cs="Arial" w:eastAsia="Arial" w:hAnsi="Arial"/>
          <w:b w:val="false"/>
          <w:bCs w:val="false"/>
          <w:i w:val="false"/>
          <w:iCs w:val="false"/>
          <w:color w:val="222222"/>
          <w:sz w:val="22"/>
          <w:szCs w:val="22"/>
        </w:rPr>
        <w:t xml:space="preserve">The composition of the reserve — which assets are accepted, in what proportions, and how they are custodied — is a governance decision made collectively by participating states and community representatives. Initial proposals include a basket comprising recognized stable currencies, physical gold (with particular relevance given Africa's position as the world's largest gold-producing continent), and potentially shares in African-domiciled productive infrastructure as the ecosystem matures.</w:t>
      </w:r>
    </w:p>
    <w:p>
      <w:pPr>
        <w:spacing w:before="60" w:after="120"/>
        <w:jc w:val="both"/>
      </w:pPr>
      <w:r>
        <w:rPr>
          <w:rFonts w:ascii="Arial" w:cs="Arial" w:eastAsia="Arial" w:hAnsi="Arial"/>
          <w:b w:val="false"/>
          <w:bCs w:val="false"/>
          <w:i w:val="false"/>
          <w:iCs w:val="false"/>
          <w:color w:val="222222"/>
          <w:sz w:val="22"/>
          <w:szCs w:val="22"/>
        </w:rPr>
        <w:t xml:space="preserve">This architecture means that the PADU cannot be devalued by a remote decision, inflated at discretion, or used as an instrument of external economic leverage. Its value is, by design, the aggregate of the assets its own community has committed to it.</w:t>
      </w:r>
    </w:p>
    <w:p>
      <w:pPr>
        <w:spacing w:before="0" w:after="200"/>
      </w:pPr>
    </w:p>
    <w:p>
      <w:pPr>
        <w:pStyle w:val="Heading1"/>
        <w:spacing w:before="400" w:after="120"/>
      </w:pPr>
      <w:r>
        <w:rPr>
          <w:rFonts w:ascii="Arial" w:cs="Arial" w:eastAsia="Arial" w:hAnsi="Arial"/>
          <w:b/>
          <w:bCs/>
          <w:color w:val="1A3557"/>
          <w:sz w:val="28"/>
          <w:szCs w:val="28"/>
        </w:rPr>
        <w:t xml:space="preserve">3. Governance Architecture</w:t>
      </w:r>
    </w:p>
    <w:p>
      <w:pPr>
        <w:pBdr>
          <w:bottom w:val="single" w:color="C8922A" w:sz="8" w:space="1"/>
        </w:pBdr>
        <w:spacing w:before="0" w:after="200"/>
      </w:pPr>
    </w:p>
    <w:p>
      <w:pPr>
        <w:pStyle w:val="Heading2"/>
        <w:spacing w:before="280" w:after="80"/>
      </w:pPr>
      <w:r>
        <w:rPr>
          <w:rFonts w:ascii="Arial" w:cs="Arial" w:eastAsia="Arial" w:hAnsi="Arial"/>
          <w:b/>
          <w:bCs/>
          <w:color w:val="2E5F8A"/>
          <w:sz w:val="24"/>
          <w:szCs w:val="24"/>
        </w:rPr>
        <w:t xml:space="preserve">3.1 The Two-Chamber Model</w:t>
      </w:r>
    </w:p>
    <w:p>
      <w:pPr>
        <w:spacing w:before="60" w:after="120"/>
        <w:jc w:val="both"/>
      </w:pPr>
      <w:r>
        <w:rPr>
          <w:rFonts w:ascii="Arial" w:cs="Arial" w:eastAsia="Arial" w:hAnsi="Arial"/>
          <w:b w:val="false"/>
          <w:bCs w:val="false"/>
          <w:i w:val="false"/>
          <w:iCs w:val="false"/>
          <w:color w:val="222222"/>
          <w:sz w:val="22"/>
          <w:szCs w:val="22"/>
        </w:rPr>
        <w:t xml:space="preserve">The governance structure is designed to separate those decisions that must be immutable from those that should be democratic.</w:t>
      </w:r>
    </w:p>
    <w:p>
      <w:pPr>
        <w:spacing w:before="60" w:after="120"/>
        <w:jc w:val="both"/>
      </w:pPr>
      <w:r>
        <w:rPr>
          <w:rFonts w:ascii="Arial" w:cs="Arial" w:eastAsia="Arial" w:hAnsi="Arial"/>
          <w:b w:val="false"/>
          <w:bCs w:val="false"/>
          <w:i w:val="false"/>
          <w:iCs w:val="false"/>
          <w:color w:val="222222"/>
          <w:sz w:val="22"/>
          <w:szCs w:val="22"/>
        </w:rPr>
        <w:t xml:space="preserve">The Protocol Chamber comprises the foundational rules of the system: the fee structure, the asset-backing ratio, the mechanics of currency creation and redemption. These rules are encoded in open-source smart contracts — publicly visible, externally auditable, and not subject to amendment by any single actor, including the founding institutions. This chamber requires no ongoing human governance because it functions as a constitution: stable, transparent, and resistant to capture.</w:t>
      </w:r>
    </w:p>
    <w:p>
      <w:pPr>
        <w:spacing w:before="60" w:after="120"/>
        <w:jc w:val="both"/>
      </w:pPr>
      <w:r>
        <w:rPr>
          <w:rFonts w:ascii="Arial" w:cs="Arial" w:eastAsia="Arial" w:hAnsi="Arial"/>
          <w:b w:val="false"/>
          <w:bCs w:val="false"/>
          <w:i w:val="false"/>
          <w:iCs w:val="false"/>
          <w:color w:val="222222"/>
          <w:sz w:val="22"/>
          <w:szCs w:val="22"/>
        </w:rPr>
        <w:t xml:space="preserve">The Social Chamber comprises all decisions that should reflect the evolving will of the community: the allocation of the Social Development Fund, decisions about reserve asset composition, ecosystem development priorities, and partnerships. This chamber operates as a distributed governance body — a weighted deliberative forum in which participating sovereign states, institutional partners, diaspora representatives, and active users each hold proportional voice. Major decisions require a qualified supermajority, and votes cast by African-resident participants carry a structural premium to ensure that the communities most directly affected retain determinative influence.</w:t>
      </w:r>
    </w:p>
    <w:p>
      <w:pPr>
        <w:pStyle w:val="Heading2"/>
        <w:spacing w:before="280" w:after="80"/>
      </w:pPr>
      <w:r>
        <w:rPr>
          <w:rFonts w:ascii="Arial" w:cs="Arial" w:eastAsia="Arial" w:hAnsi="Arial"/>
          <w:b/>
          <w:bCs/>
          <w:color w:val="2E5F8A"/>
          <w:sz w:val="24"/>
          <w:szCs w:val="24"/>
        </w:rPr>
        <w:t xml:space="preserve">3.2 The Solidarity Dividend: Rewarding Long-Term Commitment</w:t>
      </w:r>
    </w:p>
    <w:p>
      <w:pPr>
        <w:spacing w:before="60" w:after="120"/>
        <w:jc w:val="both"/>
      </w:pPr>
      <w:r>
        <w:rPr>
          <w:rFonts w:ascii="Arial" w:cs="Arial" w:eastAsia="Arial" w:hAnsi="Arial"/>
          <w:b w:val="false"/>
          <w:bCs w:val="false"/>
          <w:i w:val="false"/>
          <w:iCs w:val="false"/>
          <w:color w:val="222222"/>
          <w:sz w:val="22"/>
          <w:szCs w:val="22"/>
        </w:rPr>
        <w:t xml:space="preserve">A unique feature of this system is its mechanism for rewarding those who contribute to its growth without seeking speculative gain. When a diaspora member sends funds through the PADU system, they receive a Certificate of Contribution — a permanent, on-chain record of their participation. This certificate is not a financial instrument in the speculative sense; it does not promise a fixed return and its value is not tradeable.</w:t>
      </w:r>
    </w:p>
    <w:p>
      <w:pPr>
        <w:spacing w:before="60" w:after="120"/>
        <w:jc w:val="both"/>
      </w:pPr>
      <w:r>
        <w:rPr>
          <w:rFonts w:ascii="Arial" w:cs="Arial" w:eastAsia="Arial" w:hAnsi="Arial"/>
          <w:b w:val="false"/>
          <w:bCs w:val="false"/>
          <w:i w:val="false"/>
          <w:iCs w:val="false"/>
          <w:color w:val="222222"/>
          <w:sz w:val="22"/>
          <w:szCs w:val="22"/>
        </w:rPr>
        <w:t xml:space="preserve">Over time, as the ecosystem grows and daily transaction volumes accumulate micro-fees from receivers spending PADU within the ecosystem, the Solidarity Yield Reserve builds up. At defined intervals — for example, every five years — contributors whose certificates have matured receive a proportional distribution from this reserve. The distribution is modest, deferred, and contingent on ecosystem growth; it is not a guaranteed financial product. It is, rather, a structural recognition that those who helped build the system share in what it produces.</w:t>
      </w:r>
    </w:p>
    <w:p>
      <w:pPr>
        <w:spacing w:before="60" w:after="120"/>
        <w:jc w:val="both"/>
      </w:pPr>
      <w:r>
        <w:rPr>
          <w:rFonts w:ascii="Arial" w:cs="Arial" w:eastAsia="Arial" w:hAnsi="Arial"/>
          <w:b w:val="false"/>
          <w:bCs w:val="false"/>
          <w:i w:val="false"/>
          <w:iCs w:val="false"/>
          <w:color w:val="222222"/>
          <w:sz w:val="22"/>
          <w:szCs w:val="22"/>
        </w:rPr>
        <w:t xml:space="preserve">This mechanism transforms the act of sending money home — historically a pure cost — into a long-term act of investment in African economic infrastructure, with a meaningful, if patient, return.</w:t>
      </w:r>
    </w:p>
    <w:p>
      <w:pPr>
        <w:spacing w:before="0" w:after="200"/>
      </w:pPr>
    </w:p>
    <w:p>
      <w:pPr>
        <w:pStyle w:val="Heading1"/>
        <w:spacing w:before="400" w:after="120"/>
      </w:pPr>
      <w:r>
        <w:rPr>
          <w:rFonts w:ascii="Arial" w:cs="Arial" w:eastAsia="Arial" w:hAnsi="Arial"/>
          <w:b/>
          <w:bCs/>
          <w:color w:val="1A3557"/>
          <w:sz w:val="28"/>
          <w:szCs w:val="28"/>
        </w:rPr>
        <w:t xml:space="preserve">4. Strategic Positioning and Approach to Adoption</w:t>
      </w:r>
    </w:p>
    <w:p>
      <w:pPr>
        <w:pBdr>
          <w:bottom w:val="single" w:color="C8922A" w:sz="8" w:space="1"/>
        </w:pBdr>
        <w:spacing w:before="0" w:after="200"/>
      </w:pPr>
    </w:p>
    <w:p>
      <w:pPr>
        <w:pStyle w:val="Heading2"/>
        <w:spacing w:before="280" w:after="80"/>
      </w:pPr>
      <w:r>
        <w:rPr>
          <w:rFonts w:ascii="Arial" w:cs="Arial" w:eastAsia="Arial" w:hAnsi="Arial"/>
          <w:b/>
          <w:bCs/>
          <w:color w:val="2E5F8A"/>
          <w:sz w:val="24"/>
          <w:szCs w:val="24"/>
        </w:rPr>
        <w:t xml:space="preserve">4.1 A Bottom-Up Architecture by Design</w:t>
      </w:r>
    </w:p>
    <w:p>
      <w:pPr>
        <w:spacing w:before="60" w:after="120"/>
        <w:jc w:val="both"/>
      </w:pPr>
      <w:r>
        <w:rPr>
          <w:rFonts w:ascii="Arial" w:cs="Arial" w:eastAsia="Arial" w:hAnsi="Arial"/>
          <w:b w:val="false"/>
          <w:bCs w:val="false"/>
          <w:i w:val="false"/>
          <w:iCs w:val="false"/>
          <w:color w:val="222222"/>
          <w:sz w:val="22"/>
          <w:szCs w:val="22"/>
        </w:rPr>
        <w:t xml:space="preserve">The PADU initiative is deliberately designed not to require political authorisation to begin, and not to impose transition costs on any existing institution. Its model of growth is organic and consent-based: it earns adoption by being demonstrably more useful, more affordable, and more aligned with African interests than the alternatives it complements.</w:t>
      </w:r>
    </w:p>
    <w:p>
      <w:pPr>
        <w:spacing w:before="60" w:after="120"/>
        <w:jc w:val="both"/>
      </w:pPr>
      <w:r>
        <w:rPr>
          <w:rFonts w:ascii="Arial" w:cs="Arial" w:eastAsia="Arial" w:hAnsi="Arial"/>
          <w:b w:val="false"/>
          <w:bCs w:val="false"/>
          <w:i w:val="false"/>
          <w:iCs w:val="false"/>
          <w:color w:val="222222"/>
          <w:sz w:val="22"/>
          <w:szCs w:val="22"/>
        </w:rPr>
        <w:t xml:space="preserve">States and institutions that choose to engage — by accepting PADU in public-sector transactions, recognising it as a legal instrument for certain categories of payment, or integrating it into national digital finance strategies — do so on their own terms, on their own timelines, and with the full protection of their existing constitutional and monetary frameworks. Those that prefer to observe the system mature before engaging lose nothing by waiting; early participants gain the structural advantages of founding influence.</w:t>
      </w:r>
    </w:p>
    <w:p>
      <w:pPr>
        <w:spacing w:before="60" w:after="120"/>
        <w:jc w:val="both"/>
      </w:pPr>
      <w:r>
        <w:rPr>
          <w:rFonts w:ascii="Arial" w:cs="Arial" w:eastAsia="Arial" w:hAnsi="Arial"/>
          <w:b w:val="false"/>
          <w:bCs w:val="false"/>
          <w:i w:val="false"/>
          <w:iCs w:val="false"/>
          <w:color w:val="222222"/>
          <w:sz w:val="22"/>
          <w:szCs w:val="22"/>
        </w:rPr>
        <w:t xml:space="preserve">This approach is not passivity. It is a deliberate political architecture: a system that demonstrates its value before it asks for legitimacy, rather than demanding legitimacy before it is allowed to prove its value.</w:t>
      </w:r>
    </w:p>
    <w:p>
      <w:pPr>
        <w:pStyle w:val="Heading2"/>
        <w:spacing w:before="280" w:after="80"/>
      </w:pPr>
      <w:r>
        <w:rPr>
          <w:rFonts w:ascii="Arial" w:cs="Arial" w:eastAsia="Arial" w:hAnsi="Arial"/>
          <w:b/>
          <w:bCs/>
          <w:color w:val="2E5F8A"/>
          <w:sz w:val="24"/>
          <w:szCs w:val="24"/>
        </w:rPr>
        <w:t xml:space="preserve">4.2 Continental Scale as a Structural Advantage</w:t>
      </w:r>
    </w:p>
    <w:p>
      <w:pPr>
        <w:spacing w:before="60" w:after="120"/>
        <w:jc w:val="both"/>
      </w:pPr>
      <w:r>
        <w:rPr>
          <w:rFonts w:ascii="Arial" w:cs="Arial" w:eastAsia="Arial" w:hAnsi="Arial"/>
          <w:b w:val="false"/>
          <w:bCs w:val="false"/>
          <w:i w:val="false"/>
          <w:iCs w:val="false"/>
          <w:color w:val="222222"/>
          <w:sz w:val="22"/>
          <w:szCs w:val="22"/>
        </w:rPr>
        <w:t xml:space="preserve">The PADU system is designed from its inception to operate at continental scale. This is not simply an aspiration — it is an economic necessity and a structural advantage. A payment and value-transfer system that spans multiple countries and corridors achieves dramatically lower per-transaction costs than any nationally scoped alternative. Each new user, each new corridor, each new merchant integration reduces the unit cost of operating the system for all participants.</w:t>
      </w:r>
    </w:p>
    <w:p>
      <w:pPr>
        <w:spacing w:before="60" w:after="120"/>
        <w:jc w:val="both"/>
      </w:pPr>
      <w:r>
        <w:rPr>
          <w:rFonts w:ascii="Arial" w:cs="Arial" w:eastAsia="Arial" w:hAnsi="Arial"/>
          <w:b w:val="false"/>
          <w:bCs w:val="false"/>
          <w:i w:val="false"/>
          <w:iCs w:val="false"/>
          <w:color w:val="222222"/>
          <w:sz w:val="22"/>
          <w:szCs w:val="22"/>
        </w:rPr>
        <w:t xml:space="preserve">Moreover, a system that is distributed across dozens of countries and hundreds of thousands of participants cannot be disabled by the failure or withdrawal of any single state, institution, or actor. Its resilience is architectural, not dependent on political continuity or institutional goodwill. In an environment of periodic political disruption, this is not a technical curiosity; it is a genuine strategic asset for any country that joins.</w:t>
      </w:r>
    </w:p>
    <w:p>
      <w:pPr>
        <w:pStyle w:val="Heading2"/>
        <w:spacing w:before="280" w:after="80"/>
      </w:pPr>
      <w:r>
        <w:rPr>
          <w:rFonts w:ascii="Arial" w:cs="Arial" w:eastAsia="Arial" w:hAnsi="Arial"/>
          <w:b/>
          <w:bCs/>
          <w:color w:val="2E5F8A"/>
          <w:sz w:val="24"/>
          <w:szCs w:val="24"/>
        </w:rPr>
        <w:t xml:space="preserve">4.3 Competitive Position Against Existing Systems</w:t>
      </w:r>
    </w:p>
    <w:p>
      <w:pPr>
        <w:spacing w:before="60" w:after="120"/>
        <w:jc w:val="both"/>
      </w:pPr>
      <w:r>
        <w:rPr>
          <w:rFonts w:ascii="Arial" w:cs="Arial" w:eastAsia="Arial" w:hAnsi="Arial"/>
          <w:b w:val="false"/>
          <w:bCs w:val="false"/>
          <w:i w:val="false"/>
          <w:iCs w:val="false"/>
          <w:color w:val="222222"/>
          <w:sz w:val="22"/>
          <w:szCs w:val="22"/>
        </w:rPr>
        <w:t xml:space="preserve">The PADU system does not seek to eliminate existing remittance operators or payment systems. It seeks to compete with them on the merits — and to win the loyalty of users and institutions by offering conditions that existing systems structurally cannot match.</w:t>
      </w:r>
    </w:p>
    <w:p>
      <w:pPr>
        <w:spacing w:before="60" w:after="120"/>
        <w:jc w:val="both"/>
      </w:pPr>
      <w:r>
        <w:rPr>
          <w:rFonts w:ascii="Arial" w:cs="Arial" w:eastAsia="Arial" w:hAnsi="Arial"/>
          <w:b w:val="false"/>
          <w:bCs w:val="false"/>
          <w:i w:val="false"/>
          <w:iCs w:val="false"/>
          <w:color w:val="222222"/>
          <w:sz w:val="22"/>
          <w:szCs w:val="22"/>
        </w:rPr>
        <w:t xml:space="preserve">The principal advantages are: a transaction cost that is approximately four to six times lower than the market average for the relevant corridors; full transparency on how fees are used; a community-governed social fund that returns value to the communities generating it; and a long-term yield mechanism that no commercial remittance provider currently offers. In combination, these represent a compelling proposition not only for individual users, but for governments seeking to maximise the developmental impact of diaspora remittances — a flow of capital that, at its current volume, exceeds the continent's annual official development assistance receipts.</w:t>
      </w:r>
    </w:p>
    <w:p>
      <w:pPr>
        <w:spacing w:before="0" w:after="200"/>
      </w:pPr>
    </w:p>
    <w:p>
      <w:pPr>
        <w:pStyle w:val="Heading1"/>
        <w:spacing w:before="400" w:after="120"/>
      </w:pPr>
      <w:r>
        <w:rPr>
          <w:rFonts w:ascii="Arial" w:cs="Arial" w:eastAsia="Arial" w:hAnsi="Arial"/>
          <w:b/>
          <w:bCs/>
          <w:color w:val="1A3557"/>
          <w:sz w:val="28"/>
          <w:szCs w:val="28"/>
        </w:rPr>
        <w:t xml:space="preserve">5. Implementation Pathway</w:t>
      </w:r>
    </w:p>
    <w:p>
      <w:pPr>
        <w:pBdr>
          <w:bottom w:val="single" w:color="C8922A" w:sz="8" w:space="1"/>
        </w:pBdr>
        <w:spacing w:before="0" w:after="200"/>
      </w:pPr>
    </w:p>
    <w:p>
      <w:pPr>
        <w:pStyle w:val="Heading2"/>
        <w:spacing w:before="280" w:after="80"/>
      </w:pPr>
      <w:r>
        <w:rPr>
          <w:rFonts w:ascii="Arial" w:cs="Arial" w:eastAsia="Arial" w:hAnsi="Arial"/>
          <w:b/>
          <w:bCs/>
          <w:color w:val="2E5F8A"/>
          <w:sz w:val="24"/>
          <w:szCs w:val="24"/>
        </w:rPr>
        <w:t xml:space="preserve">5.1 Phase One — Pilot Corridor (Years 1–2)</w:t>
      </w:r>
    </w:p>
    <w:p>
      <w:pPr>
        <w:spacing w:before="60" w:after="120"/>
        <w:jc w:val="both"/>
      </w:pPr>
      <w:r>
        <w:rPr>
          <w:rFonts w:ascii="Arial" w:cs="Arial" w:eastAsia="Arial" w:hAnsi="Arial"/>
          <w:b w:val="false"/>
          <w:bCs w:val="false"/>
          <w:i w:val="false"/>
          <w:iCs w:val="false"/>
          <w:color w:val="222222"/>
          <w:sz w:val="22"/>
          <w:szCs w:val="22"/>
        </w:rPr>
        <w:t xml:space="preserve">The initiative launches with a single, well-defined remittance corridor — such as France to Senegal, or France to Côte d'Ivoire — chosen for its volume, its established diaspora network, and the availability of digital financial infrastructure on both ends. During this phase, the system operates under the governance of a founding council composed of technical experts, diaspora community leaders, civil society representatives, and invited observers from participating states. No sovereign commitment is required at this stage.</w:t>
      </w:r>
    </w:p>
    <w:p>
      <w:pPr>
        <w:spacing w:before="60" w:after="120"/>
        <w:jc w:val="both"/>
      </w:pPr>
      <w:r>
        <w:rPr>
          <w:rFonts w:ascii="Arial" w:cs="Arial" w:eastAsia="Arial" w:hAnsi="Arial"/>
          <w:b w:val="false"/>
          <w:bCs w:val="false"/>
          <w:i w:val="false"/>
          <w:iCs w:val="false"/>
          <w:color w:val="222222"/>
          <w:sz w:val="22"/>
          <w:szCs w:val="22"/>
        </w:rPr>
        <w:t xml:space="preserve">The objectives of Phase One are: to validate the technical architecture under real-world conditions, to establish a record of monetary stability and operational reliability, and to generate the data needed to support formal policy engagement with state institutions.</w:t>
      </w:r>
    </w:p>
    <w:p>
      <w:pPr>
        <w:pStyle w:val="Heading2"/>
        <w:spacing w:before="280" w:after="80"/>
      </w:pPr>
      <w:r>
        <w:rPr>
          <w:rFonts w:ascii="Arial" w:cs="Arial" w:eastAsia="Arial" w:hAnsi="Arial"/>
          <w:b/>
          <w:bCs/>
          <w:color w:val="2E5F8A"/>
          <w:sz w:val="24"/>
          <w:szCs w:val="24"/>
        </w:rPr>
        <w:t xml:space="preserve">5.2 Phase Two — Corridor Expansion (Years 3–5)</w:t>
      </w:r>
    </w:p>
    <w:p>
      <w:pPr>
        <w:spacing w:before="60" w:after="120"/>
        <w:jc w:val="both"/>
      </w:pPr>
      <w:r>
        <w:rPr>
          <w:rFonts w:ascii="Arial" w:cs="Arial" w:eastAsia="Arial" w:hAnsi="Arial"/>
          <w:b w:val="false"/>
          <w:bCs w:val="false"/>
          <w:i w:val="false"/>
          <w:iCs w:val="false"/>
          <w:color w:val="222222"/>
          <w:sz w:val="22"/>
          <w:szCs w:val="22"/>
        </w:rPr>
        <w:t xml:space="preserve">Following demonstrated stability in the pilot corridor, the system expands to additional remittance corridors and begins formal engagement with central bank authorities and ministries of finance in interested member states. The governance structure transitions toward the two-chamber model described in Section 3, with state representatives formally invited into the Social Chamber. Reserve asset composition is reviewed and potentially expanded to include African-sovereign instruments.</w:t>
      </w:r>
    </w:p>
    <w:p>
      <w:pPr>
        <w:pStyle w:val="Heading2"/>
        <w:spacing w:before="280" w:after="80"/>
      </w:pPr>
      <w:r>
        <w:rPr>
          <w:rFonts w:ascii="Arial" w:cs="Arial" w:eastAsia="Arial" w:hAnsi="Arial"/>
          <w:b/>
          <w:bCs/>
          <w:color w:val="2E5F8A"/>
          <w:sz w:val="24"/>
          <w:szCs w:val="24"/>
        </w:rPr>
        <w:t xml:space="preserve">5.3 Phase Three — Continental Integration (Years 6–10)</w:t>
      </w:r>
    </w:p>
    <w:p>
      <w:pPr>
        <w:spacing w:before="60" w:after="120"/>
        <w:jc w:val="both"/>
      </w:pPr>
      <w:r>
        <w:rPr>
          <w:rFonts w:ascii="Arial" w:cs="Arial" w:eastAsia="Arial" w:hAnsi="Arial"/>
          <w:b w:val="false"/>
          <w:bCs w:val="false"/>
          <w:i w:val="false"/>
          <w:iCs w:val="false"/>
          <w:color w:val="222222"/>
          <w:sz w:val="22"/>
          <w:szCs w:val="22"/>
        </w:rPr>
        <w:t xml:space="preserve">At scale, the PADU system operates as a continent-spanning payment infrastructure, complementary to national currencies and existing regional monetary arrangements. Its governance is fully distributed; its reserve is audited by independent international institutions; and its social fund has a demonstrable track record of community impact. At this stage, formal monetary integration — the potential alignment of the PADU with African Union monetary harmonisation frameworks — becomes a policy option for discussion among member states.</w:t>
      </w:r>
    </w:p>
    <w:p>
      <w:pPr>
        <w:spacing w:before="0" w:after="200"/>
      </w:pPr>
    </w:p>
    <w:p>
      <w:pPr>
        <w:pStyle w:val="Heading1"/>
        <w:spacing w:before="400" w:after="120"/>
      </w:pPr>
      <w:r>
        <w:rPr>
          <w:rFonts w:ascii="Arial" w:cs="Arial" w:eastAsia="Arial" w:hAnsi="Arial"/>
          <w:b/>
          <w:bCs/>
          <w:color w:val="1A3557"/>
          <w:sz w:val="28"/>
          <w:szCs w:val="28"/>
        </w:rPr>
        <w:t xml:space="preserve">6. Invitation to Political Leaders</w:t>
      </w:r>
    </w:p>
    <w:p>
      <w:pPr>
        <w:pBdr>
          <w:bottom w:val="single" w:color="C8922A" w:sz="8" w:space="1"/>
        </w:pBdr>
        <w:spacing w:before="0" w:after="200"/>
      </w:pPr>
    </w:p>
    <w:p>
      <w:pPr>
        <w:spacing w:before="60" w:after="120"/>
        <w:jc w:val="both"/>
      </w:pPr>
      <w:r>
        <w:rPr>
          <w:rFonts w:ascii="Arial" w:cs="Arial" w:eastAsia="Arial" w:hAnsi="Arial"/>
          <w:b w:val="false"/>
          <w:bCs w:val="false"/>
          <w:i w:val="false"/>
          <w:iCs w:val="false"/>
          <w:color w:val="222222"/>
          <w:sz w:val="22"/>
          <w:szCs w:val="22"/>
        </w:rPr>
        <w:t xml:space="preserve">This document is not a request for authorisation. The PADU initiative will proceed on the basis of community participation and technical merit regardless of formal political endorsement. However, the support — even the tacit acknowledgment — of political leaders at the national and continental level would accelerate its growth, lend it legitimacy in the eyes of institutional partners, and ensure that its governance architecture reflects state interests from the outset rather than after the fact.</w:t>
      </w:r>
    </w:p>
    <w:p>
      <w:pPr>
        <w:spacing w:before="60" w:after="120"/>
        <w:jc w:val="both"/>
      </w:pPr>
      <w:r>
        <w:rPr>
          <w:rFonts w:ascii="Arial" w:cs="Arial" w:eastAsia="Arial" w:hAnsi="Arial"/>
          <w:b w:val="false"/>
          <w:bCs w:val="false"/>
          <w:i w:val="false"/>
          <w:iCs w:val="false"/>
          <w:color w:val="222222"/>
          <w:sz w:val="22"/>
          <w:szCs w:val="22"/>
        </w:rPr>
        <w:t xml:space="preserve">We therefore extend the following specific invitations:</w:t>
      </w:r>
    </w:p>
    <w:p>
      <w:pPr>
        <w:spacing w:before="0" w:after="40"/>
      </w:pPr>
    </w:p>
    <w:p>
      <w:pPr>
        <w:pStyle w:val="ListParagraph"/>
        <w:numPr>
          <w:ilvl w:val="0"/>
          <w:numId w:val="2"/>
        </w:numPr>
        <w:spacing w:before="40" w:after="80"/>
      </w:pPr>
      <w:r>
        <w:rPr>
          <w:rFonts w:ascii="Arial" w:cs="Arial" w:eastAsia="Arial" w:hAnsi="Arial"/>
          <w:color w:val="222222"/>
          <w:sz w:val="22"/>
          <w:szCs w:val="22"/>
        </w:rPr>
        <w:t xml:space="preserve">To Heads of State and Government: to acknowledge the structural problem of remittance costs and diaspora capital leakage as a legitimate policy concern, and to express openness to complementary, community-governed instruments as part of a broader financial inclusion strategy.</w:t>
      </w:r>
    </w:p>
    <w:p>
      <w:pPr>
        <w:pStyle w:val="ListParagraph"/>
        <w:numPr>
          <w:ilvl w:val="0"/>
          <w:numId w:val="2"/>
        </w:numPr>
        <w:spacing w:before="40" w:after="80"/>
      </w:pPr>
      <w:r>
        <w:rPr>
          <w:rFonts w:ascii="Arial" w:cs="Arial" w:eastAsia="Arial" w:hAnsi="Arial"/>
          <w:color w:val="222222"/>
          <w:sz w:val="22"/>
          <w:szCs w:val="22"/>
        </w:rPr>
        <w:t xml:space="preserve">To Ministers of Finance and Economy: to designate a technical focal point for engagement with the PADU founding council, with a view to contributing to the governance design and reserve asset framework.</w:t>
      </w:r>
    </w:p>
    <w:p>
      <w:pPr>
        <w:pStyle w:val="ListParagraph"/>
        <w:numPr>
          <w:ilvl w:val="0"/>
          <w:numId w:val="2"/>
        </w:numPr>
        <w:spacing w:before="40" w:after="80"/>
      </w:pPr>
      <w:r>
        <w:rPr>
          <w:rFonts w:ascii="Arial" w:cs="Arial" w:eastAsia="Arial" w:hAnsi="Arial"/>
          <w:color w:val="222222"/>
          <w:sz w:val="22"/>
          <w:szCs w:val="22"/>
        </w:rPr>
        <w:t xml:space="preserve">To Central Bank Governors: to engage in dialogue on the regulatory and supervisory conditions under which a community-governed digital currency instrument could operate within national legal frameworks — without prejudging the outcome of that dialogue.</w:t>
      </w:r>
    </w:p>
    <w:p>
      <w:pPr>
        <w:pStyle w:val="ListParagraph"/>
        <w:numPr>
          <w:ilvl w:val="0"/>
          <w:numId w:val="2"/>
        </w:numPr>
        <w:spacing w:before="40" w:after="80"/>
      </w:pPr>
      <w:r>
        <w:rPr>
          <w:rFonts w:ascii="Arial" w:cs="Arial" w:eastAsia="Arial" w:hAnsi="Arial"/>
          <w:color w:val="222222"/>
          <w:sz w:val="22"/>
          <w:szCs w:val="22"/>
        </w:rPr>
        <w:t xml:space="preserve">To African Union Commission Representatives: to consider this initiative in the context of the AU's existing agenda on payment system integration, financial inclusion, and the proposed Pan-African Payment and Settlement System (PAPSS).</w:t>
      </w:r>
    </w:p>
    <w:p>
      <w:pPr>
        <w:spacing w:before="0" w:after="200"/>
      </w:pPr>
    </w:p>
    <w:p>
      <w:pPr>
        <w:pStyle w:val="Heading1"/>
        <w:spacing w:before="400" w:after="120"/>
      </w:pPr>
      <w:r>
        <w:rPr>
          <w:rFonts w:ascii="Arial" w:cs="Arial" w:eastAsia="Arial" w:hAnsi="Arial"/>
          <w:b/>
          <w:bCs/>
          <w:color w:val="1A3557"/>
          <w:sz w:val="28"/>
          <w:szCs w:val="28"/>
        </w:rPr>
        <w:t xml:space="preserve">7. Conclusion</w:t>
      </w:r>
    </w:p>
    <w:p>
      <w:pPr>
        <w:pBdr>
          <w:bottom w:val="single" w:color="C8922A" w:sz="8" w:space="1"/>
        </w:pBdr>
        <w:spacing w:before="0" w:after="200"/>
      </w:pPr>
    </w:p>
    <w:p>
      <w:pPr>
        <w:spacing w:before="60" w:after="120"/>
        <w:jc w:val="both"/>
      </w:pPr>
      <w:r>
        <w:rPr>
          <w:rFonts w:ascii="Arial" w:cs="Arial" w:eastAsia="Arial" w:hAnsi="Arial"/>
          <w:b w:val="false"/>
          <w:bCs w:val="false"/>
          <w:i w:val="false"/>
          <w:iCs w:val="false"/>
          <w:color w:val="222222"/>
          <w:sz w:val="22"/>
          <w:szCs w:val="22"/>
        </w:rPr>
        <w:t xml:space="preserve">Monetary infrastructure is not a technical question. It is a question of whose interests a financial system is designed to serve, and who governs the rules by which value is created, transferred, and accumulated.</w:t>
      </w:r>
    </w:p>
    <w:p>
      <w:pPr>
        <w:spacing w:before="60" w:after="120"/>
        <w:jc w:val="both"/>
      </w:pPr>
      <w:r>
        <w:rPr>
          <w:rFonts w:ascii="Arial" w:cs="Arial" w:eastAsia="Arial" w:hAnsi="Arial"/>
          <w:b w:val="false"/>
          <w:bCs w:val="false"/>
          <w:i w:val="false"/>
          <w:iCs w:val="false"/>
          <w:color w:val="222222"/>
          <w:sz w:val="22"/>
          <w:szCs w:val="22"/>
        </w:rPr>
        <w:t xml:space="preserve">The PADU initiative proposes, for the first time at continental scale, a monetary instrument designed from its inception to serve African citizens — not as a substitute for existing institutions, but as a complement to them; not as a disruption of international economic relationships, but as a mechanism for making those relationships more equitable.</w:t>
      </w:r>
    </w:p>
    <w:p>
      <w:pPr>
        <w:spacing w:before="60" w:after="120"/>
        <w:jc w:val="both"/>
      </w:pPr>
      <w:r>
        <w:rPr>
          <w:rFonts w:ascii="Arial" w:cs="Arial" w:eastAsia="Arial" w:hAnsi="Arial"/>
          <w:b w:val="false"/>
          <w:bCs w:val="false"/>
          <w:i w:val="false"/>
          <w:iCs w:val="false"/>
          <w:color w:val="222222"/>
          <w:sz w:val="22"/>
          <w:szCs w:val="22"/>
        </w:rPr>
        <w:t xml:space="preserve">The technology exists. The economic case is documented. The community willing to build it is present and motivated. What remains is the political will to allow it to exist — and, in time, to help it flourish.</w:t>
      </w:r>
    </w:p>
    <w:p>
      <w:pPr>
        <w:spacing w:before="60" w:after="120"/>
        <w:jc w:val="both"/>
      </w:pPr>
      <w:r>
        <w:rPr>
          <w:rFonts w:ascii="Arial" w:cs="Arial" w:eastAsia="Arial" w:hAnsi="Arial"/>
          <w:b w:val="false"/>
          <w:bCs w:val="false"/>
          <w:i w:val="false"/>
          <w:iCs w:val="false"/>
          <w:color w:val="222222"/>
          <w:sz w:val="22"/>
          <w:szCs w:val="22"/>
        </w:rPr>
        <w:t xml:space="preserve">We invite your engagement, your scrutiny, and your counsel.</w:t>
      </w:r>
    </w:p>
    <w:p>
      <w:pPr>
        <w:spacing w:before="0" w:after="300"/>
      </w:pPr>
    </w:p>
    <w:p>
      <w:pPr>
        <w:pBdr>
          <w:bottom w:val="single" w:color="C8922A" w:sz="8" w:space="1"/>
        </w:pBdr>
        <w:spacing w:before="0" w:after="0"/>
      </w:pPr>
    </w:p>
    <w:p>
      <w:pPr>
        <w:spacing w:before="0" w:after="120"/>
      </w:pPr>
    </w:p>
    <w:p>
      <w:pPr>
        <w:spacing w:before="60" w:after="120"/>
        <w:jc w:val="both"/>
      </w:pPr>
      <w:r>
        <w:rPr>
          <w:rFonts w:ascii="Arial" w:cs="Arial" w:eastAsia="Arial" w:hAnsi="Arial"/>
          <w:b w:val="false"/>
          <w:bCs w:val="false"/>
          <w:i/>
          <w:iCs/>
          <w:color w:val="222222"/>
          <w:sz w:val="22"/>
          <w:szCs w:val="22"/>
        </w:rPr>
        <w:t xml:space="preserve">For further information and direct engagement with the founding working group, please contact:</w:t>
      </w:r>
    </w:p>
    <w:p>
      <w:pPr>
        <w:spacing w:before="0" w:after="40"/>
      </w:pPr>
    </w:p>
    <w:p>
      <w:pPr>
        <w:spacing w:before="60" w:after="120"/>
        <w:jc w:val="center"/>
      </w:pPr>
      <w:r>
        <w:rPr>
          <w:rFonts w:ascii="Arial" w:cs="Arial" w:eastAsia="Arial" w:hAnsi="Arial"/>
          <w:b/>
          <w:bCs/>
          <w:i w:val="false"/>
          <w:iCs w:val="false"/>
          <w:color w:val="222222"/>
          <w:sz w:val="22"/>
          <w:szCs w:val="22"/>
        </w:rPr>
        <w:t xml:space="preserve">[Contact information to be inserted]</w:t>
      </w:r>
    </w:p>
    <w:p>
      <w:pPr>
        <w:spacing w:before="0" w:after="120"/>
      </w:pPr>
    </w:p>
    <w:p>
      <w:pPr>
        <w:spacing w:before="60" w:after="120"/>
        <w:jc w:val="both"/>
      </w:pPr>
      <w:r>
        <w:rPr>
          <w:rFonts w:ascii="Arial" w:cs="Arial" w:eastAsia="Arial" w:hAnsi="Arial"/>
          <w:b w:val="false"/>
          <w:bCs w:val="false"/>
          <w:i/>
          <w:iCs/>
          <w:color w:val="888888"/>
          <w:sz w:val="22"/>
          <w:szCs w:val="22"/>
        </w:rPr>
        <w:t xml:space="preserve">This document is a confidential draft circulated for consultative purposes. It does not constitute a binding commitment on the part of any individual, institution, or state.</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1"/>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African Monetary Sovereignty Initiative — Draft v0.1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color w:val="888888"/>
              <w:sz w:val="16"/>
              <w:szCs w:val="16"/>
            </w:rPr>
            <w:t xml:space="preserve">POSITION PAPER — CONFIDENTIAL DRAFT</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African Monetary Sovereignty Initiative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3557"/>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2026-03-12T23:12:12.718Z</dcterms:created>
  <dcterms:modified xsi:type="dcterms:W3CDTF">2026-03-12T23:12:12.719Z</dcterms:modified>
</cp:coreProperties>
</file>

<file path=docProps/custom.xml><?xml version="1.0" encoding="utf-8"?>
<Properties xmlns="http://schemas.openxmlformats.org/officeDocument/2006/custom-properties" xmlns:vt="http://schemas.openxmlformats.org/officeDocument/2006/docPropsVTypes"/>
</file>