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B87333" w:sz="24" w:space="1"/>
        </w:pBdr>
        <w:spacing w:before="200" w:after="0"/>
      </w:pPr>
    </w:p>
    <w:p>
      <w:pPr>
        <w:spacing w:before="0" w:after="240"/>
      </w:pPr>
    </w:p>
    <w:p>
      <w:pPr>
        <w:jc w:val="center"/>
      </w:pPr>
      <w:r>
        <w:rPr>
          <w:rFonts w:ascii="Arial" w:cs="Arial" w:eastAsia="Arial" w:hAnsi="Arial"/>
          <w:b/>
          <w:bCs/>
          <w:i w:val="false"/>
          <w:iCs w:val="false"/>
          <w:color w:val="B87333"/>
          <w:sz w:val="20"/>
          <w:szCs w:val="20"/>
        </w:rPr>
        <w:t xml:space="preserve">TECHNICAL SPECIFICATION</w:t>
      </w:r>
    </w:p>
    <w:p>
      <w:pPr>
        <w:spacing w:before="0" w:after="60"/>
      </w:pPr>
    </w:p>
    <w:p>
      <w:pPr>
        <w:jc w:val="center"/>
      </w:pPr>
      <w:r>
        <w:rPr>
          <w:rFonts w:ascii="Arial" w:cs="Arial" w:eastAsia="Arial" w:hAnsi="Arial"/>
          <w:b/>
          <w:bCs/>
          <w:i w:val="false"/>
          <w:iCs w:val="false"/>
          <w:color w:val="0D2137"/>
          <w:sz w:val="44"/>
          <w:szCs w:val="44"/>
        </w:rPr>
        <w:t xml:space="preserve">Pan-African Digital Unit (PADU)</w:t>
      </w:r>
    </w:p>
    <w:p>
      <w:pPr>
        <w:spacing w:before="0" w:after="60"/>
      </w:pPr>
    </w:p>
    <w:p>
      <w:pPr>
        <w:jc w:val="center"/>
      </w:pPr>
      <w:r>
        <w:rPr>
          <w:rFonts w:ascii="Arial" w:cs="Arial" w:eastAsia="Arial" w:hAnsi="Arial"/>
          <w:b w:val="false"/>
          <w:bCs w:val="false"/>
          <w:i/>
          <w:iCs/>
          <w:color w:val="1A4A7A"/>
          <w:sz w:val="26"/>
          <w:szCs w:val="26"/>
        </w:rPr>
        <w:t xml:space="preserve">Module 01 — Wallet Architecture &amp; Tiered Identity Framework</w:t>
      </w:r>
    </w:p>
    <w:p>
      <w:pPr>
        <w:spacing w:before="0"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FFFFFF" w:sz="1"/>
              <w:left w:val="single" w:color="FFFFFF" w:sz="1"/>
              <w:bottom w:val="single" w:color="FFFFFF" w:sz="1"/>
              <w:right w:val="single" w:color="FFFFFF" w:sz="1"/>
            </w:tcBorders>
            <w:shd w:fill="0D2137" w:val="clear"/>
            <w:tcMar>
              <w:top w:type="dxa" w:w="80"/>
              <w:left w:type="dxa" w:w="140"/>
              <w:bottom w:type="dxa" w:w="80"/>
              <w:right w:type="dxa" w:w="140"/>
            </w:tcMar>
          </w:tcPr>
          <w:p>
            <w:r>
              <w:rPr>
                <w:rFonts w:ascii="Arial" w:cs="Arial" w:eastAsia="Arial" w:hAnsi="Arial"/>
                <w:b/>
                <w:bCs/>
                <w:i w:val="false"/>
                <w:iCs w:val="false"/>
                <w:color w:val="FFFFFF"/>
                <w:sz w:val="19"/>
                <w:szCs w:val="19"/>
              </w:rPr>
              <w:t xml:space="preserve">Document ID</w:t>
            </w:r>
          </w:p>
        </w:tc>
        <w:tc>
          <w:tcPr>
            <w:tcW w:type="dxa" w:w="7360"/>
            <w:tcBorders>
              <w:top w:val="single" w:color="FFFFFF" w:sz="1"/>
              <w:left w:val="single" w:color="FFFFFF" w:sz="1"/>
              <w:bottom w:val="single" w:color="FFFFFF" w:sz="1"/>
              <w:right w:val="single" w:color="FFFFF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19"/>
                <w:szCs w:val="19"/>
              </w:rPr>
              <w:t xml:space="preserve">PADU-TECH-01</w:t>
            </w:r>
          </w:p>
        </w:tc>
      </w:tr>
      <w:tr>
        <w:tc>
          <w:tcPr>
            <w:tcW w:type="dxa" w:w="2000"/>
            <w:tcBorders>
              <w:top w:val="single" w:color="FFFFFF" w:sz="1"/>
              <w:left w:val="single" w:color="FFFFFF" w:sz="1"/>
              <w:bottom w:val="single" w:color="FFFFFF" w:sz="1"/>
              <w:right w:val="single" w:color="FFFFFF" w:sz="1"/>
            </w:tcBorders>
            <w:shd w:fill="0D2137" w:val="clear"/>
            <w:tcMar>
              <w:top w:type="dxa" w:w="80"/>
              <w:left w:type="dxa" w:w="140"/>
              <w:bottom w:type="dxa" w:w="80"/>
              <w:right w:type="dxa" w:w="140"/>
            </w:tcMar>
          </w:tcPr>
          <w:p>
            <w:r>
              <w:rPr>
                <w:rFonts w:ascii="Arial" w:cs="Arial" w:eastAsia="Arial" w:hAnsi="Arial"/>
                <w:b/>
                <w:bCs/>
                <w:i w:val="false"/>
                <w:iCs w:val="false"/>
                <w:color w:val="FFFFFF"/>
                <w:sz w:val="19"/>
                <w:szCs w:val="19"/>
              </w:rPr>
              <w:t xml:space="preserve">Version</w:t>
            </w:r>
          </w:p>
        </w:tc>
        <w:tc>
          <w:tcPr>
            <w:tcW w:type="dxa" w:w="7360"/>
            <w:tcBorders>
              <w:top w:val="single" w:color="FFFFFF" w:sz="1"/>
              <w:left w:val="single" w:color="FFFFFF" w:sz="1"/>
              <w:bottom w:val="single" w:color="FFFFFF" w:sz="1"/>
              <w:right w:val="single" w:color="FFFFF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19"/>
                <w:szCs w:val="19"/>
              </w:rPr>
              <w:t xml:space="preserve">0.1 — Initial Draft</w:t>
            </w:r>
          </w:p>
        </w:tc>
      </w:tr>
      <w:tr>
        <w:tc>
          <w:tcPr>
            <w:tcW w:type="dxa" w:w="2000"/>
            <w:tcBorders>
              <w:top w:val="single" w:color="FFFFFF" w:sz="1"/>
              <w:left w:val="single" w:color="FFFFFF" w:sz="1"/>
              <w:bottom w:val="single" w:color="FFFFFF" w:sz="1"/>
              <w:right w:val="single" w:color="FFFFFF" w:sz="1"/>
            </w:tcBorders>
            <w:shd w:fill="0D2137" w:val="clear"/>
            <w:tcMar>
              <w:top w:type="dxa" w:w="80"/>
              <w:left w:type="dxa" w:w="140"/>
              <w:bottom w:type="dxa" w:w="80"/>
              <w:right w:type="dxa" w:w="140"/>
            </w:tcMar>
          </w:tcPr>
          <w:p>
            <w:r>
              <w:rPr>
                <w:rFonts w:ascii="Arial" w:cs="Arial" w:eastAsia="Arial" w:hAnsi="Arial"/>
                <w:b/>
                <w:bCs/>
                <w:i w:val="false"/>
                <w:iCs w:val="false"/>
                <w:color w:val="FFFFFF"/>
                <w:sz w:val="19"/>
                <w:szCs w:val="19"/>
              </w:rPr>
              <w:t xml:space="preserve">Status</w:t>
            </w:r>
          </w:p>
        </w:tc>
        <w:tc>
          <w:tcPr>
            <w:tcW w:type="dxa" w:w="7360"/>
            <w:tcBorders>
              <w:top w:val="single" w:color="FFFFFF" w:sz="1"/>
              <w:left w:val="single" w:color="FFFFFF" w:sz="1"/>
              <w:bottom w:val="single" w:color="FFFFFF" w:sz="1"/>
              <w:right w:val="single" w:color="FFFFF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19"/>
                <w:szCs w:val="19"/>
              </w:rPr>
              <w:t xml:space="preserve">For Internal Review — Not for Public Distribution</w:t>
            </w:r>
          </w:p>
        </w:tc>
      </w:tr>
      <w:tr>
        <w:tc>
          <w:tcPr>
            <w:tcW w:type="dxa" w:w="2000"/>
            <w:tcBorders>
              <w:top w:val="single" w:color="FFFFFF" w:sz="1"/>
              <w:left w:val="single" w:color="FFFFFF" w:sz="1"/>
              <w:bottom w:val="single" w:color="FFFFFF" w:sz="1"/>
              <w:right w:val="single" w:color="FFFFFF" w:sz="1"/>
            </w:tcBorders>
            <w:shd w:fill="0D2137" w:val="clear"/>
            <w:tcMar>
              <w:top w:type="dxa" w:w="80"/>
              <w:left w:type="dxa" w:w="140"/>
              <w:bottom w:type="dxa" w:w="80"/>
              <w:right w:type="dxa" w:w="140"/>
            </w:tcMar>
          </w:tcPr>
          <w:p>
            <w:r>
              <w:rPr>
                <w:rFonts w:ascii="Arial" w:cs="Arial" w:eastAsia="Arial" w:hAnsi="Arial"/>
                <w:b/>
                <w:bCs/>
                <w:i w:val="false"/>
                <w:iCs w:val="false"/>
                <w:color w:val="FFFFFF"/>
                <w:sz w:val="19"/>
                <w:szCs w:val="19"/>
              </w:rPr>
              <w:t xml:space="preserve">Audience</w:t>
            </w:r>
          </w:p>
        </w:tc>
        <w:tc>
          <w:tcPr>
            <w:tcW w:type="dxa" w:w="7360"/>
            <w:tcBorders>
              <w:top w:val="single" w:color="FFFFFF" w:sz="1"/>
              <w:left w:val="single" w:color="FFFFFF" w:sz="1"/>
              <w:bottom w:val="single" w:color="FFFFFF" w:sz="1"/>
              <w:right w:val="single" w:color="FFFFF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19"/>
                <w:szCs w:val="19"/>
              </w:rPr>
              <w:t xml:space="preserve">Core Protocol Engineers, Wallet Developers, Security Architects</w:t>
            </w:r>
          </w:p>
        </w:tc>
      </w:tr>
      <w:tr>
        <w:tc>
          <w:tcPr>
            <w:tcW w:type="dxa" w:w="2000"/>
            <w:tcBorders>
              <w:top w:val="single" w:color="FFFFFF" w:sz="1"/>
              <w:left w:val="single" w:color="FFFFFF" w:sz="1"/>
              <w:bottom w:val="single" w:color="FFFFFF" w:sz="1"/>
              <w:right w:val="single" w:color="FFFFFF" w:sz="1"/>
            </w:tcBorders>
            <w:shd w:fill="0D2137" w:val="clear"/>
            <w:tcMar>
              <w:top w:type="dxa" w:w="80"/>
              <w:left w:type="dxa" w:w="140"/>
              <w:bottom w:type="dxa" w:w="80"/>
              <w:right w:type="dxa" w:w="140"/>
            </w:tcMar>
          </w:tcPr>
          <w:p>
            <w:r>
              <w:rPr>
                <w:rFonts w:ascii="Arial" w:cs="Arial" w:eastAsia="Arial" w:hAnsi="Arial"/>
                <w:b/>
                <w:bCs/>
                <w:i w:val="false"/>
                <w:iCs w:val="false"/>
                <w:color w:val="FFFFFF"/>
                <w:sz w:val="19"/>
                <w:szCs w:val="19"/>
              </w:rPr>
              <w:t xml:space="preserve">Dependencies</w:t>
            </w:r>
          </w:p>
        </w:tc>
        <w:tc>
          <w:tcPr>
            <w:tcW w:type="dxa" w:w="7360"/>
            <w:tcBorders>
              <w:top w:val="single" w:color="FFFFFF" w:sz="1"/>
              <w:left w:val="single" w:color="FFFFFF" w:sz="1"/>
              <w:bottom w:val="single" w:color="FFFFFF" w:sz="1"/>
              <w:right w:val="single" w:color="FFFFF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19"/>
                <w:szCs w:val="19"/>
              </w:rPr>
              <w:t xml:space="preserve">None — this is the foundational module</w:t>
            </w:r>
          </w:p>
        </w:tc>
      </w:tr>
      <w:tr>
        <w:tc>
          <w:tcPr>
            <w:tcW w:type="dxa" w:w="2000"/>
            <w:tcBorders>
              <w:top w:val="single" w:color="FFFFFF" w:sz="1"/>
              <w:left w:val="single" w:color="FFFFFF" w:sz="1"/>
              <w:bottom w:val="single" w:color="FFFFFF" w:sz="1"/>
              <w:right w:val="single" w:color="FFFFFF" w:sz="1"/>
            </w:tcBorders>
            <w:shd w:fill="0D2137" w:val="clear"/>
            <w:tcMar>
              <w:top w:type="dxa" w:w="80"/>
              <w:left w:type="dxa" w:w="140"/>
              <w:bottom w:type="dxa" w:w="80"/>
              <w:right w:type="dxa" w:w="140"/>
            </w:tcMar>
          </w:tcPr>
          <w:p>
            <w:r>
              <w:rPr>
                <w:rFonts w:ascii="Arial" w:cs="Arial" w:eastAsia="Arial" w:hAnsi="Arial"/>
                <w:b/>
                <w:bCs/>
                <w:i w:val="false"/>
                <w:iCs w:val="false"/>
                <w:color w:val="FFFFFF"/>
                <w:sz w:val="19"/>
                <w:szCs w:val="19"/>
              </w:rPr>
              <w:t xml:space="preserve">Next modules</w:t>
            </w:r>
          </w:p>
        </w:tc>
        <w:tc>
          <w:tcPr>
            <w:tcW w:type="dxa" w:w="7360"/>
            <w:tcBorders>
              <w:top w:val="single" w:color="FFFFFF" w:sz="1"/>
              <w:left w:val="single" w:color="FFFFFF" w:sz="1"/>
              <w:bottom w:val="single" w:color="FFFFFF" w:sz="1"/>
              <w:right w:val="single" w:color="FFFFF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19"/>
                <w:szCs w:val="19"/>
              </w:rPr>
              <w:t xml:space="preserve">PADU-TECH-02 (Protocol Chamber &amp; Smart Contracts), PADU-TECH-03 (Social Chamber &amp; DAO)</w:t>
            </w:r>
          </w:p>
        </w:tc>
      </w:tr>
    </w:tbl>
    <w:p>
      <w:pPr>
        <w:spacing w:before="0" w:after="300"/>
      </w:pPr>
    </w:p>
    <w:p>
      <w:pPr>
        <w:pBdr>
          <w:bottom w:val="single" w:color="B87333" w:sz="24" w:space="1"/>
        </w:pBdr>
        <w:spacing w:before="0" w:after="0"/>
      </w:pPr>
    </w:p>
    <w:p>
      <w:pPr>
        <w:pStyle w:val="Heading1"/>
        <w:spacing w:before="480" w:after="120"/>
      </w:pPr>
      <w:r>
        <w:rPr>
          <w:rFonts w:ascii="Arial" w:cs="Arial" w:eastAsia="Arial" w:hAnsi="Arial"/>
          <w:b/>
          <w:bCs/>
          <w:i w:val="false"/>
          <w:iCs w:val="false"/>
          <w:color w:val="0D2137"/>
          <w:sz w:val="30"/>
          <w:szCs w:val="30"/>
        </w:rPr>
        <w:t xml:space="preserve">0. Purpose and Scope of this Document</w:t>
      </w:r>
    </w:p>
    <w:p>
      <w:pPr>
        <w:pBdr>
          <w:bottom w:val="single" w:color="B87333" w:sz="8" w:space="1"/>
        </w:pBdr>
        <w:spacing w:before="0" w:after="160"/>
      </w:pPr>
    </w:p>
    <w:p>
      <w:pPr>
        <w:spacing w:before="60" w:after="120"/>
        <w:jc w:val="both"/>
      </w:pPr>
      <w:r>
        <w:rPr>
          <w:rFonts w:ascii="Arial" w:cs="Arial" w:eastAsia="Arial" w:hAnsi="Arial"/>
          <w:b w:val="false"/>
          <w:bCs w:val="false"/>
          <w:i w:val="false"/>
          <w:iCs w:val="false"/>
          <w:color w:val="1A1A2E"/>
          <w:sz w:val="22"/>
          <w:szCs w:val="22"/>
        </w:rPr>
        <w:t xml:space="preserve">This document is the first of three technical specification modules for the PADU protocol. It covers the foundational layer of the system: how wallets are created, how addresses are structured, how transactions are formed and broadcast, and — critically — how the system enforces tiered identity verification for transactions that exceed a threshold defined by the Protocol Chamber.</w:t>
      </w:r>
    </w:p>
    <w:p>
      <w:pPr>
        <w:spacing w:before="60" w:after="120"/>
        <w:jc w:val="both"/>
      </w:pPr>
      <w:r>
        <w:rPr>
          <w:rFonts w:ascii="Arial" w:cs="Arial" w:eastAsia="Arial" w:hAnsi="Arial"/>
          <w:b w:val="false"/>
          <w:bCs w:val="false"/>
          <w:i w:val="false"/>
          <w:iCs w:val="false"/>
          <w:color w:val="1A1A2E"/>
          <w:sz w:val="22"/>
          <w:szCs w:val="22"/>
        </w:rPr>
        <w:t xml:space="preserve">This document does not cover smart contract internals, governance mechanics, reserve management, or the Social Chamber. Those are addressed in subsequent modules. Developers building the wallet layer should treat this document as authoritative and self-contained for its scope.</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4A7A" w:sz="1"/>
              <w:left w:val="single" w:color="1A4A7A" w:sz="16"/>
              <w:bottom w:val="single" w:color="1A4A7A" w:sz="1"/>
              <w:right w:val="single" w:color="C8D0DF" w:sz="1"/>
            </w:tcBorders>
            <w:shd w:fill="F0F4FF" w:val="clear"/>
            <w:tcMar>
              <w:top w:type="dxa" w:w="100"/>
              <w:left w:type="dxa" w:w="200"/>
              <w:bottom w:type="dxa" w:w="100"/>
              <w:right w:type="dxa" w:w="200"/>
            </w:tcMar>
          </w:tcPr>
          <w:p>
            <w:pPr>
              <w:spacing w:before="0" w:after="60"/>
            </w:pPr>
            <w:r>
              <w:rPr>
                <w:rFonts w:ascii="Arial" w:cs="Arial" w:eastAsia="Arial" w:hAnsi="Arial"/>
                <w:b/>
                <w:bCs/>
                <w:i w:val="false"/>
                <w:iCs w:val="false"/>
                <w:color w:val="1A4A7A"/>
                <w:sz w:val="20"/>
                <w:szCs w:val="20"/>
              </w:rPr>
              <w:t xml:space="preserve">SCOPE BOUNDARY</w:t>
            </w:r>
          </w:p>
          <w:p>
            <w:pPr>
              <w:spacing w:before="0" w:after="0"/>
              <w:jc w:val="both"/>
            </w:pPr>
            <w:r>
              <w:rPr>
                <w:rFonts w:ascii="Arial" w:cs="Arial" w:eastAsia="Arial" w:hAnsi="Arial"/>
                <w:b w:val="false"/>
                <w:bCs w:val="false"/>
                <w:i w:val="false"/>
                <w:iCs w:val="false"/>
                <w:color w:val="1A1A2E"/>
                <w:sz w:val="20"/>
                <w:szCs w:val="20"/>
              </w:rPr>
              <w:t xml:space="preserve">This module defines the wallet and identity layer only. Smart contract interfaces are referenced here as external calls but not specified in detail. See PADU-TECH-02 for smart contract specifications.</w:t>
            </w:r>
          </w:p>
        </w:tc>
      </w:tr>
    </w:tbl>
    <w:p>
      <w:pPr>
        <w:pStyle w:val="Heading1"/>
        <w:spacing w:before="480" w:after="120"/>
      </w:pPr>
      <w:r>
        <w:rPr>
          <w:rFonts w:ascii="Arial" w:cs="Arial" w:eastAsia="Arial" w:hAnsi="Arial"/>
          <w:b/>
          <w:bCs/>
          <w:i w:val="false"/>
          <w:iCs w:val="false"/>
          <w:color w:val="0D2137"/>
          <w:sz w:val="30"/>
          <w:szCs w:val="30"/>
        </w:rPr>
        <w:t xml:space="preserve">1. Architecture Overview</w:t>
      </w:r>
    </w:p>
    <w:p>
      <w:pPr>
        <w:pBdr>
          <w:bottom w:val="single" w:color="B87333" w:sz="8" w:space="1"/>
        </w:pBdr>
        <w:spacing w:before="0" w:after="160"/>
      </w:pPr>
    </w:p>
    <w:p>
      <w:pPr>
        <w:spacing w:before="60" w:after="120"/>
        <w:jc w:val="both"/>
      </w:pPr>
      <w:r>
        <w:rPr>
          <w:rFonts w:ascii="Arial" w:cs="Arial" w:eastAsia="Arial" w:hAnsi="Arial"/>
          <w:b w:val="false"/>
          <w:bCs w:val="false"/>
          <w:i w:val="false"/>
          <w:iCs w:val="false"/>
          <w:color w:val="1A1A2E"/>
          <w:sz w:val="22"/>
          <w:szCs w:val="22"/>
        </w:rPr>
        <w:t xml:space="preserve">The PADU protocol is built on a public, permissionless blockchain with deterministic transaction execution. The identity layer is implemented as a protocol-level extension: it does not compromise the pseudonymous baseline for ordinary users, but it enforces verifiable identity anchoring for high-value transactions in a way that is tamper-proof, auditable, and decentralized.</w:t>
      </w:r>
    </w:p>
    <w:p>
      <w:pPr>
        <w:pStyle w:val="Heading2"/>
        <w:spacing w:before="320" w:after="80"/>
      </w:pPr>
      <w:r>
        <w:rPr>
          <w:rFonts w:ascii="Arial" w:cs="Arial" w:eastAsia="Arial" w:hAnsi="Arial"/>
          <w:b/>
          <w:bCs/>
          <w:i w:val="false"/>
          <w:iCs w:val="false"/>
          <w:color w:val="1A4A7A"/>
          <w:sz w:val="25"/>
          <w:szCs w:val="25"/>
        </w:rPr>
        <w:t xml:space="preserve">1.1 Design Principles</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Pseudonymity by default: all wallets are identified by cryptographic addresses. No name, no document, no government ID is required to hold a wallet or conduct low-value transactions.</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Threshold-enforced identity: above a transaction threshold (the KYC Floor, defined by the Protocol Chamber), the transaction payload must embed a verified identity commitment. The chain enforces this rule; no node will relay or include a non-compliant high-value transaction.</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Self-custody: private keys are generated and held by the user. The protocol never has custody of keys. Loss of a key is loss of the wallet; there is no recovery backdoor.</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Decentralized identity anchoring: KYC data is never stored on-chain. Only a cryptographic hash commitment — a zero-knowledge proof of verified status — is included in the transaction and on the ledger.</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Auditability without surveillance: regulators and auditors with appropriate authorization can verify that a transaction was conducted by a verified identity, without being able to read the identity data from the chain by default.</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Protocol Chamber governable: the KYC Floor amount, accepted verification providers, and the proof schema are parameters stored in a governance registry contract and updated only by Protocol Chamber decision.</w:t>
      </w:r>
    </w:p>
    <w:p>
      <w:pPr>
        <w:pStyle w:val="Heading2"/>
        <w:spacing w:before="320" w:after="80"/>
      </w:pPr>
      <w:r>
        <w:rPr>
          <w:rFonts w:ascii="Arial" w:cs="Arial" w:eastAsia="Arial" w:hAnsi="Arial"/>
          <w:b/>
          <w:bCs/>
          <w:i w:val="false"/>
          <w:iCs w:val="false"/>
          <w:color w:val="1A4A7A"/>
          <w:sz w:val="25"/>
          <w:szCs w:val="25"/>
        </w:rPr>
        <w:t xml:space="preserve">1.2 Technology Stack Selection</w:t>
      </w:r>
    </w:p>
    <w:p>
      <w:pPr>
        <w:spacing w:before="60" w:after="120"/>
        <w:jc w:val="both"/>
      </w:pPr>
      <w:r>
        <w:rPr>
          <w:rFonts w:ascii="Arial" w:cs="Arial" w:eastAsia="Arial" w:hAnsi="Arial"/>
          <w:b w:val="false"/>
          <w:bCs w:val="false"/>
          <w:i w:val="false"/>
          <w:iCs w:val="false"/>
          <w:color w:val="1A1A2E"/>
          <w:sz w:val="22"/>
          <w:szCs w:val="22"/>
        </w:rPr>
        <w:t xml:space="preserve">PADU is built as a sovereign application chain, not deployed on an existing public chain (such as Ethereum mainnet or Solana). This is mandatory for two reasons: it allows the Protocol Chamber to govern chain parameters directly, and it eliminates dependency on a third-party chain's governance, fees, and continuity decisions.</w:t>
      </w:r>
    </w:p>
    <w:p>
      <w:pPr>
        <w:spacing w:before="60" w:after="120"/>
        <w:jc w:val="both"/>
      </w:pPr>
      <w:r>
        <w:rPr>
          <w:rFonts w:ascii="Arial" w:cs="Arial" w:eastAsia="Arial" w:hAnsi="Arial"/>
          <w:b w:val="false"/>
          <w:bCs w:val="false"/>
          <w:i w:val="false"/>
          <w:iCs w:val="false"/>
          <w:color w:val="1A1A2E"/>
          <w:sz w:val="22"/>
          <w:szCs w:val="22"/>
        </w:rPr>
        <w:t xml:space="preserve">The recommended stack is an EVM-compatible sovereign chain, using one of the following frameworks:</w:t>
      </w:r>
    </w:p>
    <w:p>
      <w:pPr>
        <w:spacing w:before="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single" w:color="C8D0DF" w:sz="1"/>
              <w:left w:val="single" w:color="C8D0DF" w:sz="1"/>
              <w:bottom w:val="single" w:color="C8D0DF" w:sz="1"/>
              <w:right w:val="single" w:color="C8D0DF" w:sz="1"/>
            </w:tcBorders>
            <w:shd w:fill="0D2137" w:val="clear"/>
            <w:tcMar>
              <w:top w:type="dxa" w:w="80"/>
              <w:left w:type="dxa" w:w="140"/>
              <w:bottom w:type="dxa" w:w="80"/>
              <w:right w:type="dxa" w:w="140"/>
            </w:tcMar>
          </w:tcPr>
          <w:p>
            <w:r>
              <w:rPr>
                <w:rFonts w:ascii="Arial" w:cs="Arial" w:eastAsia="Arial" w:hAnsi="Arial"/>
                <w:b/>
                <w:bCs/>
                <w:i w:val="false"/>
                <w:iCs w:val="false"/>
                <w:color w:val="FFFFFF"/>
                <w:sz w:val="20"/>
                <w:szCs w:val="20"/>
              </w:rPr>
              <w:t xml:space="preserve">Framework</w:t>
            </w:r>
          </w:p>
        </w:tc>
        <w:tc>
          <w:tcPr>
            <w:tcW w:type="dxa" w:w="2400"/>
            <w:tcBorders>
              <w:top w:val="single" w:color="C8D0DF" w:sz="1"/>
              <w:left w:val="single" w:color="C8D0DF" w:sz="1"/>
              <w:bottom w:val="single" w:color="C8D0DF" w:sz="1"/>
              <w:right w:val="single" w:color="C8D0DF" w:sz="1"/>
            </w:tcBorders>
            <w:shd w:fill="0D2137" w:val="clear"/>
            <w:tcMar>
              <w:top w:type="dxa" w:w="80"/>
              <w:left w:type="dxa" w:w="140"/>
              <w:bottom w:type="dxa" w:w="80"/>
              <w:right w:type="dxa" w:w="140"/>
            </w:tcMar>
          </w:tcPr>
          <w:p>
            <w:r>
              <w:rPr>
                <w:rFonts w:ascii="Arial" w:cs="Arial" w:eastAsia="Arial" w:hAnsi="Arial"/>
                <w:b/>
                <w:bCs/>
                <w:i w:val="false"/>
                <w:iCs w:val="false"/>
                <w:color w:val="FFFFFF"/>
                <w:sz w:val="20"/>
                <w:szCs w:val="20"/>
              </w:rPr>
              <w:t xml:space="preserve">Consensus</w:t>
            </w:r>
          </w:p>
        </w:tc>
        <w:tc>
          <w:tcPr>
            <w:tcW w:type="dxa" w:w="4760"/>
            <w:tcBorders>
              <w:top w:val="single" w:color="C8D0DF" w:sz="1"/>
              <w:left w:val="single" w:color="C8D0DF" w:sz="1"/>
              <w:bottom w:val="single" w:color="C8D0DF" w:sz="1"/>
              <w:right w:val="single" w:color="C8D0DF" w:sz="1"/>
            </w:tcBorders>
            <w:shd w:fill="0D2137" w:val="clear"/>
            <w:tcMar>
              <w:top w:type="dxa" w:w="80"/>
              <w:left w:type="dxa" w:w="140"/>
              <w:bottom w:type="dxa" w:w="80"/>
              <w:right w:type="dxa" w:w="140"/>
            </w:tcMar>
          </w:tcPr>
          <w:p>
            <w:r>
              <w:rPr>
                <w:rFonts w:ascii="Arial" w:cs="Arial" w:eastAsia="Arial" w:hAnsi="Arial"/>
                <w:b/>
                <w:bCs/>
                <w:i w:val="false"/>
                <w:iCs w:val="false"/>
                <w:color w:val="FFFFFF"/>
                <w:sz w:val="20"/>
                <w:szCs w:val="20"/>
              </w:rPr>
              <w:t xml:space="preserve">Rationale</w:t>
            </w:r>
          </w:p>
        </w:tc>
      </w:tr>
      <w:tr>
        <w:tc>
          <w:tcPr>
            <w:tcW w:type="dxa" w:w="22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Polygon Edge / CDK</w:t>
            </w:r>
          </w:p>
        </w:tc>
        <w:tc>
          <w:tcPr>
            <w:tcW w:type="dxa" w:w="24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Proof-of-Stake (PoS)</w:t>
            </w:r>
          </w:p>
        </w:tc>
        <w:tc>
          <w:tcPr>
            <w:tcW w:type="dxa" w:w="47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Mature, EVM-native, well-documented, active support for sovereign chain deployments</w:t>
            </w:r>
          </w:p>
        </w:tc>
      </w:tr>
      <w:tr>
        <w:tc>
          <w:tcPr>
            <w:tcW w:type="dxa" w:w="22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Cosmos SDK + EVM</w:t>
            </w:r>
          </w:p>
        </w:tc>
        <w:tc>
          <w:tcPr>
            <w:tcW w:type="dxa" w:w="24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Tendermint BFT</w:t>
            </w:r>
          </w:p>
        </w:tc>
        <w:tc>
          <w:tcPr>
            <w:tcW w:type="dxa" w:w="476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Strongest sovereignty guarantees, IBC interoperability for cross-chain reserve management — recommended long-term</w:t>
            </w:r>
          </w:p>
        </w:tc>
      </w:tr>
      <w:tr>
        <w:tc>
          <w:tcPr>
            <w:tcW w:type="dxa" w:w="22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Substrate (Polkadot)</w:t>
            </w:r>
          </w:p>
        </w:tc>
        <w:tc>
          <w:tcPr>
            <w:tcW w:type="dxa" w:w="24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GRANDPA + BABE</w:t>
            </w:r>
          </w:p>
        </w:tc>
        <w:tc>
          <w:tcPr>
            <w:tcW w:type="dxa" w:w="47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High flexibility, parachain option for shared security, steeper learning curve</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A" w:sz="1"/>
              <w:left w:val="single" w:color="1A7A4A" w:sz="16"/>
              <w:bottom w:val="single" w:color="1A7A4A" w:sz="1"/>
              <w:right w:val="single" w:color="C8D0DF" w:sz="1"/>
            </w:tcBorders>
            <w:shd w:fill="F0FFF4" w:val="clear"/>
            <w:tcMar>
              <w:top w:type="dxa" w:w="100"/>
              <w:left w:type="dxa" w:w="200"/>
              <w:bottom w:type="dxa" w:w="100"/>
              <w:right w:type="dxa" w:w="200"/>
            </w:tcMar>
          </w:tcPr>
          <w:p>
            <w:pPr>
              <w:spacing w:before="0" w:after="60"/>
            </w:pPr>
            <w:r>
              <w:rPr>
                <w:rFonts w:ascii="Arial" w:cs="Arial" w:eastAsia="Arial" w:hAnsi="Arial"/>
                <w:b/>
                <w:bCs/>
                <w:i w:val="false"/>
                <w:iCs w:val="false"/>
                <w:color w:val="1A7A4A"/>
                <w:sz w:val="20"/>
                <w:szCs w:val="20"/>
              </w:rPr>
              <w:t xml:space="preserve">RECOMMENDATION</w:t>
            </w:r>
          </w:p>
          <w:p>
            <w:pPr>
              <w:spacing w:before="0" w:after="0"/>
              <w:jc w:val="both"/>
            </w:pPr>
            <w:r>
              <w:rPr>
                <w:rFonts w:ascii="Arial" w:cs="Arial" w:eastAsia="Arial" w:hAnsi="Arial"/>
                <w:b w:val="false"/>
                <w:bCs w:val="false"/>
                <w:i w:val="false"/>
                <w:iCs w:val="false"/>
                <w:color w:val="1A1A2E"/>
                <w:sz w:val="20"/>
                <w:szCs w:val="20"/>
              </w:rPr>
              <w:t xml:space="preserve">Start with Polygon CDK for Phase 1 due to tooling maturity and EVM developer familiarity. Plan migration path to Cosmos SDK + EVM by Phase 2 for full sovereignty and IBC reserve management.</w:t>
            </w:r>
          </w:p>
        </w:tc>
      </w:tr>
    </w:tbl>
    <w:p>
      <w:pPr>
        <w:spacing w:before="60" w:after="120"/>
        <w:jc w:val="both"/>
      </w:pPr>
      <w:r>
        <w:rPr>
          <w:rFonts w:ascii="Arial" w:cs="Arial" w:eastAsia="Arial" w:hAnsi="Arial"/>
          <w:b w:val="false"/>
          <w:bCs w:val="false"/>
          <w:i w:val="false"/>
          <w:iCs w:val="false"/>
          <w:color w:val="1A1A2E"/>
          <w:sz w:val="22"/>
          <w:szCs w:val="22"/>
        </w:rPr>
        <w:t xml:space="preserve">All wallet, address, and signing specifications in this document are written against the EVM standard. They are directly portable to all three framework options above.</w:t>
      </w:r>
    </w:p>
    <w:p>
      <w:pPr>
        <w:pStyle w:val="Heading1"/>
        <w:spacing w:before="480" w:after="120"/>
      </w:pPr>
      <w:r>
        <w:rPr>
          <w:rFonts w:ascii="Arial" w:cs="Arial" w:eastAsia="Arial" w:hAnsi="Arial"/>
          <w:b/>
          <w:bCs/>
          <w:i w:val="false"/>
          <w:iCs w:val="false"/>
          <w:color w:val="0D2137"/>
          <w:sz w:val="30"/>
          <w:szCs w:val="30"/>
        </w:rPr>
        <w:t xml:space="preserve">2. Wallet and Address System</w:t>
      </w:r>
    </w:p>
    <w:p>
      <w:pPr>
        <w:pBdr>
          <w:bottom w:val="single" w:color="B87333" w:sz="8" w:space="1"/>
        </w:pBdr>
        <w:spacing w:before="0" w:after="160"/>
      </w:pPr>
    </w:p>
    <w:p>
      <w:pPr>
        <w:pStyle w:val="Heading2"/>
        <w:spacing w:before="320" w:after="80"/>
      </w:pPr>
      <w:r>
        <w:rPr>
          <w:rFonts w:ascii="Arial" w:cs="Arial" w:eastAsia="Arial" w:hAnsi="Arial"/>
          <w:b/>
          <w:bCs/>
          <w:i w:val="false"/>
          <w:iCs w:val="false"/>
          <w:color w:val="1A4A7A"/>
          <w:sz w:val="25"/>
          <w:szCs w:val="25"/>
        </w:rPr>
        <w:t xml:space="preserve">2.1 Key Generation</w:t>
      </w:r>
    </w:p>
    <w:p>
      <w:pPr>
        <w:spacing w:before="60" w:after="120"/>
        <w:jc w:val="both"/>
      </w:pPr>
      <w:r>
        <w:rPr>
          <w:rFonts w:ascii="Arial" w:cs="Arial" w:eastAsia="Arial" w:hAnsi="Arial"/>
          <w:b w:val="false"/>
          <w:bCs w:val="false"/>
          <w:i w:val="false"/>
          <w:iCs w:val="false"/>
          <w:color w:val="1A1A2E"/>
          <w:sz w:val="22"/>
          <w:szCs w:val="22"/>
        </w:rPr>
        <w:t xml:space="preserve">PADU wallets follow the BIP-32 / BIP-39 / BIP-44 hierarchical deterministic (HD) wallet standard, extended with a PADU-specific derivation path. This ensures compatibility with existing hardware wallets and mobile wallet SDKs while maintaining a distinct namespace.</w:t>
      </w:r>
    </w:p>
    <w:p>
      <w:pPr>
        <w:pStyle w:val="Heading3"/>
        <w:spacing w:before="240" w:after="60"/>
      </w:pPr>
      <w:r>
        <w:rPr>
          <w:rFonts w:ascii="Arial" w:cs="Arial" w:eastAsia="Arial" w:hAnsi="Arial"/>
          <w:b/>
          <w:bCs/>
          <w:i w:val="false"/>
          <w:iCs w:val="false"/>
          <w:color w:val="1A7A4A"/>
          <w:sz w:val="22"/>
          <w:szCs w:val="22"/>
        </w:rPr>
        <w:t xml:space="preserve">2.1.1 Entropy and Mnemonic</w:t>
      </w:r>
    </w:p>
    <w:p>
      <w:pPr>
        <w:spacing w:before="60" w:after="120"/>
        <w:jc w:val="both"/>
      </w:pPr>
      <w:r>
        <w:rPr>
          <w:rFonts w:ascii="Arial" w:cs="Arial" w:eastAsia="Arial" w:hAnsi="Arial"/>
          <w:b w:val="false"/>
          <w:bCs w:val="false"/>
          <w:i w:val="false"/>
          <w:iCs w:val="false"/>
          <w:color w:val="1A1A2E"/>
          <w:sz w:val="22"/>
          <w:szCs w:val="22"/>
        </w:rPr>
        <w:t xml:space="preserve">Wallets are seeded from a 256-bit entropy source, producing a 24-word BIP-39 mnemonic phrase. The mnemonic is the only human-readable representation of the wallet. Applications must:</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Generate entropy using a cryptographically secure pseudorandom number generator (CSPRNG). The platform's native CSPRNG is mandatory — Math.random() or equivalent must never be used.</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Display the mnemonic exactly once during wallet creation, with explicit user confirmation.</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Never transmit, log, or store the mnemonic in plaintext on any server, database, or analytics pipeline.</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Encourage users to write it down physically. No cloud backup of the mnemonic should be offered by default in the reference implementation.</w:t>
      </w:r>
    </w:p>
    <w:p>
      <w:pPr>
        <w:spacing w:before="0" w:after="60"/>
      </w:pPr>
    </w:p>
    <w:tbl>
      <w:tblPr>
        <w:tblW w:type="dxa" w:w="9360"/>
        <w:tblBorders>
          <w:top w:val="single" w:color="C8D0DF" w:sz="1"/>
          <w:left w:val="single" w:color="1A4A7A" w:sz="1"/>
          <w:bottom w:val="single" w:color="C8D0DF" w:sz="1"/>
          <w:right w:val="single" w:color="C8D0DF" w:sz="1"/>
          <w:insideH w:val="single" w:color="auto" w:sz="4"/>
          <w:insideV w:val="single" w:color="auto" w:sz="4"/>
        </w:tblBorders>
      </w:tblPr>
      <w:tblGrid>
        <w:gridCol w:w="9360"/>
      </w:tblGrid>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Key generation — reference implementation (TypeScript)</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import { generateMnemonic, mnemonicToSeedSync } from 'bip39';</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import { HDKey } from '@scure/bip32';</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const PADU_COIN_TYPE = 7777;  // registered BIP-44 coin type for PADU</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function generateWallet(accountIndex: number = 0): PADUWallet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const mnemonic = generateMnemonic(256);          // 24-word phrase</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const seed     = mnemonicToSeedSync(mnemonic);</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const root     = HDKey.fromMasterSeed(seed);</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 BIP-44 path: m / purpose' / coin_type' / account' / change / index</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const path    = `m/44'/${PADU_COIN_TYPE}'/${accountIndex}'/0/0`;</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const child   = root.derive(path);</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const privateKey = child.privateKey!;            // 32 bytes</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const publicKey  = child.publicKey!;             // 33 bytes compressed secp256k1</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const address    = publicKeyToAddress(publicKey);// see section 2.2</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return { mnemonic, privateKey, publicKey, address, path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w:t>
            </w:r>
          </w:p>
        </w:tc>
      </w:tr>
    </w:tbl>
    <w:p>
      <w:pPr>
        <w:pStyle w:val="Heading3"/>
        <w:spacing w:before="240" w:after="60"/>
      </w:pPr>
      <w:r>
        <w:rPr>
          <w:rFonts w:ascii="Arial" w:cs="Arial" w:eastAsia="Arial" w:hAnsi="Arial"/>
          <w:b/>
          <w:bCs/>
          <w:i w:val="false"/>
          <w:iCs w:val="false"/>
          <w:color w:val="1A7A4A"/>
          <w:sz w:val="22"/>
          <w:szCs w:val="22"/>
        </w:rPr>
        <w:t xml:space="preserve">2.1.2 Derivation Path</w:t>
      </w:r>
    </w:p>
    <w:p>
      <w:pPr>
        <w:spacing w:before="60" w:after="120"/>
        <w:jc w:val="both"/>
      </w:pPr>
      <w:r>
        <w:rPr>
          <w:rFonts w:ascii="Arial" w:cs="Arial" w:eastAsia="Arial" w:hAnsi="Arial"/>
          <w:b w:val="false"/>
          <w:bCs w:val="false"/>
          <w:i w:val="false"/>
          <w:iCs w:val="false"/>
          <w:color w:val="1A1A2E"/>
          <w:sz w:val="22"/>
          <w:szCs w:val="22"/>
        </w:rPr>
        <w:t xml:space="preserve">The PADU derivation path follows BIP-44 with a reserved coin type:</w:t>
      </w:r>
    </w:p>
    <w:p>
      <w:pPr>
        <w:spacing w:before="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8D0DF" w:sz="1"/>
              <w:left w:val="single" w:color="C8D0DF" w:sz="1"/>
              <w:bottom w:val="single" w:color="C8D0DF" w:sz="1"/>
              <w:right w:val="single" w:color="C8D0DF" w:sz="1"/>
            </w:tcBorders>
            <w:shd w:fill="0D2137" w:val="clear"/>
            <w:tcMar>
              <w:top w:type="dxa" w:w="80"/>
              <w:left w:type="dxa" w:w="140"/>
              <w:bottom w:type="dxa" w:w="80"/>
              <w:right w:type="dxa" w:w="140"/>
            </w:tcMar>
          </w:tcPr>
          <w:p>
            <w:r>
              <w:rPr>
                <w:rFonts w:ascii="Arial" w:cs="Arial" w:eastAsia="Arial" w:hAnsi="Arial"/>
                <w:b/>
                <w:bCs/>
                <w:i w:val="false"/>
                <w:iCs w:val="false"/>
                <w:color w:val="FFFFFF"/>
                <w:sz w:val="20"/>
                <w:szCs w:val="20"/>
              </w:rPr>
              <w:t xml:space="preserve">Path Segment</w:t>
            </w:r>
          </w:p>
        </w:tc>
        <w:tc>
          <w:tcPr>
            <w:tcW w:type="dxa" w:w="6160"/>
            <w:tcBorders>
              <w:top w:val="single" w:color="C8D0DF" w:sz="1"/>
              <w:left w:val="single" w:color="C8D0DF" w:sz="1"/>
              <w:bottom w:val="single" w:color="C8D0DF" w:sz="1"/>
              <w:right w:val="single" w:color="C8D0DF" w:sz="1"/>
            </w:tcBorders>
            <w:shd w:fill="0D2137" w:val="clear"/>
            <w:tcMar>
              <w:top w:type="dxa" w:w="80"/>
              <w:left w:type="dxa" w:w="140"/>
              <w:bottom w:type="dxa" w:w="80"/>
              <w:right w:type="dxa" w:w="140"/>
            </w:tcMar>
          </w:tcPr>
          <w:p>
            <w:r>
              <w:rPr>
                <w:rFonts w:ascii="Arial" w:cs="Arial" w:eastAsia="Arial" w:hAnsi="Arial"/>
                <w:b/>
                <w:bCs/>
                <w:i w:val="false"/>
                <w:iCs w:val="false"/>
                <w:color w:val="FFFFFF"/>
                <w:sz w:val="20"/>
                <w:szCs w:val="20"/>
              </w:rPr>
              <w:t xml:space="preserve">Value / Meaning</w:t>
            </w:r>
          </w:p>
        </w:tc>
      </w:tr>
      <w:tr>
        <w:tc>
          <w:tcPr>
            <w:tcW w:type="dxa" w:w="32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purpose'</w:t>
            </w:r>
          </w:p>
        </w:tc>
        <w:tc>
          <w:tcPr>
            <w:tcW w:type="dxa" w:w="61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44' — standard BIP-44</w:t>
            </w:r>
          </w:p>
        </w:tc>
      </w:tr>
      <w:tr>
        <w:tc>
          <w:tcPr>
            <w:tcW w:type="dxa" w:w="32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coin_type'</w:t>
            </w:r>
          </w:p>
        </w:tc>
        <w:tc>
          <w:tcPr>
            <w:tcW w:type="dxa" w:w="616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7777' — PADU registered coin type</w:t>
            </w:r>
          </w:p>
        </w:tc>
      </w:tr>
      <w:tr>
        <w:tc>
          <w:tcPr>
            <w:tcW w:type="dxa" w:w="32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account'</w:t>
            </w:r>
          </w:p>
        </w:tc>
        <w:tc>
          <w:tcPr>
            <w:tcW w:type="dxa" w:w="61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0' … n — one per user account (most wallets use 0)</w:t>
            </w:r>
          </w:p>
        </w:tc>
      </w:tr>
      <w:tr>
        <w:tc>
          <w:tcPr>
            <w:tcW w:type="dxa" w:w="32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change</w:t>
            </w:r>
          </w:p>
        </w:tc>
        <w:tc>
          <w:tcPr>
            <w:tcW w:type="dxa" w:w="616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0 — external chain (receiving addresses)</w:t>
            </w:r>
          </w:p>
        </w:tc>
      </w:tr>
      <w:tr>
        <w:tc>
          <w:tcPr>
            <w:tcW w:type="dxa" w:w="32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address_index</w:t>
            </w:r>
          </w:p>
        </w:tc>
        <w:tc>
          <w:tcPr>
            <w:tcW w:type="dxa" w:w="61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0 … n — sequential address derivation</w:t>
            </w:r>
          </w:p>
        </w:tc>
      </w:tr>
    </w:tbl>
    <w:p>
      <w:pPr>
        <w:pStyle w:val="Heading2"/>
        <w:spacing w:before="320" w:after="80"/>
      </w:pPr>
      <w:r>
        <w:rPr>
          <w:rFonts w:ascii="Arial" w:cs="Arial" w:eastAsia="Arial" w:hAnsi="Arial"/>
          <w:b/>
          <w:bCs/>
          <w:i w:val="false"/>
          <w:iCs w:val="false"/>
          <w:color w:val="1A4A7A"/>
          <w:sz w:val="25"/>
          <w:szCs w:val="25"/>
        </w:rPr>
        <w:t xml:space="preserve">2.2 Address Format</w:t>
      </w:r>
    </w:p>
    <w:p>
      <w:pPr>
        <w:spacing w:before="60" w:after="120"/>
        <w:jc w:val="both"/>
      </w:pPr>
      <w:r>
        <w:rPr>
          <w:rFonts w:ascii="Arial" w:cs="Arial" w:eastAsia="Arial" w:hAnsi="Arial"/>
          <w:b w:val="false"/>
          <w:bCs w:val="false"/>
          <w:i w:val="false"/>
          <w:iCs w:val="false"/>
          <w:color w:val="1A1A2E"/>
          <w:sz w:val="22"/>
          <w:szCs w:val="22"/>
        </w:rPr>
        <w:t xml:space="preserve">PADU addresses are EVM-compatible 20-byte Keccak-256 hashes of the uncompressed secp256k1 public key, encoded in EIP-55 checksummed hex, with a PADU-specific prefix to prevent cross-chain replay attacks.</w:t>
      </w:r>
    </w:p>
    <w:p>
      <w:pPr>
        <w:spacing w:before="0" w:after="60"/>
      </w:pPr>
    </w:p>
    <w:tbl>
      <w:tblPr>
        <w:tblW w:type="dxa" w:w="9360"/>
        <w:tblBorders>
          <w:top w:val="single" w:color="C8D0DF" w:sz="1"/>
          <w:left w:val="single" w:color="1A4A7A" w:sz="1"/>
          <w:bottom w:val="single" w:color="C8D0DF" w:sz="1"/>
          <w:right w:val="single" w:color="C8D0DF" w:sz="1"/>
          <w:insideH w:val="single" w:color="auto" w:sz="4"/>
          <w:insideV w:val="single" w:color="auto" w:sz="4"/>
        </w:tblBorders>
      </w:tblPr>
      <w:tblGrid>
        <w:gridCol w:w="9360"/>
      </w:tblGrid>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Address derivation — reference implementation</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import { keccak256 } from 'ethereum-cryptography/keccak';</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import { secp256k1 }  from 'ethereum-cryptography/secp256k1';</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function publicKeyToAddress(compressedPubKey: Uint8Array): string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 1. Decompress the 33-byte public key to 65 bytes (04 || x || y)</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const uncompressed = secp256k1.ProjectivePoint</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.fromHex(compressedPubKey).toRawBytes(false);   // false = uncompressed</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 2. Hash the 64-byte body (drop the 04 prefix)</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const hash = keccak256(uncompressed.slice(1));</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 3. Take the last 20 bytes as the address</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const raw  = hash.slice(-20);</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 4. Apply EIP-55 checksum and PADU prefix</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return 'PADU:' + toChecksumAddress(raw);</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Example output:</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PADU:0x7Fc9A3B2E1D4C5F6A8B9E0D1C2F3A4B5E6D7C8F9</w:t>
            </w:r>
          </w:p>
        </w:tc>
      </w:tr>
    </w:tbl>
    <w:p>
      <w:pPr>
        <w:spacing w:before="0" w:after="80"/>
      </w:pPr>
    </w:p>
    <w:p>
      <w:pPr>
        <w:spacing w:before="60" w:after="120"/>
        <w:jc w:val="both"/>
      </w:pPr>
      <w:r>
        <w:rPr>
          <w:rFonts w:ascii="Arial" w:cs="Arial" w:eastAsia="Arial" w:hAnsi="Arial"/>
          <w:b w:val="false"/>
          <w:bCs w:val="false"/>
          <w:i w:val="false"/>
          <w:iCs w:val="false"/>
          <w:color w:val="1A1A2E"/>
          <w:sz w:val="22"/>
          <w:szCs w:val="22"/>
        </w:rPr>
        <w:t xml:space="preserve">The PADU: prefix is stripped before EVM-layer computation and restored in all UI representations. The underlying address is fully EVM-compatible for tooling purposes.</w:t>
      </w:r>
    </w:p>
    <w:p>
      <w:pPr>
        <w:pStyle w:val="Heading2"/>
        <w:spacing w:before="320" w:after="80"/>
      </w:pPr>
      <w:r>
        <w:rPr>
          <w:rFonts w:ascii="Arial" w:cs="Arial" w:eastAsia="Arial" w:hAnsi="Arial"/>
          <w:b/>
          <w:bCs/>
          <w:i w:val="false"/>
          <w:iCs w:val="false"/>
          <w:color w:val="1A4A7A"/>
          <w:sz w:val="25"/>
          <w:szCs w:val="25"/>
        </w:rPr>
        <w:t xml:space="preserve">2.3 Wallet Storage and Security Model</w:t>
      </w:r>
    </w:p>
    <w:p>
      <w:pPr>
        <w:spacing w:before="60" w:after="120"/>
        <w:jc w:val="both"/>
      </w:pPr>
      <w:r>
        <w:rPr>
          <w:rFonts w:ascii="Arial" w:cs="Arial" w:eastAsia="Arial" w:hAnsi="Arial"/>
          <w:b w:val="false"/>
          <w:bCs w:val="false"/>
          <w:i w:val="false"/>
          <w:iCs w:val="false"/>
          <w:color w:val="1A1A2E"/>
          <w:sz w:val="22"/>
          <w:szCs w:val="22"/>
        </w:rPr>
        <w:t xml:space="preserve">The reference wallet application operates as a mobile-first progressive web app (PWA) with an optional desktop companion. Key storage follows a three-tier model:</w:t>
      </w:r>
    </w:p>
    <w:p>
      <w:pPr>
        <w:spacing w:before="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c>
          <w:tcPr>
            <w:tcW w:type="dxa" w:w="2600"/>
            <w:tcBorders>
              <w:top w:val="single" w:color="C8D0DF" w:sz="1"/>
              <w:left w:val="single" w:color="C8D0DF" w:sz="1"/>
              <w:bottom w:val="single" w:color="C8D0DF" w:sz="1"/>
              <w:right w:val="single" w:color="C8D0DF" w:sz="1"/>
            </w:tcBorders>
            <w:shd w:fill="0D2137" w:val="clear"/>
            <w:tcMar>
              <w:top w:type="dxa" w:w="80"/>
              <w:left w:type="dxa" w:w="140"/>
              <w:bottom w:type="dxa" w:w="80"/>
              <w:right w:type="dxa" w:w="140"/>
            </w:tcMar>
          </w:tcPr>
          <w:p>
            <w:r>
              <w:rPr>
                <w:rFonts w:ascii="Arial" w:cs="Arial" w:eastAsia="Arial" w:hAnsi="Arial"/>
                <w:b/>
                <w:bCs/>
                <w:i w:val="false"/>
                <w:iCs w:val="false"/>
                <w:color w:val="FFFFFF"/>
                <w:sz w:val="20"/>
                <w:szCs w:val="20"/>
              </w:rPr>
              <w:t xml:space="preserve">Storage Tier</w:t>
            </w:r>
          </w:p>
        </w:tc>
        <w:tc>
          <w:tcPr>
            <w:tcW w:type="dxa" w:w="3200"/>
            <w:tcBorders>
              <w:top w:val="single" w:color="C8D0DF" w:sz="1"/>
              <w:left w:val="single" w:color="C8D0DF" w:sz="1"/>
              <w:bottom w:val="single" w:color="C8D0DF" w:sz="1"/>
              <w:right w:val="single" w:color="C8D0DF" w:sz="1"/>
            </w:tcBorders>
            <w:shd w:fill="0D2137" w:val="clear"/>
            <w:tcMar>
              <w:top w:type="dxa" w:w="80"/>
              <w:left w:type="dxa" w:w="140"/>
              <w:bottom w:type="dxa" w:w="80"/>
              <w:right w:type="dxa" w:w="140"/>
            </w:tcMar>
          </w:tcPr>
          <w:p>
            <w:r>
              <w:rPr>
                <w:rFonts w:ascii="Arial" w:cs="Arial" w:eastAsia="Arial" w:hAnsi="Arial"/>
                <w:b/>
                <w:bCs/>
                <w:i w:val="false"/>
                <w:iCs w:val="false"/>
                <w:color w:val="FFFFFF"/>
                <w:sz w:val="20"/>
                <w:szCs w:val="20"/>
              </w:rPr>
              <w:t xml:space="preserve">Content</w:t>
            </w:r>
          </w:p>
        </w:tc>
        <w:tc>
          <w:tcPr>
            <w:tcW w:type="dxa" w:w="3560"/>
            <w:tcBorders>
              <w:top w:val="single" w:color="C8D0DF" w:sz="1"/>
              <w:left w:val="single" w:color="C8D0DF" w:sz="1"/>
              <w:bottom w:val="single" w:color="C8D0DF" w:sz="1"/>
              <w:right w:val="single" w:color="C8D0DF" w:sz="1"/>
            </w:tcBorders>
            <w:shd w:fill="0D2137" w:val="clear"/>
            <w:tcMar>
              <w:top w:type="dxa" w:w="80"/>
              <w:left w:type="dxa" w:w="140"/>
              <w:bottom w:type="dxa" w:w="80"/>
              <w:right w:type="dxa" w:w="140"/>
            </w:tcMar>
          </w:tcPr>
          <w:p>
            <w:r>
              <w:rPr>
                <w:rFonts w:ascii="Arial" w:cs="Arial" w:eastAsia="Arial" w:hAnsi="Arial"/>
                <w:b/>
                <w:bCs/>
                <w:i w:val="false"/>
                <w:iCs w:val="false"/>
                <w:color w:val="FFFFFF"/>
                <w:sz w:val="20"/>
                <w:szCs w:val="20"/>
              </w:rPr>
              <w:t xml:space="preserve">Encryption</w:t>
            </w:r>
          </w:p>
        </w:tc>
      </w:tr>
      <w:tr>
        <w:tc>
          <w:tcPr>
            <w:tcW w:type="dxa" w:w="26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In-memory only</w:t>
            </w:r>
          </w:p>
        </w:tc>
        <w:tc>
          <w:tcPr>
            <w:tcW w:type="dxa" w:w="32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Decrypted private key</w:t>
            </w:r>
          </w:p>
        </w:tc>
        <w:tc>
          <w:tcPr>
            <w:tcW w:type="dxa" w:w="35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None — exists only during active signing session, zeroed on lock</w:t>
            </w:r>
          </w:p>
        </w:tc>
      </w:tr>
      <w:tr>
        <w:tc>
          <w:tcPr>
            <w:tcW w:type="dxa" w:w="26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Device secure enclave</w:t>
            </w:r>
          </w:p>
        </w:tc>
        <w:tc>
          <w:tcPr>
            <w:tcW w:type="dxa" w:w="32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Encrypted key blob</w:t>
            </w:r>
          </w:p>
        </w:tc>
        <w:tc>
          <w:tcPr>
            <w:tcW w:type="dxa" w:w="356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AES-256-GCM, key derived via Argon2id from user PIN/biometric</w:t>
            </w:r>
          </w:p>
        </w:tc>
      </w:tr>
      <w:tr>
        <w:tc>
          <w:tcPr>
            <w:tcW w:type="dxa" w:w="26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User-controlled backup</w:t>
            </w:r>
          </w:p>
        </w:tc>
        <w:tc>
          <w:tcPr>
            <w:tcW w:type="dxa" w:w="32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Mnemonic phrase</w:t>
            </w:r>
          </w:p>
        </w:tc>
        <w:tc>
          <w:tcPr>
            <w:tcW w:type="dxa" w:w="35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Paper only — not stored digitally by the application</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1A1A" w:sz="1"/>
              <w:left w:val="single" w:color="7A1A1A" w:sz="16"/>
              <w:bottom w:val="single" w:color="7A1A1A" w:sz="1"/>
              <w:right w:val="single" w:color="C8D0DF" w:sz="1"/>
            </w:tcBorders>
            <w:shd w:fill="FFF0F0" w:val="clear"/>
            <w:tcMar>
              <w:top w:type="dxa" w:w="100"/>
              <w:left w:type="dxa" w:w="200"/>
              <w:bottom w:type="dxa" w:w="100"/>
              <w:right w:type="dxa" w:w="200"/>
            </w:tcMar>
          </w:tcPr>
          <w:p>
            <w:pPr>
              <w:spacing w:before="0" w:after="60"/>
            </w:pPr>
            <w:r>
              <w:rPr>
                <w:rFonts w:ascii="Arial" w:cs="Arial" w:eastAsia="Arial" w:hAnsi="Arial"/>
                <w:b/>
                <w:bCs/>
                <w:i w:val="false"/>
                <w:iCs w:val="false"/>
                <w:color w:val="7A1A1A"/>
                <w:sz w:val="20"/>
                <w:szCs w:val="20"/>
              </w:rPr>
              <w:t xml:space="preserve">SECURITY REQUIREMENT</w:t>
            </w:r>
          </w:p>
          <w:p>
            <w:pPr>
              <w:spacing w:before="0" w:after="0"/>
              <w:jc w:val="both"/>
            </w:pPr>
            <w:r>
              <w:rPr>
                <w:rFonts w:ascii="Arial" w:cs="Arial" w:eastAsia="Arial" w:hAnsi="Arial"/>
                <w:b w:val="false"/>
                <w:bCs w:val="false"/>
                <w:i w:val="false"/>
                <w:iCs w:val="false"/>
                <w:color w:val="1A1A2E"/>
                <w:sz w:val="20"/>
                <w:szCs w:val="20"/>
              </w:rPr>
              <w:t xml:space="preserve">The private key must never be written to disk in plaintext, transmitted over any network, or included in application logs, crash reports, or analytics events. Violation of this rule constitutes a critical security defect.</w:t>
            </w:r>
          </w:p>
        </w:tc>
      </w:tr>
    </w:tbl>
    <w:p>
      <w:pPr>
        <w:pStyle w:val="Heading1"/>
        <w:spacing w:before="480" w:after="120"/>
      </w:pPr>
      <w:r>
        <w:rPr>
          <w:rFonts w:ascii="Arial" w:cs="Arial" w:eastAsia="Arial" w:hAnsi="Arial"/>
          <w:b/>
          <w:bCs/>
          <w:i w:val="false"/>
          <w:iCs w:val="false"/>
          <w:color w:val="0D2137"/>
          <w:sz w:val="30"/>
          <w:szCs w:val="30"/>
        </w:rPr>
        <w:t xml:space="preserve">3. Transaction Structure</w:t>
      </w:r>
    </w:p>
    <w:p>
      <w:pPr>
        <w:pBdr>
          <w:bottom w:val="single" w:color="B87333" w:sz="8" w:space="1"/>
        </w:pBdr>
        <w:spacing w:before="0" w:after="160"/>
      </w:pPr>
    </w:p>
    <w:p>
      <w:pPr>
        <w:spacing w:before="60" w:after="120"/>
        <w:jc w:val="both"/>
      </w:pPr>
      <w:r>
        <w:rPr>
          <w:rFonts w:ascii="Arial" w:cs="Arial" w:eastAsia="Arial" w:hAnsi="Arial"/>
          <w:b w:val="false"/>
          <w:bCs w:val="false"/>
          <w:i w:val="false"/>
          <w:iCs w:val="false"/>
          <w:color w:val="1A1A2E"/>
          <w:sz w:val="22"/>
          <w:szCs w:val="22"/>
        </w:rPr>
        <w:t xml:space="preserve">Every PADU transaction is an EVM-compatible signed message with a PADU-specific extension payload. The extension payload carries the fee breakdown metadata and — when required — the KYC commitment. This extension is validated by nodes as part of transaction acceptance.</w:t>
      </w:r>
    </w:p>
    <w:p>
      <w:pPr>
        <w:pStyle w:val="Heading2"/>
        <w:spacing w:before="320" w:after="80"/>
      </w:pPr>
      <w:r>
        <w:rPr>
          <w:rFonts w:ascii="Arial" w:cs="Arial" w:eastAsia="Arial" w:hAnsi="Arial"/>
          <w:b/>
          <w:bCs/>
          <w:i w:val="false"/>
          <w:iCs w:val="false"/>
          <w:color w:val="1A4A7A"/>
          <w:sz w:val="25"/>
          <w:szCs w:val="25"/>
        </w:rPr>
        <w:t xml:space="preserve">3.1 Base Transaction Fields</w:t>
      </w:r>
    </w:p>
    <w:p>
      <w:pPr>
        <w:spacing w:before="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8D0DF" w:sz="1"/>
              <w:left w:val="single" w:color="C8D0DF" w:sz="1"/>
              <w:bottom w:val="single" w:color="C8D0DF" w:sz="1"/>
              <w:right w:val="single" w:color="C8D0DF" w:sz="1"/>
            </w:tcBorders>
            <w:shd w:fill="0D2137" w:val="clear"/>
            <w:tcMar>
              <w:top w:type="dxa" w:w="80"/>
              <w:left w:type="dxa" w:w="140"/>
              <w:bottom w:type="dxa" w:w="80"/>
              <w:right w:type="dxa" w:w="140"/>
            </w:tcMar>
          </w:tcPr>
          <w:p>
            <w:r>
              <w:rPr>
                <w:rFonts w:ascii="Arial" w:cs="Arial" w:eastAsia="Arial" w:hAnsi="Arial"/>
                <w:b/>
                <w:bCs/>
                <w:i w:val="false"/>
                <w:iCs w:val="false"/>
                <w:color w:val="FFFFFF"/>
                <w:sz w:val="20"/>
                <w:szCs w:val="20"/>
              </w:rPr>
              <w:t xml:space="preserve">Field</w:t>
            </w:r>
          </w:p>
        </w:tc>
        <w:tc>
          <w:tcPr>
            <w:tcW w:type="dxa" w:w="6960"/>
            <w:tcBorders>
              <w:top w:val="single" w:color="C8D0DF" w:sz="1"/>
              <w:left w:val="single" w:color="C8D0DF" w:sz="1"/>
              <w:bottom w:val="single" w:color="C8D0DF" w:sz="1"/>
              <w:right w:val="single" w:color="C8D0DF" w:sz="1"/>
            </w:tcBorders>
            <w:shd w:fill="0D2137" w:val="clear"/>
            <w:tcMar>
              <w:top w:type="dxa" w:w="80"/>
              <w:left w:type="dxa" w:w="140"/>
              <w:bottom w:type="dxa" w:w="80"/>
              <w:right w:type="dxa" w:w="140"/>
            </w:tcMar>
          </w:tcPr>
          <w:p>
            <w:r>
              <w:rPr>
                <w:rFonts w:ascii="Arial" w:cs="Arial" w:eastAsia="Arial" w:hAnsi="Arial"/>
                <w:b/>
                <w:bCs/>
                <w:i w:val="false"/>
                <w:iCs w:val="false"/>
                <w:color w:val="FFFFFF"/>
                <w:sz w:val="20"/>
                <w:szCs w:val="20"/>
              </w:rPr>
              <w:t xml:space="preserve">Description</w:t>
            </w:r>
          </w:p>
        </w:tc>
      </w:tr>
      <w:tr>
        <w:tc>
          <w:tcPr>
            <w:tcW w:type="dxa" w:w="24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nonce</w:t>
            </w:r>
          </w:p>
        </w:tc>
        <w:tc>
          <w:tcPr>
            <w:tcW w:type="dxa" w:w="69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Sender's transaction count — prevents replay attacks</w:t>
            </w:r>
          </w:p>
        </w:tc>
      </w:tr>
      <w:tr>
        <w:tc>
          <w:tcPr>
            <w:tcW w:type="dxa" w:w="24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from</w:t>
            </w:r>
          </w:p>
        </w:tc>
        <w:tc>
          <w:tcPr>
            <w:tcW w:type="dxa" w:w="696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Sender PADU address (20 bytes)</w:t>
            </w:r>
          </w:p>
        </w:tc>
      </w:tr>
      <w:tr>
        <w:tc>
          <w:tcPr>
            <w:tcW w:type="dxa" w:w="24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to</w:t>
            </w:r>
          </w:p>
        </w:tc>
        <w:tc>
          <w:tcPr>
            <w:tcW w:type="dxa" w:w="69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Recipient PADU address (20 bytes)</w:t>
            </w:r>
          </w:p>
        </w:tc>
      </w:tr>
      <w:tr>
        <w:tc>
          <w:tcPr>
            <w:tcW w:type="dxa" w:w="24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value</w:t>
            </w:r>
          </w:p>
        </w:tc>
        <w:tc>
          <w:tcPr>
            <w:tcW w:type="dxa" w:w="696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Transfer amount in PADU base units (1 PADU = 10^18 base units, following ERC-20 convention)</w:t>
            </w:r>
          </w:p>
        </w:tc>
      </w:tr>
      <w:tr>
        <w:tc>
          <w:tcPr>
            <w:tcW w:type="dxa" w:w="24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fee_total</w:t>
            </w:r>
          </w:p>
        </w:tc>
        <w:tc>
          <w:tcPr>
            <w:tcW w:type="dxa" w:w="69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Total fee in base units (1.5% of value, computed by client, verified by node)</w:t>
            </w:r>
          </w:p>
        </w:tc>
      </w:tr>
      <w:tr>
        <w:tc>
          <w:tcPr>
            <w:tcW w:type="dxa" w:w="24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fee_breakdown</w:t>
            </w:r>
          </w:p>
        </w:tc>
        <w:tc>
          <w:tcPr>
            <w:tcW w:type="dxa" w:w="696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Struct: { operational: uint64, social: uint64, solidarity: uint64 } — each 0.5%</w:t>
            </w:r>
          </w:p>
        </w:tc>
      </w:tr>
      <w:tr>
        <w:tc>
          <w:tcPr>
            <w:tcW w:type="dxa" w:w="24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extension</w:t>
            </w:r>
          </w:p>
        </w:tc>
        <w:tc>
          <w:tcPr>
            <w:tcW w:type="dxa" w:w="69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PADU-specific payload — see Section 3.2</w:t>
            </w:r>
          </w:p>
        </w:tc>
      </w:tr>
      <w:tr>
        <w:tc>
          <w:tcPr>
            <w:tcW w:type="dxa" w:w="24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signature</w:t>
            </w:r>
          </w:p>
        </w:tc>
        <w:tc>
          <w:tcPr>
            <w:tcW w:type="dxa" w:w="696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ECDSA signature over the RLP-encoded transaction hash (secp256k1)</w:t>
            </w:r>
          </w:p>
        </w:tc>
      </w:tr>
      <w:tr>
        <w:tc>
          <w:tcPr>
            <w:tcW w:type="dxa" w:w="24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chain_id</w:t>
            </w:r>
          </w:p>
        </w:tc>
        <w:tc>
          <w:tcPr>
            <w:tcW w:type="dxa" w:w="69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PADU chain identifier — prevents replay across networks</w:t>
            </w:r>
          </w:p>
        </w:tc>
      </w:tr>
    </w:tbl>
    <w:p>
      <w:pPr>
        <w:pStyle w:val="Heading2"/>
        <w:spacing w:before="320" w:after="80"/>
      </w:pPr>
      <w:r>
        <w:rPr>
          <w:rFonts w:ascii="Arial" w:cs="Arial" w:eastAsia="Arial" w:hAnsi="Arial"/>
          <w:b/>
          <w:bCs/>
          <w:i w:val="false"/>
          <w:iCs w:val="false"/>
          <w:color w:val="1A4A7A"/>
          <w:sz w:val="25"/>
          <w:szCs w:val="25"/>
        </w:rPr>
        <w:t xml:space="preserve">3.2 The Extension Payload</w:t>
      </w:r>
    </w:p>
    <w:p>
      <w:pPr>
        <w:spacing w:before="60" w:after="120"/>
        <w:jc w:val="both"/>
      </w:pPr>
      <w:r>
        <w:rPr>
          <w:rFonts w:ascii="Arial" w:cs="Arial" w:eastAsia="Arial" w:hAnsi="Arial"/>
          <w:b w:val="false"/>
          <w:bCs w:val="false"/>
          <w:i w:val="false"/>
          <w:iCs w:val="false"/>
          <w:color w:val="1A1A2E"/>
          <w:sz w:val="22"/>
          <w:szCs w:val="22"/>
        </w:rPr>
        <w:t xml:space="preserve">The extension payload is a mandatory field in all PADU transactions. For transactions below the KYC Floor, it contains only a version flag and a memo field. For transactions at or above the KYC Floor, it additionally contains a KYC commitment structure.</w:t>
      </w:r>
    </w:p>
    <w:p>
      <w:pPr>
        <w:spacing w:before="0" w:after="60"/>
      </w:pPr>
    </w:p>
    <w:tbl>
      <w:tblPr>
        <w:tblW w:type="dxa" w:w="9360"/>
        <w:tblBorders>
          <w:top w:val="single" w:color="C8D0DF" w:sz="1"/>
          <w:left w:val="single" w:color="1A4A7A" w:sz="1"/>
          <w:bottom w:val="single" w:color="C8D0DF" w:sz="1"/>
          <w:right w:val="single" w:color="C8D0DF" w:sz="1"/>
          <w:insideH w:val="single" w:color="auto" w:sz="4"/>
          <w:insideV w:val="single" w:color="auto" w:sz="4"/>
        </w:tblBorders>
      </w:tblPr>
      <w:tblGrid>
        <w:gridCol w:w="9360"/>
      </w:tblGrid>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Extension payload schema (Solidity struct for on-chain validation reference)</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struct PADUExtension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uint8   version;          // currently 1</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bytes32 memo;             // optional UTF-8 memo, zero-padded (visible on chain)</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bool    kycRequired;      // set by client based on value vs KYC Floor</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KYCCommitment kyc;        // populated only if kycRequired == true</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struct KYCCommitment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bytes32 proofHash;        // keccak256 of the ZK proof blob</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address verifierAddress;  // address of the accredited KYC oracle that issued the proof</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uint64  issuedAt;         // Unix timestamp of proof issuance</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uint64  expiresAt;        // Unix timestamp of proof expiry</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uint8   tierLevel;        // 1 = basic (pseudonymous+), 2 = full KYC, 3 = corporate</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bytes   zkProofBlob;      // the zero-knowledge proof itself — verified by nodes</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w:t>
            </w:r>
          </w:p>
        </w:tc>
      </w:tr>
    </w:tbl>
    <w:p>
      <w:pPr>
        <w:pStyle w:val="Heading2"/>
        <w:spacing w:before="320" w:after="80"/>
      </w:pPr>
      <w:r>
        <w:rPr>
          <w:rFonts w:ascii="Arial" w:cs="Arial" w:eastAsia="Arial" w:hAnsi="Arial"/>
          <w:b/>
          <w:bCs/>
          <w:i w:val="false"/>
          <w:iCs w:val="false"/>
          <w:color w:val="1A4A7A"/>
          <w:sz w:val="25"/>
          <w:szCs w:val="25"/>
        </w:rPr>
        <w:t xml:space="preserve">3.3 Transaction Lifecycle</w:t>
      </w:r>
    </w:p>
    <w:p>
      <w:pPr>
        <w:spacing w:before="60" w:after="120"/>
        <w:jc w:val="both"/>
      </w:pPr>
      <w:r>
        <w:rPr>
          <w:rFonts w:ascii="Arial" w:cs="Arial" w:eastAsia="Arial" w:hAnsi="Arial"/>
          <w:b w:val="false"/>
          <w:bCs w:val="false"/>
          <w:i w:val="false"/>
          <w:iCs w:val="false"/>
          <w:color w:val="1A1A2E"/>
          <w:sz w:val="22"/>
          <w:szCs w:val="22"/>
        </w:rPr>
        <w:t xml:space="preserve">The following describes the complete lifecycle of a PADU transaction, from construction in the wallet client to finality on chain.</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c>
          <w:tcPr>
            <w:tcW w:type="dxa" w:w="600"/>
            <w:tcBorders>
              <w:top w:val="single" w:color="C8D0DF" w:sz="1"/>
              <w:left w:val="single" w:color="C8D0DF" w:sz="1"/>
              <w:bottom w:val="single" w:color="C8D0DF" w:sz="1"/>
              <w:right w:val="single" w:color="C8D0DF" w:sz="1"/>
            </w:tcBorders>
            <w:shd w:fill="0D2137" w:val="clear"/>
            <w:tcMar>
              <w:top w:type="dxa" w:w="80"/>
              <w:left w:type="dxa" w:w="80"/>
              <w:bottom w:type="dxa" w:w="80"/>
              <w:right w:type="dxa" w:w="80"/>
            </w:tcMar>
            <w:vAlign w:val="center"/>
          </w:tcPr>
          <w:p>
            <w:pPr>
              <w:jc w:val="center"/>
            </w:pPr>
            <w:r>
              <w:rPr>
                <w:rFonts w:ascii="Arial" w:cs="Arial" w:eastAsia="Arial" w:hAnsi="Arial"/>
                <w:b/>
                <w:bCs/>
                <w:i w:val="false"/>
                <w:iCs w:val="false"/>
                <w:color w:val="FFFFFF"/>
                <w:sz w:val="19"/>
                <w:szCs w:val="19"/>
              </w:rPr>
              <w:t xml:space="preserve">Step</w:t>
            </w:r>
          </w:p>
        </w:tc>
        <w:tc>
          <w:tcPr>
            <w:tcW w:type="dxa" w:w="2200"/>
            <w:tcBorders>
              <w:top w:val="single" w:color="C8D0DF" w:sz="1"/>
              <w:left w:val="single" w:color="C8D0DF" w:sz="1"/>
              <w:bottom w:val="single" w:color="C8D0DF" w:sz="1"/>
              <w:right w:val="single" w:color="C8D0DF" w:sz="1"/>
            </w:tcBorders>
            <w:shd w:fill="0D2137" w:val="clear"/>
            <w:tcMar>
              <w:top w:type="dxa" w:w="80"/>
              <w:left w:type="dxa" w:w="140"/>
              <w:bottom w:type="dxa" w:w="80"/>
              <w:right w:type="dxa" w:w="140"/>
            </w:tcMar>
          </w:tcPr>
          <w:p>
            <w:r>
              <w:rPr>
                <w:rFonts w:ascii="Arial" w:cs="Arial" w:eastAsia="Arial" w:hAnsi="Arial"/>
                <w:b/>
                <w:bCs/>
                <w:i w:val="false"/>
                <w:iCs w:val="false"/>
                <w:color w:val="FFFFFF"/>
                <w:sz w:val="19"/>
                <w:szCs w:val="19"/>
              </w:rPr>
              <w:t xml:space="preserve">Stage</w:t>
            </w:r>
          </w:p>
        </w:tc>
        <w:tc>
          <w:tcPr>
            <w:tcW w:type="dxa" w:w="6560"/>
            <w:tcBorders>
              <w:top w:val="single" w:color="C8D0DF" w:sz="1"/>
              <w:left w:val="single" w:color="C8D0DF" w:sz="1"/>
              <w:bottom w:val="single" w:color="C8D0DF" w:sz="1"/>
              <w:right w:val="single" w:color="C8D0DF" w:sz="1"/>
            </w:tcBorders>
            <w:shd w:fill="0D2137" w:val="clear"/>
            <w:tcMar>
              <w:top w:type="dxa" w:w="80"/>
              <w:left w:type="dxa" w:w="140"/>
              <w:bottom w:type="dxa" w:w="80"/>
              <w:right w:type="dxa" w:w="140"/>
            </w:tcMar>
          </w:tcPr>
          <w:p>
            <w:r>
              <w:rPr>
                <w:rFonts w:ascii="Arial" w:cs="Arial" w:eastAsia="Arial" w:hAnsi="Arial"/>
                <w:b/>
                <w:bCs/>
                <w:i w:val="false"/>
                <w:iCs w:val="false"/>
                <w:color w:val="FFFFFF"/>
                <w:sz w:val="19"/>
                <w:szCs w:val="19"/>
              </w:rPr>
              <w:t xml:space="preserve">Actions and checks</w:t>
            </w:r>
          </w:p>
        </w:tc>
      </w:tr>
      <w:tr>
        <w:tc>
          <w:tcPr>
            <w:tcW w:type="dxa" w:w="600"/>
            <w:tcBorders>
              <w:top w:val="single" w:color="C8D0DF" w:sz="1"/>
              <w:left w:val="single" w:color="C8D0DF" w:sz="1"/>
              <w:bottom w:val="single" w:color="C8D0DF" w:sz="1"/>
              <w:right w:val="single" w:color="C8D0DF" w:sz="1"/>
            </w:tcBorders>
            <w:shd w:fill="F5F6FA" w:val="clear"/>
            <w:tcMar>
              <w:top w:type="dxa" w:w="80"/>
              <w:left w:type="dxa" w:w="80"/>
              <w:bottom w:type="dxa" w:w="80"/>
              <w:right w:type="dxa" w:w="80"/>
            </w:tcMar>
            <w:vAlign w:val="center"/>
          </w:tcPr>
          <w:p>
            <w:pPr>
              <w:jc w:val="center"/>
            </w:pPr>
            <w:r>
              <w:rPr>
                <w:rFonts w:ascii="Arial" w:cs="Arial" w:eastAsia="Arial" w:hAnsi="Arial"/>
                <w:b/>
                <w:bCs/>
                <w:i w:val="false"/>
                <w:iCs w:val="false"/>
                <w:color w:val="1A4A7A"/>
                <w:sz w:val="20"/>
                <w:szCs w:val="20"/>
              </w:rPr>
              <w:t xml:space="preserve">1</w:t>
            </w:r>
          </w:p>
        </w:tc>
        <w:tc>
          <w:tcPr>
            <w:tcW w:type="dxa" w:w="22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bCs/>
                <w:i w:val="false"/>
                <w:iCs w:val="false"/>
                <w:color w:val="1A1A2E"/>
                <w:sz w:val="20"/>
                <w:szCs w:val="20"/>
              </w:rPr>
              <w:t xml:space="preserve">User initiates transfer</w:t>
            </w:r>
          </w:p>
        </w:tc>
        <w:tc>
          <w:tcPr>
            <w:tcW w:type="dxa" w:w="656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pPr>
              <w:jc w:val="both"/>
            </w:pPr>
            <w:r>
              <w:rPr>
                <w:rFonts w:ascii="Arial" w:cs="Arial" w:eastAsia="Arial" w:hAnsi="Arial"/>
                <w:b w:val="false"/>
                <w:bCs w:val="false"/>
                <w:i w:val="false"/>
                <w:iCs w:val="false"/>
                <w:color w:val="1A1A2E"/>
                <w:sz w:val="20"/>
                <w:szCs w:val="20"/>
              </w:rPr>
              <w:t xml:space="preserve">Wallet UI collects: recipient address, amount, optional memo. Client validates address format and checksum.</w:t>
            </w:r>
          </w:p>
        </w:tc>
      </w:tr>
      <w:tr>
        <w:tc>
          <w:tcPr>
            <w:tcW w:type="dxa" w:w="600"/>
            <w:tcBorders>
              <w:top w:val="single" w:color="C8D0DF" w:sz="1"/>
              <w:left w:val="single" w:color="C8D0DF" w:sz="1"/>
              <w:bottom w:val="single" w:color="C8D0DF" w:sz="1"/>
              <w:right w:val="single" w:color="C8D0DF" w:sz="1"/>
            </w:tcBorders>
            <w:shd w:fill="FFFFFF" w:val="clear"/>
            <w:tcMar>
              <w:top w:type="dxa" w:w="80"/>
              <w:left w:type="dxa" w:w="80"/>
              <w:bottom w:type="dxa" w:w="80"/>
              <w:right w:type="dxa" w:w="80"/>
            </w:tcMar>
            <w:vAlign w:val="center"/>
          </w:tcPr>
          <w:p>
            <w:pPr>
              <w:jc w:val="center"/>
            </w:pPr>
            <w:r>
              <w:rPr>
                <w:rFonts w:ascii="Arial" w:cs="Arial" w:eastAsia="Arial" w:hAnsi="Arial"/>
                <w:b/>
                <w:bCs/>
                <w:i w:val="false"/>
                <w:iCs w:val="false"/>
                <w:color w:val="1A4A7A"/>
                <w:sz w:val="20"/>
                <w:szCs w:val="20"/>
              </w:rPr>
              <w:t xml:space="preserve">2</w:t>
            </w:r>
          </w:p>
        </w:tc>
        <w:tc>
          <w:tcPr>
            <w:tcW w:type="dxa" w:w="22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bCs/>
                <w:i w:val="false"/>
                <w:iCs w:val="false"/>
                <w:color w:val="1A1A2E"/>
                <w:sz w:val="20"/>
                <w:szCs w:val="20"/>
              </w:rPr>
              <w:t xml:space="preserve">Fee computation</w:t>
            </w:r>
          </w:p>
        </w:tc>
        <w:tc>
          <w:tcPr>
            <w:tcW w:type="dxa" w:w="65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pPr>
              <w:jc w:val="both"/>
            </w:pPr>
            <w:r>
              <w:rPr>
                <w:rFonts w:ascii="Arial" w:cs="Arial" w:eastAsia="Arial" w:hAnsi="Arial"/>
                <w:b w:val="false"/>
                <w:bCs w:val="false"/>
                <w:i w:val="false"/>
                <w:iCs w:val="false"/>
                <w:color w:val="1A1A2E"/>
                <w:sz w:val="20"/>
                <w:szCs w:val="20"/>
              </w:rPr>
              <w:t xml:space="preserve">Client computes fee_total = value × 0.015, then splits into three equal 0.5% components. Displays net amount to recipient.</w:t>
            </w:r>
          </w:p>
        </w:tc>
      </w:tr>
      <w:tr>
        <w:tc>
          <w:tcPr>
            <w:tcW w:type="dxa" w:w="600"/>
            <w:tcBorders>
              <w:top w:val="single" w:color="C8D0DF" w:sz="1"/>
              <w:left w:val="single" w:color="C8D0DF" w:sz="1"/>
              <w:bottom w:val="single" w:color="C8D0DF" w:sz="1"/>
              <w:right w:val="single" w:color="C8D0DF" w:sz="1"/>
            </w:tcBorders>
            <w:shd w:fill="F5F6FA" w:val="clear"/>
            <w:tcMar>
              <w:top w:type="dxa" w:w="80"/>
              <w:left w:type="dxa" w:w="80"/>
              <w:bottom w:type="dxa" w:w="80"/>
              <w:right w:type="dxa" w:w="80"/>
            </w:tcMar>
            <w:vAlign w:val="center"/>
          </w:tcPr>
          <w:p>
            <w:pPr>
              <w:jc w:val="center"/>
            </w:pPr>
            <w:r>
              <w:rPr>
                <w:rFonts w:ascii="Arial" w:cs="Arial" w:eastAsia="Arial" w:hAnsi="Arial"/>
                <w:b/>
                <w:bCs/>
                <w:i w:val="false"/>
                <w:iCs w:val="false"/>
                <w:color w:val="1A4A7A"/>
                <w:sz w:val="20"/>
                <w:szCs w:val="20"/>
              </w:rPr>
              <w:t xml:space="preserve">3</w:t>
            </w:r>
          </w:p>
        </w:tc>
        <w:tc>
          <w:tcPr>
            <w:tcW w:type="dxa" w:w="22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bCs/>
                <w:i w:val="false"/>
                <w:iCs w:val="false"/>
                <w:color w:val="1A1A2E"/>
                <w:sz w:val="20"/>
                <w:szCs w:val="20"/>
              </w:rPr>
              <w:t xml:space="preserve">KYC threshold check</w:t>
            </w:r>
          </w:p>
        </w:tc>
        <w:tc>
          <w:tcPr>
            <w:tcW w:type="dxa" w:w="656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pPr>
              <w:jc w:val="both"/>
            </w:pPr>
            <w:r>
              <w:rPr>
                <w:rFonts w:ascii="Arial" w:cs="Arial" w:eastAsia="Arial" w:hAnsi="Arial"/>
                <w:b w:val="false"/>
                <w:bCs w:val="false"/>
                <w:i w:val="false"/>
                <w:iCs w:val="false"/>
                <w:color w:val="1A1A2E"/>
                <w:sz w:val="20"/>
                <w:szCs w:val="20"/>
              </w:rPr>
              <w:t xml:space="preserve">Client queries the KYC Floor Registry contract for the current threshold. If value ≥ threshold, triggers KYC commitment flow (see Section 5). If below, extension.kycRequired is set to false.</w:t>
            </w:r>
          </w:p>
        </w:tc>
      </w:tr>
      <w:tr>
        <w:tc>
          <w:tcPr>
            <w:tcW w:type="dxa" w:w="600"/>
            <w:tcBorders>
              <w:top w:val="single" w:color="C8D0DF" w:sz="1"/>
              <w:left w:val="single" w:color="C8D0DF" w:sz="1"/>
              <w:bottom w:val="single" w:color="C8D0DF" w:sz="1"/>
              <w:right w:val="single" w:color="C8D0DF" w:sz="1"/>
            </w:tcBorders>
            <w:shd w:fill="FFFFFF" w:val="clear"/>
            <w:tcMar>
              <w:top w:type="dxa" w:w="80"/>
              <w:left w:type="dxa" w:w="80"/>
              <w:bottom w:type="dxa" w:w="80"/>
              <w:right w:type="dxa" w:w="80"/>
            </w:tcMar>
            <w:vAlign w:val="center"/>
          </w:tcPr>
          <w:p>
            <w:pPr>
              <w:jc w:val="center"/>
            </w:pPr>
            <w:r>
              <w:rPr>
                <w:rFonts w:ascii="Arial" w:cs="Arial" w:eastAsia="Arial" w:hAnsi="Arial"/>
                <w:b/>
                <w:bCs/>
                <w:i w:val="false"/>
                <w:iCs w:val="false"/>
                <w:color w:val="1A4A7A"/>
                <w:sz w:val="20"/>
                <w:szCs w:val="20"/>
              </w:rPr>
              <w:t xml:space="preserve">4</w:t>
            </w:r>
          </w:p>
        </w:tc>
        <w:tc>
          <w:tcPr>
            <w:tcW w:type="dxa" w:w="22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bCs/>
                <w:i w:val="false"/>
                <w:iCs w:val="false"/>
                <w:color w:val="1A1A2E"/>
                <w:sz w:val="20"/>
                <w:szCs w:val="20"/>
              </w:rPr>
              <w:t xml:space="preserve">Transaction construction</w:t>
            </w:r>
          </w:p>
        </w:tc>
        <w:tc>
          <w:tcPr>
            <w:tcW w:type="dxa" w:w="65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pPr>
              <w:jc w:val="both"/>
            </w:pPr>
            <w:r>
              <w:rPr>
                <w:rFonts w:ascii="Arial" w:cs="Arial" w:eastAsia="Arial" w:hAnsi="Arial"/>
                <w:b w:val="false"/>
                <w:bCs w:val="false"/>
                <w:i w:val="false"/>
                <w:iCs w:val="false"/>
                <w:color w:val="1A1A2E"/>
                <w:sz w:val="20"/>
                <w:szCs w:val="20"/>
              </w:rPr>
              <w:t xml:space="preserve">Client assembles the full transaction struct including the extension payload. Computes the EIP-712 typed-data hash for signing.</w:t>
            </w:r>
          </w:p>
        </w:tc>
      </w:tr>
      <w:tr>
        <w:tc>
          <w:tcPr>
            <w:tcW w:type="dxa" w:w="600"/>
            <w:tcBorders>
              <w:top w:val="single" w:color="C8D0DF" w:sz="1"/>
              <w:left w:val="single" w:color="C8D0DF" w:sz="1"/>
              <w:bottom w:val="single" w:color="C8D0DF" w:sz="1"/>
              <w:right w:val="single" w:color="C8D0DF" w:sz="1"/>
            </w:tcBorders>
            <w:shd w:fill="F5F6FA" w:val="clear"/>
            <w:tcMar>
              <w:top w:type="dxa" w:w="80"/>
              <w:left w:type="dxa" w:w="80"/>
              <w:bottom w:type="dxa" w:w="80"/>
              <w:right w:type="dxa" w:w="80"/>
            </w:tcMar>
            <w:vAlign w:val="center"/>
          </w:tcPr>
          <w:p>
            <w:pPr>
              <w:jc w:val="center"/>
            </w:pPr>
            <w:r>
              <w:rPr>
                <w:rFonts w:ascii="Arial" w:cs="Arial" w:eastAsia="Arial" w:hAnsi="Arial"/>
                <w:b/>
                <w:bCs/>
                <w:i w:val="false"/>
                <w:iCs w:val="false"/>
                <w:color w:val="1A4A7A"/>
                <w:sz w:val="20"/>
                <w:szCs w:val="20"/>
              </w:rPr>
              <w:t xml:space="preserve">5</w:t>
            </w:r>
          </w:p>
        </w:tc>
        <w:tc>
          <w:tcPr>
            <w:tcW w:type="dxa" w:w="22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bCs/>
                <w:i w:val="false"/>
                <w:iCs w:val="false"/>
                <w:color w:val="1A1A2E"/>
                <w:sz w:val="20"/>
                <w:szCs w:val="20"/>
              </w:rPr>
              <w:t xml:space="preserve">User authorization</w:t>
            </w:r>
          </w:p>
        </w:tc>
        <w:tc>
          <w:tcPr>
            <w:tcW w:type="dxa" w:w="656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pPr>
              <w:jc w:val="both"/>
            </w:pPr>
            <w:r>
              <w:rPr>
                <w:rFonts w:ascii="Arial" w:cs="Arial" w:eastAsia="Arial" w:hAnsi="Arial"/>
                <w:b w:val="false"/>
                <w:bCs w:val="false"/>
                <w:i w:val="false"/>
                <w:iCs w:val="false"/>
                <w:color w:val="1A1A2E"/>
                <w:sz w:val="20"/>
                <w:szCs w:val="20"/>
              </w:rPr>
              <w:t xml:space="preserve">User approves the transaction in the wallet UI. Private key is retrieved from secure enclave into memory. Transaction is signed. Key is immediately zeroed from memory.</w:t>
            </w:r>
          </w:p>
        </w:tc>
      </w:tr>
      <w:tr>
        <w:tc>
          <w:tcPr>
            <w:tcW w:type="dxa" w:w="600"/>
            <w:tcBorders>
              <w:top w:val="single" w:color="C8D0DF" w:sz="1"/>
              <w:left w:val="single" w:color="C8D0DF" w:sz="1"/>
              <w:bottom w:val="single" w:color="C8D0DF" w:sz="1"/>
              <w:right w:val="single" w:color="C8D0DF" w:sz="1"/>
            </w:tcBorders>
            <w:shd w:fill="FFFFFF" w:val="clear"/>
            <w:tcMar>
              <w:top w:type="dxa" w:w="80"/>
              <w:left w:type="dxa" w:w="80"/>
              <w:bottom w:type="dxa" w:w="80"/>
              <w:right w:type="dxa" w:w="80"/>
            </w:tcMar>
            <w:vAlign w:val="center"/>
          </w:tcPr>
          <w:p>
            <w:pPr>
              <w:jc w:val="center"/>
            </w:pPr>
            <w:r>
              <w:rPr>
                <w:rFonts w:ascii="Arial" w:cs="Arial" w:eastAsia="Arial" w:hAnsi="Arial"/>
                <w:b/>
                <w:bCs/>
                <w:i w:val="false"/>
                <w:iCs w:val="false"/>
                <w:color w:val="1A4A7A"/>
                <w:sz w:val="20"/>
                <w:szCs w:val="20"/>
              </w:rPr>
              <w:t xml:space="preserve">6</w:t>
            </w:r>
          </w:p>
        </w:tc>
        <w:tc>
          <w:tcPr>
            <w:tcW w:type="dxa" w:w="22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bCs/>
                <w:i w:val="false"/>
                <w:iCs w:val="false"/>
                <w:color w:val="1A1A2E"/>
                <w:sz w:val="20"/>
                <w:szCs w:val="20"/>
              </w:rPr>
              <w:t xml:space="preserve">Broadcast</w:t>
            </w:r>
          </w:p>
        </w:tc>
        <w:tc>
          <w:tcPr>
            <w:tcW w:type="dxa" w:w="65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pPr>
              <w:jc w:val="both"/>
            </w:pPr>
            <w:r>
              <w:rPr>
                <w:rFonts w:ascii="Arial" w:cs="Arial" w:eastAsia="Arial" w:hAnsi="Arial"/>
                <w:b w:val="false"/>
                <w:bCs w:val="false"/>
                <w:i w:val="false"/>
                <w:iCs w:val="false"/>
                <w:color w:val="1A1A2E"/>
                <w:sz w:val="20"/>
                <w:szCs w:val="20"/>
              </w:rPr>
              <w:t xml:space="preserve">Signed transaction is submitted to one or more PADU RPC nodes via JSON-RPC. The client monitors inclusion.</w:t>
            </w:r>
          </w:p>
        </w:tc>
      </w:tr>
      <w:tr>
        <w:tc>
          <w:tcPr>
            <w:tcW w:type="dxa" w:w="600"/>
            <w:tcBorders>
              <w:top w:val="single" w:color="C8D0DF" w:sz="1"/>
              <w:left w:val="single" w:color="C8D0DF" w:sz="1"/>
              <w:bottom w:val="single" w:color="C8D0DF" w:sz="1"/>
              <w:right w:val="single" w:color="C8D0DF" w:sz="1"/>
            </w:tcBorders>
            <w:shd w:fill="F5F6FA" w:val="clear"/>
            <w:tcMar>
              <w:top w:type="dxa" w:w="80"/>
              <w:left w:type="dxa" w:w="80"/>
              <w:bottom w:type="dxa" w:w="80"/>
              <w:right w:type="dxa" w:w="80"/>
            </w:tcMar>
            <w:vAlign w:val="center"/>
          </w:tcPr>
          <w:p>
            <w:pPr>
              <w:jc w:val="center"/>
            </w:pPr>
            <w:r>
              <w:rPr>
                <w:rFonts w:ascii="Arial" w:cs="Arial" w:eastAsia="Arial" w:hAnsi="Arial"/>
                <w:b/>
                <w:bCs/>
                <w:i w:val="false"/>
                <w:iCs w:val="false"/>
                <w:color w:val="1A4A7A"/>
                <w:sz w:val="20"/>
                <w:szCs w:val="20"/>
              </w:rPr>
              <w:t xml:space="preserve">7</w:t>
            </w:r>
          </w:p>
        </w:tc>
        <w:tc>
          <w:tcPr>
            <w:tcW w:type="dxa" w:w="22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bCs/>
                <w:i w:val="false"/>
                <w:iCs w:val="false"/>
                <w:color w:val="1A1A2E"/>
                <w:sz w:val="20"/>
                <w:szCs w:val="20"/>
              </w:rPr>
              <w:t xml:space="preserve">Mempool validation</w:t>
            </w:r>
          </w:p>
        </w:tc>
        <w:tc>
          <w:tcPr>
            <w:tcW w:type="dxa" w:w="656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pPr>
              <w:jc w:val="both"/>
            </w:pPr>
            <w:r>
              <w:rPr>
                <w:rFonts w:ascii="Arial" w:cs="Arial" w:eastAsia="Arial" w:hAnsi="Arial"/>
                <w:b w:val="false"/>
                <w:bCs w:val="false"/>
                <w:i w:val="false"/>
                <w:iCs w:val="false"/>
                <w:color w:val="1A1A2E"/>
                <w:sz w:val="20"/>
                <w:szCs w:val="20"/>
              </w:rPr>
              <w:t xml:space="preserve">Receiving nodes perform pre-inclusion checks: signature validity, nonce correctness, sufficient balance, fee arithmetic, and — if kycRequired — KYC commitment format validity.</w:t>
            </w:r>
          </w:p>
        </w:tc>
      </w:tr>
      <w:tr>
        <w:tc>
          <w:tcPr>
            <w:tcW w:type="dxa" w:w="600"/>
            <w:tcBorders>
              <w:top w:val="single" w:color="C8D0DF" w:sz="1"/>
              <w:left w:val="single" w:color="C8D0DF" w:sz="1"/>
              <w:bottom w:val="single" w:color="C8D0DF" w:sz="1"/>
              <w:right w:val="single" w:color="C8D0DF" w:sz="1"/>
            </w:tcBorders>
            <w:shd w:fill="FFFFFF" w:val="clear"/>
            <w:tcMar>
              <w:top w:type="dxa" w:w="80"/>
              <w:left w:type="dxa" w:w="80"/>
              <w:bottom w:type="dxa" w:w="80"/>
              <w:right w:type="dxa" w:w="80"/>
            </w:tcMar>
            <w:vAlign w:val="center"/>
          </w:tcPr>
          <w:p>
            <w:pPr>
              <w:jc w:val="center"/>
            </w:pPr>
            <w:r>
              <w:rPr>
                <w:rFonts w:ascii="Arial" w:cs="Arial" w:eastAsia="Arial" w:hAnsi="Arial"/>
                <w:b/>
                <w:bCs/>
                <w:i w:val="false"/>
                <w:iCs w:val="false"/>
                <w:color w:val="1A4A7A"/>
                <w:sz w:val="20"/>
                <w:szCs w:val="20"/>
              </w:rPr>
              <w:t xml:space="preserve">8</w:t>
            </w:r>
          </w:p>
        </w:tc>
        <w:tc>
          <w:tcPr>
            <w:tcW w:type="dxa" w:w="22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bCs/>
                <w:i w:val="false"/>
                <w:iCs w:val="false"/>
                <w:color w:val="1A1A2E"/>
                <w:sz w:val="20"/>
                <w:szCs w:val="20"/>
              </w:rPr>
              <w:t xml:space="preserve">Block inclusion</w:t>
            </w:r>
          </w:p>
        </w:tc>
        <w:tc>
          <w:tcPr>
            <w:tcW w:type="dxa" w:w="65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pPr>
              <w:jc w:val="both"/>
            </w:pPr>
            <w:r>
              <w:rPr>
                <w:rFonts w:ascii="Arial" w:cs="Arial" w:eastAsia="Arial" w:hAnsi="Arial"/>
                <w:b w:val="false"/>
                <w:bCs w:val="false"/>
                <w:i w:val="false"/>
                <w:iCs w:val="false"/>
                <w:color w:val="1A1A2E"/>
                <w:sz w:val="20"/>
                <w:szCs w:val="20"/>
              </w:rPr>
              <w:t xml:space="preserve">A validator node includes the transaction in a block. The block-level validator contract verifies the KYC proof on-chain if present.</w:t>
            </w:r>
          </w:p>
        </w:tc>
      </w:tr>
      <w:tr>
        <w:tc>
          <w:tcPr>
            <w:tcW w:type="dxa" w:w="600"/>
            <w:tcBorders>
              <w:top w:val="single" w:color="C8D0DF" w:sz="1"/>
              <w:left w:val="single" w:color="C8D0DF" w:sz="1"/>
              <w:bottom w:val="single" w:color="C8D0DF" w:sz="1"/>
              <w:right w:val="single" w:color="C8D0DF" w:sz="1"/>
            </w:tcBorders>
            <w:shd w:fill="F5F6FA" w:val="clear"/>
            <w:tcMar>
              <w:top w:type="dxa" w:w="80"/>
              <w:left w:type="dxa" w:w="80"/>
              <w:bottom w:type="dxa" w:w="80"/>
              <w:right w:type="dxa" w:w="80"/>
            </w:tcMar>
            <w:vAlign w:val="center"/>
          </w:tcPr>
          <w:p>
            <w:pPr>
              <w:jc w:val="center"/>
            </w:pPr>
            <w:r>
              <w:rPr>
                <w:rFonts w:ascii="Arial" w:cs="Arial" w:eastAsia="Arial" w:hAnsi="Arial"/>
                <w:b/>
                <w:bCs/>
                <w:i w:val="false"/>
                <w:iCs w:val="false"/>
                <w:color w:val="1A4A7A"/>
                <w:sz w:val="20"/>
                <w:szCs w:val="20"/>
              </w:rPr>
              <w:t xml:space="preserve">9</w:t>
            </w:r>
          </w:p>
        </w:tc>
        <w:tc>
          <w:tcPr>
            <w:tcW w:type="dxa" w:w="22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bCs/>
                <w:i w:val="false"/>
                <w:iCs w:val="false"/>
                <w:color w:val="1A1A2E"/>
                <w:sz w:val="20"/>
                <w:szCs w:val="20"/>
              </w:rPr>
              <w:t xml:space="preserve">Fee routing</w:t>
            </w:r>
          </w:p>
        </w:tc>
        <w:tc>
          <w:tcPr>
            <w:tcW w:type="dxa" w:w="656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pPr>
              <w:jc w:val="both"/>
            </w:pPr>
            <w:r>
              <w:rPr>
                <w:rFonts w:ascii="Arial" w:cs="Arial" w:eastAsia="Arial" w:hAnsi="Arial"/>
                <w:b w:val="false"/>
                <w:bCs w:val="false"/>
                <w:i w:val="false"/>
                <w:iCs w:val="false"/>
                <w:color w:val="1A1A2E"/>
                <w:sz w:val="20"/>
                <w:szCs w:val="20"/>
              </w:rPr>
              <w:t xml:space="preserve">Post-execution, the fee splitter contract automatically routes the three fee components to their respective reserve addresses.</w:t>
            </w:r>
          </w:p>
        </w:tc>
      </w:tr>
      <w:tr>
        <w:tc>
          <w:tcPr>
            <w:tcW w:type="dxa" w:w="600"/>
            <w:tcBorders>
              <w:top w:val="single" w:color="C8D0DF" w:sz="1"/>
              <w:left w:val="single" w:color="C8D0DF" w:sz="1"/>
              <w:bottom w:val="single" w:color="C8D0DF" w:sz="1"/>
              <w:right w:val="single" w:color="C8D0DF" w:sz="1"/>
            </w:tcBorders>
            <w:shd w:fill="FFFFFF" w:val="clear"/>
            <w:tcMar>
              <w:top w:type="dxa" w:w="80"/>
              <w:left w:type="dxa" w:w="80"/>
              <w:bottom w:type="dxa" w:w="80"/>
              <w:right w:type="dxa" w:w="80"/>
            </w:tcMar>
            <w:vAlign w:val="center"/>
          </w:tcPr>
          <w:p>
            <w:pPr>
              <w:jc w:val="center"/>
            </w:pPr>
            <w:r>
              <w:rPr>
                <w:rFonts w:ascii="Arial" w:cs="Arial" w:eastAsia="Arial" w:hAnsi="Arial"/>
                <w:b/>
                <w:bCs/>
                <w:i w:val="false"/>
                <w:iCs w:val="false"/>
                <w:color w:val="1A4A7A"/>
                <w:sz w:val="20"/>
                <w:szCs w:val="20"/>
              </w:rPr>
              <w:t xml:space="preserve">10</w:t>
            </w:r>
          </w:p>
        </w:tc>
        <w:tc>
          <w:tcPr>
            <w:tcW w:type="dxa" w:w="22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bCs/>
                <w:i w:val="false"/>
                <w:iCs w:val="false"/>
                <w:color w:val="1A1A2E"/>
                <w:sz w:val="20"/>
                <w:szCs w:val="20"/>
              </w:rPr>
              <w:t xml:space="preserve">Finality</w:t>
            </w:r>
          </w:p>
        </w:tc>
        <w:tc>
          <w:tcPr>
            <w:tcW w:type="dxa" w:w="65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pPr>
              <w:jc w:val="both"/>
            </w:pPr>
            <w:r>
              <w:rPr>
                <w:rFonts w:ascii="Arial" w:cs="Arial" w:eastAsia="Arial" w:hAnsi="Arial"/>
                <w:b w:val="false"/>
                <w:bCs w:val="false"/>
                <w:i w:val="false"/>
                <w:iCs w:val="false"/>
                <w:color w:val="1A1A2E"/>
                <w:sz w:val="20"/>
                <w:szCs w:val="20"/>
              </w:rPr>
              <w:t xml:space="preserve">After the chain's finality threshold (2/3 validator confirmation for BFT chains), the transaction is considered irreversible. Both client wallets update their balance.</w:t>
            </w:r>
          </w:p>
        </w:tc>
      </w:tr>
    </w:tbl>
    <w:p>
      <w:pPr>
        <w:pStyle w:val="Heading1"/>
        <w:spacing w:before="480" w:after="120"/>
      </w:pPr>
      <w:r>
        <w:rPr>
          <w:rFonts w:ascii="Arial" w:cs="Arial" w:eastAsia="Arial" w:hAnsi="Arial"/>
          <w:b/>
          <w:bCs/>
          <w:i w:val="false"/>
          <w:iCs w:val="false"/>
          <w:color w:val="0D2137"/>
          <w:sz w:val="30"/>
          <w:szCs w:val="30"/>
        </w:rPr>
        <w:t xml:space="preserve">4. Node Validation Rules</w:t>
      </w:r>
    </w:p>
    <w:p>
      <w:pPr>
        <w:pBdr>
          <w:bottom w:val="single" w:color="B87333" w:sz="8" w:space="1"/>
        </w:pBdr>
        <w:spacing w:before="0" w:after="160"/>
      </w:pPr>
    </w:p>
    <w:p>
      <w:pPr>
        <w:spacing w:before="60" w:after="120"/>
        <w:jc w:val="both"/>
      </w:pPr>
      <w:r>
        <w:rPr>
          <w:rFonts w:ascii="Arial" w:cs="Arial" w:eastAsia="Arial" w:hAnsi="Arial"/>
          <w:b w:val="false"/>
          <w:bCs w:val="false"/>
          <w:i w:val="false"/>
          <w:iCs w:val="false"/>
          <w:color w:val="1A1A2E"/>
          <w:sz w:val="22"/>
          <w:szCs w:val="22"/>
        </w:rPr>
        <w:t xml:space="preserve">Every full node and validator in the PADU network must implement the following validation rules. Transactions failing any rule are rejected and not relayed. This is enforced at the protocol level — it is not optional for nodes that wish to remain in consensus.</w:t>
      </w:r>
    </w:p>
    <w:p>
      <w:pPr>
        <w:pStyle w:val="Heading2"/>
        <w:spacing w:before="320" w:after="80"/>
      </w:pPr>
      <w:r>
        <w:rPr>
          <w:rFonts w:ascii="Arial" w:cs="Arial" w:eastAsia="Arial" w:hAnsi="Arial"/>
          <w:b/>
          <w:bCs/>
          <w:i w:val="false"/>
          <w:iCs w:val="false"/>
          <w:color w:val="1A4A7A"/>
          <w:sz w:val="25"/>
          <w:szCs w:val="25"/>
        </w:rPr>
        <w:t xml:space="preserve">4.1 Universal Validation (All Transactions)</w:t>
      </w:r>
    </w:p>
    <w:p>
      <w:pPr>
        <w:pStyle w:val="ListParagraph"/>
        <w:numPr>
          <w:ilvl w:val="0"/>
          <w:numId w:val="3"/>
        </w:numPr>
        <w:spacing w:before="40" w:after="80"/>
      </w:pPr>
      <w:r>
        <w:rPr>
          <w:rFonts w:ascii="Arial" w:cs="Arial" w:eastAsia="Arial" w:hAnsi="Arial"/>
          <w:b w:val="false"/>
          <w:bCs w:val="false"/>
          <w:i w:val="false"/>
          <w:iCs w:val="false"/>
          <w:color w:val="1A1A2E"/>
          <w:sz w:val="22"/>
          <w:szCs w:val="22"/>
        </w:rPr>
        <w:t xml:space="preserve">Signature check: recover the signer address from the transaction signature. It must equal the from field. Reject if mismatch.</w:t>
      </w:r>
    </w:p>
    <w:p>
      <w:pPr>
        <w:pStyle w:val="ListParagraph"/>
        <w:numPr>
          <w:ilvl w:val="0"/>
          <w:numId w:val="3"/>
        </w:numPr>
        <w:spacing w:before="40" w:after="80"/>
      </w:pPr>
      <w:r>
        <w:rPr>
          <w:rFonts w:ascii="Arial" w:cs="Arial" w:eastAsia="Arial" w:hAnsi="Arial"/>
          <w:b w:val="false"/>
          <w:bCs w:val="false"/>
          <w:i w:val="false"/>
          <w:iCs w:val="false"/>
          <w:color w:val="1A1A2E"/>
          <w:sz w:val="22"/>
          <w:szCs w:val="22"/>
        </w:rPr>
        <w:t xml:space="preserve">Nonce check: transaction nonce must equal the sender's current on-chain nonce. Reject if incorrect.</w:t>
      </w:r>
    </w:p>
    <w:p>
      <w:pPr>
        <w:pStyle w:val="ListParagraph"/>
        <w:numPr>
          <w:ilvl w:val="0"/>
          <w:numId w:val="3"/>
        </w:numPr>
        <w:spacing w:before="40" w:after="80"/>
      </w:pPr>
      <w:r>
        <w:rPr>
          <w:rFonts w:ascii="Arial" w:cs="Arial" w:eastAsia="Arial" w:hAnsi="Arial"/>
          <w:b w:val="false"/>
          <w:bCs w:val="false"/>
          <w:i w:val="false"/>
          <w:iCs w:val="false"/>
          <w:color w:val="1A1A2E"/>
          <w:sz w:val="22"/>
          <w:szCs w:val="22"/>
        </w:rPr>
        <w:t xml:space="preserve">Balance check: sender balance must be ≥ value + fee_total. Reject if insufficient.</w:t>
      </w:r>
    </w:p>
    <w:p>
      <w:pPr>
        <w:pStyle w:val="ListParagraph"/>
        <w:numPr>
          <w:ilvl w:val="0"/>
          <w:numId w:val="3"/>
        </w:numPr>
        <w:spacing w:before="40" w:after="80"/>
      </w:pPr>
      <w:r>
        <w:rPr>
          <w:rFonts w:ascii="Arial" w:cs="Arial" w:eastAsia="Arial" w:hAnsi="Arial"/>
          <w:b w:val="false"/>
          <w:bCs w:val="false"/>
          <w:i w:val="false"/>
          <w:iCs w:val="false"/>
          <w:color w:val="1A1A2E"/>
          <w:sz w:val="22"/>
          <w:szCs w:val="22"/>
        </w:rPr>
        <w:t xml:space="preserve">Fee arithmetic check: fee_total must equal exactly floor(value × 15 / 1000). Each of the three sub-components must equal floor(fee_total / 3), with any rounding remainder added to the operational component. Reject if arithmetic is invalid.</w:t>
      </w:r>
    </w:p>
    <w:p>
      <w:pPr>
        <w:pStyle w:val="ListParagraph"/>
        <w:numPr>
          <w:ilvl w:val="0"/>
          <w:numId w:val="3"/>
        </w:numPr>
        <w:spacing w:before="40" w:after="80"/>
      </w:pPr>
      <w:r>
        <w:rPr>
          <w:rFonts w:ascii="Arial" w:cs="Arial" w:eastAsia="Arial" w:hAnsi="Arial"/>
          <w:b w:val="false"/>
          <w:bCs w:val="false"/>
          <w:i w:val="false"/>
          <w:iCs w:val="false"/>
          <w:color w:val="1A1A2E"/>
          <w:sz w:val="22"/>
          <w:szCs w:val="22"/>
        </w:rPr>
        <w:t xml:space="preserve">Chain ID check: transaction chain_id must match the network's registered chain ID. Reject if mismatch (cross-chain replay protection).</w:t>
      </w:r>
    </w:p>
    <w:p>
      <w:pPr>
        <w:pStyle w:val="ListParagraph"/>
        <w:numPr>
          <w:ilvl w:val="0"/>
          <w:numId w:val="3"/>
        </w:numPr>
        <w:spacing w:before="40" w:after="80"/>
      </w:pPr>
      <w:r>
        <w:rPr>
          <w:rFonts w:ascii="Arial" w:cs="Arial" w:eastAsia="Arial" w:hAnsi="Arial"/>
          <w:b w:val="false"/>
          <w:bCs w:val="false"/>
          <w:i w:val="false"/>
          <w:iCs w:val="false"/>
          <w:color w:val="1A1A2E"/>
          <w:sz w:val="22"/>
          <w:szCs w:val="22"/>
        </w:rPr>
        <w:t xml:space="preserve">Extension version check: extension.version must be a value supported by the current protocol version. Reject if unknown.</w:t>
      </w:r>
    </w:p>
    <w:p>
      <w:pPr>
        <w:pStyle w:val="Heading2"/>
        <w:spacing w:before="320" w:after="80"/>
      </w:pPr>
      <w:r>
        <w:rPr>
          <w:rFonts w:ascii="Arial" w:cs="Arial" w:eastAsia="Arial" w:hAnsi="Arial"/>
          <w:b/>
          <w:bCs/>
          <w:i w:val="false"/>
          <w:iCs w:val="false"/>
          <w:color w:val="1A4A7A"/>
          <w:sz w:val="25"/>
          <w:szCs w:val="25"/>
        </w:rPr>
        <w:t xml:space="preserve">4.2 KYC Threshold Validation (High-Value Transactions)</w:t>
      </w:r>
    </w:p>
    <w:p>
      <w:pPr>
        <w:spacing w:before="60" w:after="120"/>
        <w:jc w:val="both"/>
      </w:pPr>
      <w:r>
        <w:rPr>
          <w:rFonts w:ascii="Arial" w:cs="Arial" w:eastAsia="Arial" w:hAnsi="Arial"/>
          <w:b w:val="false"/>
          <w:bCs w:val="false"/>
          <w:i w:val="false"/>
          <w:iCs w:val="false"/>
          <w:color w:val="1A1A2E"/>
          <w:sz w:val="22"/>
          <w:szCs w:val="22"/>
        </w:rPr>
        <w:t xml:space="preserve">These checks apply when and only when extension.kycRequired is true, OR when value ≥ KYC Floor (nodes re-derive this independently and do not trust the client flag).</w:t>
      </w:r>
    </w:p>
    <w:p>
      <w:pPr>
        <w:spacing w:before="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1A1A" w:sz="1"/>
              <w:left w:val="single" w:color="7A1A1A" w:sz="16"/>
              <w:bottom w:val="single" w:color="7A1A1A" w:sz="1"/>
              <w:right w:val="single" w:color="C8D0DF" w:sz="1"/>
            </w:tcBorders>
            <w:shd w:fill="FFF0F0" w:val="clear"/>
            <w:tcMar>
              <w:top w:type="dxa" w:w="100"/>
              <w:left w:type="dxa" w:w="200"/>
              <w:bottom w:type="dxa" w:w="100"/>
              <w:right w:type="dxa" w:w="200"/>
            </w:tcMar>
          </w:tcPr>
          <w:p>
            <w:pPr>
              <w:spacing w:before="0" w:after="60"/>
            </w:pPr>
            <w:r>
              <w:rPr>
                <w:rFonts w:ascii="Arial" w:cs="Arial" w:eastAsia="Arial" w:hAnsi="Arial"/>
                <w:b/>
                <w:bCs/>
                <w:i w:val="false"/>
                <w:iCs w:val="false"/>
                <w:color w:val="7A1A1A"/>
                <w:sz w:val="20"/>
                <w:szCs w:val="20"/>
              </w:rPr>
              <w:t xml:space="preserve">CRITICAL</w:t>
            </w:r>
          </w:p>
          <w:p>
            <w:pPr>
              <w:spacing w:before="0" w:after="0"/>
              <w:jc w:val="both"/>
            </w:pPr>
            <w:r>
              <w:rPr>
                <w:rFonts w:ascii="Arial" w:cs="Arial" w:eastAsia="Arial" w:hAnsi="Arial"/>
                <w:b w:val="false"/>
                <w:bCs w:val="false"/>
                <w:i w:val="false"/>
                <w:iCs w:val="false"/>
                <w:color w:val="1A1A2E"/>
                <w:sz w:val="20"/>
                <w:szCs w:val="20"/>
              </w:rPr>
              <w:t xml:space="preserve">A node must independently check whether the transaction value meets or exceeds the KYC Floor — it must not rely solely on the client-supplied kycRequired flag. A malicious client could set kycRequired = false on a high-value transaction to evade verification.</w:t>
            </w:r>
          </w:p>
        </w:tc>
      </w:tr>
    </w:tbl>
    <w:p>
      <w:pPr>
        <w:spacing w:before="0" w:after="80"/>
      </w:pPr>
    </w:p>
    <w:p>
      <w:pPr>
        <w:pStyle w:val="ListParagraph"/>
        <w:numPr>
          <w:ilvl w:val="0"/>
          <w:numId w:val="3"/>
        </w:numPr>
        <w:spacing w:before="40" w:after="80"/>
      </w:pPr>
      <w:r>
        <w:rPr>
          <w:rFonts w:ascii="Arial" w:cs="Arial" w:eastAsia="Arial" w:hAnsi="Arial"/>
          <w:b w:val="false"/>
          <w:bCs w:val="false"/>
          <w:i w:val="false"/>
          <w:iCs w:val="false"/>
          <w:color w:val="1A1A2E"/>
          <w:sz w:val="22"/>
          <w:szCs w:val="22"/>
        </w:rPr>
        <w:t xml:space="preserve">KYC Floor check: query the KYC Floor Registry contract at the designated address. Compare transaction value to current floor. If value ≥ floor and kycRequired = false, reject with code KYC_REQUIRED.</w:t>
      </w:r>
    </w:p>
    <w:p>
      <w:pPr>
        <w:pStyle w:val="ListParagraph"/>
        <w:numPr>
          <w:ilvl w:val="0"/>
          <w:numId w:val="3"/>
        </w:numPr>
        <w:spacing w:before="40" w:after="80"/>
      </w:pPr>
      <w:r>
        <w:rPr>
          <w:rFonts w:ascii="Arial" w:cs="Arial" w:eastAsia="Arial" w:hAnsi="Arial"/>
          <w:b w:val="false"/>
          <w:bCs w:val="false"/>
          <w:i w:val="false"/>
          <w:iCs w:val="false"/>
          <w:color w:val="1A1A2E"/>
          <w:sz w:val="22"/>
          <w:szCs w:val="22"/>
        </w:rPr>
        <w:t xml:space="preserve">Verifier accreditation: the kyc.verifierAddress must appear in the Accredited Verifier Registry contract. Reject if not found or if the verifier's accreditation is expired or revoked.</w:t>
      </w:r>
    </w:p>
    <w:p>
      <w:pPr>
        <w:pStyle w:val="ListParagraph"/>
        <w:numPr>
          <w:ilvl w:val="0"/>
          <w:numId w:val="3"/>
        </w:numPr>
        <w:spacing w:before="40" w:after="80"/>
      </w:pPr>
      <w:r>
        <w:rPr>
          <w:rFonts w:ascii="Arial" w:cs="Arial" w:eastAsia="Arial" w:hAnsi="Arial"/>
          <w:b w:val="false"/>
          <w:bCs w:val="false"/>
          <w:i w:val="false"/>
          <w:iCs w:val="false"/>
          <w:color w:val="1A1A2E"/>
          <w:sz w:val="22"/>
          <w:szCs w:val="22"/>
        </w:rPr>
        <w:t xml:space="preserve">Proof expiry: kyc.expiresAt must be in the future (≥ current block timestamp). Reject with KYC_PROOF_EXPIRED if stale.</w:t>
      </w:r>
    </w:p>
    <w:p>
      <w:pPr>
        <w:pStyle w:val="ListParagraph"/>
        <w:numPr>
          <w:ilvl w:val="0"/>
          <w:numId w:val="3"/>
        </w:numPr>
        <w:spacing w:before="40" w:after="80"/>
      </w:pPr>
      <w:r>
        <w:rPr>
          <w:rFonts w:ascii="Arial" w:cs="Arial" w:eastAsia="Arial" w:hAnsi="Arial"/>
          <w:b w:val="false"/>
          <w:bCs w:val="false"/>
          <w:i w:val="false"/>
          <w:iCs w:val="false"/>
          <w:color w:val="1A1A2E"/>
          <w:sz w:val="22"/>
          <w:szCs w:val="22"/>
        </w:rPr>
        <w:t xml:space="preserve">Proof hash integrity: recompute keccak256(kyc.zkProofBlob). It must equal kyc.proofHash. Reject if mismatch.</w:t>
      </w:r>
    </w:p>
    <w:p>
      <w:pPr>
        <w:pStyle w:val="ListParagraph"/>
        <w:numPr>
          <w:ilvl w:val="0"/>
          <w:numId w:val="3"/>
        </w:numPr>
        <w:spacing w:before="40" w:after="80"/>
      </w:pPr>
      <w:r>
        <w:rPr>
          <w:rFonts w:ascii="Arial" w:cs="Arial" w:eastAsia="Arial" w:hAnsi="Arial"/>
          <w:b w:val="false"/>
          <w:bCs w:val="false"/>
          <w:i w:val="false"/>
          <w:iCs w:val="false"/>
          <w:color w:val="1A1A2E"/>
          <w:sz w:val="22"/>
          <w:szCs w:val="22"/>
        </w:rPr>
        <w:t xml:space="preserve">ZK proof verification: execute the proof verifier circuit corresponding to kyc.tierLevel. The proof must verify against the verifier's public inputs. Reject if proof is invalid.</w:t>
      </w:r>
    </w:p>
    <w:p>
      <w:pPr>
        <w:pStyle w:val="ListParagraph"/>
        <w:numPr>
          <w:ilvl w:val="0"/>
          <w:numId w:val="3"/>
        </w:numPr>
        <w:spacing w:before="40" w:after="80"/>
      </w:pPr>
      <w:r>
        <w:rPr>
          <w:rFonts w:ascii="Arial" w:cs="Arial" w:eastAsia="Arial" w:hAnsi="Arial"/>
          <w:b w:val="false"/>
          <w:bCs w:val="false"/>
          <w:i w:val="false"/>
          <w:iCs w:val="false"/>
          <w:color w:val="1A1A2E"/>
          <w:sz w:val="22"/>
          <w:szCs w:val="22"/>
        </w:rPr>
        <w:t xml:space="preserve">Tier sufficiency: the kyc.tierLevel must meet the minimum tier required for the transaction value range (see Section 5.3). Reject if tier is insufficient.</w:t>
      </w:r>
    </w:p>
    <w:p>
      <w:pPr>
        <w:pStyle w:val="Heading1"/>
        <w:spacing w:before="480" w:after="120"/>
      </w:pPr>
      <w:r>
        <w:rPr>
          <w:rFonts w:ascii="Arial" w:cs="Arial" w:eastAsia="Arial" w:hAnsi="Arial"/>
          <w:b/>
          <w:bCs/>
          <w:i w:val="false"/>
          <w:iCs w:val="false"/>
          <w:color w:val="0D2137"/>
          <w:sz w:val="30"/>
          <w:szCs w:val="30"/>
        </w:rPr>
        <w:t xml:space="preserve">5. Tiered Identity Verification Framework</w:t>
      </w:r>
    </w:p>
    <w:p>
      <w:pPr>
        <w:pBdr>
          <w:bottom w:val="single" w:color="B87333" w:sz="8" w:space="1"/>
        </w:pBdr>
        <w:spacing w:before="0" w:after="160"/>
      </w:pPr>
    </w:p>
    <w:p>
      <w:pPr>
        <w:spacing w:before="60" w:after="120"/>
        <w:jc w:val="both"/>
      </w:pPr>
      <w:r>
        <w:rPr>
          <w:rFonts w:ascii="Arial" w:cs="Arial" w:eastAsia="Arial" w:hAnsi="Arial"/>
          <w:b w:val="false"/>
          <w:bCs w:val="false"/>
          <w:i w:val="false"/>
          <w:iCs w:val="false"/>
          <w:color w:val="1A1A2E"/>
          <w:sz w:val="22"/>
          <w:szCs w:val="22"/>
        </w:rPr>
        <w:t xml:space="preserve">The PADU identity framework is built on the principle of minimum necessary disclosure. Users provide the minimum identity information required for their transaction category, and that information is processed by an accredited, off-chain verifier that issues a zero-knowledge proof. The proof — not the raw identity data — is what goes on-chain.</w:t>
      </w:r>
    </w:p>
    <w:p>
      <w:pPr>
        <w:pStyle w:val="Heading2"/>
        <w:spacing w:before="320" w:after="80"/>
      </w:pPr>
      <w:r>
        <w:rPr>
          <w:rFonts w:ascii="Arial" w:cs="Arial" w:eastAsia="Arial" w:hAnsi="Arial"/>
          <w:b/>
          <w:bCs/>
          <w:i w:val="false"/>
          <w:iCs w:val="false"/>
          <w:color w:val="1A4A7A"/>
          <w:sz w:val="25"/>
          <w:szCs w:val="25"/>
        </w:rPr>
        <w:t xml:space="preserve">5.1 Identity Tiers</w:t>
      </w:r>
    </w:p>
    <w:p>
      <w:pPr>
        <w:spacing w:before="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2200"/>
        <w:gridCol w:w="4160"/>
      </w:tblGrid>
      <w:tr>
        <w:tc>
          <w:tcPr>
            <w:tcW w:type="dxa" w:w="1200"/>
            <w:tcBorders>
              <w:top w:val="single" w:color="C8D0DF" w:sz="1"/>
              <w:left w:val="single" w:color="C8D0DF" w:sz="1"/>
              <w:bottom w:val="single" w:color="C8D0DF" w:sz="1"/>
              <w:right w:val="single" w:color="C8D0DF" w:sz="1"/>
            </w:tcBorders>
            <w:shd w:fill="0D2137" w:val="clear"/>
            <w:tcMar>
              <w:top w:type="dxa" w:w="80"/>
              <w:left w:type="dxa" w:w="140"/>
              <w:bottom w:type="dxa" w:w="80"/>
              <w:right w:type="dxa" w:w="140"/>
            </w:tcMar>
          </w:tcPr>
          <w:p>
            <w:r>
              <w:rPr>
                <w:rFonts w:ascii="Arial" w:cs="Arial" w:eastAsia="Arial" w:hAnsi="Arial"/>
                <w:b/>
                <w:bCs/>
                <w:i w:val="false"/>
                <w:iCs w:val="false"/>
                <w:color w:val="FFFFFF"/>
                <w:sz w:val="20"/>
                <w:szCs w:val="20"/>
              </w:rPr>
              <w:t xml:space="preserve">Tier</w:t>
            </w:r>
          </w:p>
        </w:tc>
        <w:tc>
          <w:tcPr>
            <w:tcW w:type="dxa" w:w="1800"/>
            <w:tcBorders>
              <w:top w:val="single" w:color="C8D0DF" w:sz="1"/>
              <w:left w:val="single" w:color="C8D0DF" w:sz="1"/>
              <w:bottom w:val="single" w:color="C8D0DF" w:sz="1"/>
              <w:right w:val="single" w:color="C8D0DF" w:sz="1"/>
            </w:tcBorders>
            <w:shd w:fill="0D2137" w:val="clear"/>
            <w:tcMar>
              <w:top w:type="dxa" w:w="80"/>
              <w:left w:type="dxa" w:w="140"/>
              <w:bottom w:type="dxa" w:w="80"/>
              <w:right w:type="dxa" w:w="140"/>
            </w:tcMar>
          </w:tcPr>
          <w:p>
            <w:r>
              <w:rPr>
                <w:rFonts w:ascii="Arial" w:cs="Arial" w:eastAsia="Arial" w:hAnsi="Arial"/>
                <w:b/>
                <w:bCs/>
                <w:i w:val="false"/>
                <w:iCs w:val="false"/>
                <w:color w:val="FFFFFF"/>
                <w:sz w:val="20"/>
                <w:szCs w:val="20"/>
              </w:rPr>
              <w:t xml:space="preserve">Name</w:t>
            </w:r>
          </w:p>
        </w:tc>
        <w:tc>
          <w:tcPr>
            <w:tcW w:type="dxa" w:w="2200"/>
            <w:tcBorders>
              <w:top w:val="single" w:color="C8D0DF" w:sz="1"/>
              <w:left w:val="single" w:color="C8D0DF" w:sz="1"/>
              <w:bottom w:val="single" w:color="C8D0DF" w:sz="1"/>
              <w:right w:val="single" w:color="C8D0DF" w:sz="1"/>
            </w:tcBorders>
            <w:shd w:fill="0D2137" w:val="clear"/>
            <w:tcMar>
              <w:top w:type="dxa" w:w="80"/>
              <w:left w:type="dxa" w:w="140"/>
              <w:bottom w:type="dxa" w:w="80"/>
              <w:right w:type="dxa" w:w="140"/>
            </w:tcMar>
          </w:tcPr>
          <w:p>
            <w:r>
              <w:rPr>
                <w:rFonts w:ascii="Arial" w:cs="Arial" w:eastAsia="Arial" w:hAnsi="Arial"/>
                <w:b/>
                <w:bCs/>
                <w:i w:val="false"/>
                <w:iCs w:val="false"/>
                <w:color w:val="FFFFFF"/>
                <w:sz w:val="20"/>
                <w:szCs w:val="20"/>
              </w:rPr>
              <w:t xml:space="preserve">Threshold</w:t>
            </w:r>
          </w:p>
        </w:tc>
        <w:tc>
          <w:tcPr>
            <w:tcW w:type="dxa" w:w="4160"/>
            <w:tcBorders>
              <w:top w:val="single" w:color="C8D0DF" w:sz="1"/>
              <w:left w:val="single" w:color="C8D0DF" w:sz="1"/>
              <w:bottom w:val="single" w:color="C8D0DF" w:sz="1"/>
              <w:right w:val="single" w:color="C8D0DF" w:sz="1"/>
            </w:tcBorders>
            <w:shd w:fill="0D2137" w:val="clear"/>
            <w:tcMar>
              <w:top w:type="dxa" w:w="80"/>
              <w:left w:type="dxa" w:w="140"/>
              <w:bottom w:type="dxa" w:w="80"/>
              <w:right w:type="dxa" w:w="140"/>
            </w:tcMar>
          </w:tcPr>
          <w:p>
            <w:r>
              <w:rPr>
                <w:rFonts w:ascii="Arial" w:cs="Arial" w:eastAsia="Arial" w:hAnsi="Arial"/>
                <w:b/>
                <w:bCs/>
                <w:i w:val="false"/>
                <w:iCs w:val="false"/>
                <w:color w:val="FFFFFF"/>
                <w:sz w:val="20"/>
                <w:szCs w:val="20"/>
              </w:rPr>
              <w:t xml:space="preserve">Requirements</w:t>
            </w:r>
          </w:p>
        </w:tc>
      </w:tr>
      <w:tr>
        <w:tc>
          <w:tcPr>
            <w:tcW w:type="dxa" w:w="12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Tier 0</w:t>
            </w:r>
          </w:p>
        </w:tc>
        <w:tc>
          <w:tcPr>
            <w:tcW w:type="dxa" w:w="18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Pseudonymous</w:t>
            </w:r>
          </w:p>
        </w:tc>
        <w:tc>
          <w:tcPr>
            <w:tcW w:type="dxa" w:w="22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&lt; KYC Floor</w:t>
            </w:r>
          </w:p>
        </w:tc>
        <w:tc>
          <w:tcPr>
            <w:tcW w:type="dxa" w:w="41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No identity information required. Wallet address only.</w:t>
            </w:r>
          </w:p>
        </w:tc>
      </w:tr>
      <w:tr>
        <w:tc>
          <w:tcPr>
            <w:tcW w:type="dxa" w:w="12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Tier 1</w:t>
            </w:r>
          </w:p>
        </w:tc>
        <w:tc>
          <w:tcPr>
            <w:tcW w:type="dxa" w:w="18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Basic Verified</w:t>
            </w:r>
          </w:p>
        </w:tc>
        <w:tc>
          <w:tcPr>
            <w:tcW w:type="dxa" w:w="22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 KYC Floor, &lt; 10× Floor</w:t>
            </w:r>
          </w:p>
        </w:tc>
        <w:tc>
          <w:tcPr>
            <w:tcW w:type="dxa" w:w="416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Phone number verification OR national ID hash (no data on-chain). Proof: age ≥ 18, jurisdiction residency flag.</w:t>
            </w:r>
          </w:p>
        </w:tc>
      </w:tr>
      <w:tr>
        <w:tc>
          <w:tcPr>
            <w:tcW w:type="dxa" w:w="12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Tier 2</w:t>
            </w:r>
          </w:p>
        </w:tc>
        <w:tc>
          <w:tcPr>
            <w:tcW w:type="dxa" w:w="18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Full KYC</w:t>
            </w:r>
          </w:p>
        </w:tc>
        <w:tc>
          <w:tcPr>
            <w:tcW w:type="dxa" w:w="22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 10× KYC Floor</w:t>
            </w:r>
          </w:p>
        </w:tc>
        <w:tc>
          <w:tcPr>
            <w:tcW w:type="dxa" w:w="41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Government-issued ID + liveness check via accredited verifier. Proof: full AML/KYC compliance status, no raw data on-chain.</w:t>
            </w:r>
          </w:p>
        </w:tc>
      </w:tr>
      <w:tr>
        <w:tc>
          <w:tcPr>
            <w:tcW w:type="dxa" w:w="12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Tier 3</w:t>
            </w:r>
          </w:p>
        </w:tc>
        <w:tc>
          <w:tcPr>
            <w:tcW w:type="dxa" w:w="18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Corporate</w:t>
            </w:r>
          </w:p>
        </w:tc>
        <w:tc>
          <w:tcPr>
            <w:tcW w:type="dxa" w:w="22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Any corporate wallet</w:t>
            </w:r>
          </w:p>
        </w:tc>
        <w:tc>
          <w:tcPr>
            <w:tcW w:type="dxa" w:w="416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Business registration, beneficial ownership declaration, local regulatory compliance. Proof: corporate compliance certificate hash.</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4A7A" w:sz="1"/>
              <w:left w:val="single" w:color="1A4A7A" w:sz="16"/>
              <w:bottom w:val="single" w:color="1A4A7A" w:sz="1"/>
              <w:right w:val="single" w:color="C8D0DF" w:sz="1"/>
            </w:tcBorders>
            <w:shd w:fill="F0F4FF" w:val="clear"/>
            <w:tcMar>
              <w:top w:type="dxa" w:w="100"/>
              <w:left w:type="dxa" w:w="200"/>
              <w:bottom w:type="dxa" w:w="100"/>
              <w:right w:type="dxa" w:w="200"/>
            </w:tcMar>
          </w:tcPr>
          <w:p>
            <w:pPr>
              <w:spacing w:before="0" w:after="60"/>
            </w:pPr>
            <w:r>
              <w:rPr>
                <w:rFonts w:ascii="Arial" w:cs="Arial" w:eastAsia="Arial" w:hAnsi="Arial"/>
                <w:b/>
                <w:bCs/>
                <w:i w:val="false"/>
                <w:iCs w:val="false"/>
                <w:color w:val="1A4A7A"/>
                <w:sz w:val="20"/>
                <w:szCs w:val="20"/>
              </w:rPr>
              <w:t xml:space="preserve">NOTE ON KYC FLOOR</w:t>
            </w:r>
          </w:p>
          <w:p>
            <w:pPr>
              <w:spacing w:before="0" w:after="0"/>
              <w:jc w:val="both"/>
            </w:pPr>
            <w:r>
              <w:rPr>
                <w:rFonts w:ascii="Arial" w:cs="Arial" w:eastAsia="Arial" w:hAnsi="Arial"/>
                <w:b w:val="false"/>
                <w:bCs w:val="false"/>
                <w:i w:val="false"/>
                <w:iCs w:val="false"/>
                <w:color w:val="1A1A2E"/>
                <w:sz w:val="20"/>
                <w:szCs w:val="20"/>
              </w:rPr>
              <w:t xml:space="preserve">The KYC Floor is a governance parameter — it is not hardcoded. It is stored in the KYC Floor Registry contract and may only be changed by a Protocol Chamber vote. The reference value during Phase 1 pilot is 500 PADU (approximately 500 EUR equivalent at peg). This value will be revised before mainnet launch.</w:t>
            </w:r>
          </w:p>
        </w:tc>
      </w:tr>
    </w:tbl>
    <w:p>
      <w:pPr>
        <w:pStyle w:val="Heading2"/>
        <w:spacing w:before="320" w:after="80"/>
      </w:pPr>
      <w:r>
        <w:rPr>
          <w:rFonts w:ascii="Arial" w:cs="Arial" w:eastAsia="Arial" w:hAnsi="Arial"/>
          <w:b/>
          <w:bCs/>
          <w:i w:val="false"/>
          <w:iCs w:val="false"/>
          <w:color w:val="1A4A7A"/>
          <w:sz w:val="25"/>
          <w:szCs w:val="25"/>
        </w:rPr>
        <w:t xml:space="preserve">5.2 Zero-Knowledge Proof Architecture</w:t>
      </w:r>
    </w:p>
    <w:p>
      <w:pPr>
        <w:spacing w:before="60" w:after="120"/>
        <w:jc w:val="both"/>
      </w:pPr>
      <w:r>
        <w:rPr>
          <w:rFonts w:ascii="Arial" w:cs="Arial" w:eastAsia="Arial" w:hAnsi="Arial"/>
          <w:b w:val="false"/>
          <w:bCs w:val="false"/>
          <w:i w:val="false"/>
          <w:iCs w:val="false"/>
          <w:color w:val="1A1A2E"/>
          <w:sz w:val="22"/>
          <w:szCs w:val="22"/>
        </w:rPr>
        <w:t xml:space="preserve">PADU uses a Groth16 zk-SNARK proof system for KYC commitments. The circuit is compiled and deployed by the Protocol Chamber; accredited verifiers run the prover off-chain and submit proofs on behalf of users. The verifier contract on-chain holds the compiled verification key and executes verification during transaction inclusion.</w:t>
      </w:r>
    </w:p>
    <w:p>
      <w:pPr>
        <w:pStyle w:val="Heading3"/>
        <w:spacing w:before="240" w:after="60"/>
      </w:pPr>
      <w:r>
        <w:rPr>
          <w:rFonts w:ascii="Arial" w:cs="Arial" w:eastAsia="Arial" w:hAnsi="Arial"/>
          <w:b/>
          <w:bCs/>
          <w:i w:val="false"/>
          <w:iCs w:val="false"/>
          <w:color w:val="1A7A4A"/>
          <w:sz w:val="22"/>
          <w:szCs w:val="22"/>
        </w:rPr>
        <w:t xml:space="preserve">5.2.1 What the Proof Attests (Tier 1)</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The prover (KYC oracle) has verified the user's identity document.</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The user's age is ≥ 18 years.</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The user's country of residence is in one of the allowed jurisdictions.</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The user is not on any of the Protocol Chamber's disqualification lists (AML watchlists, sanctions).</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All of the above is true without revealing any specific personal data on-chain.</w:t>
      </w:r>
    </w:p>
    <w:p>
      <w:pPr>
        <w:pStyle w:val="Heading3"/>
        <w:spacing w:before="240" w:after="60"/>
      </w:pPr>
      <w:r>
        <w:rPr>
          <w:rFonts w:ascii="Arial" w:cs="Arial" w:eastAsia="Arial" w:hAnsi="Arial"/>
          <w:b/>
          <w:bCs/>
          <w:i w:val="false"/>
          <w:iCs w:val="false"/>
          <w:color w:val="1A7A4A"/>
          <w:sz w:val="22"/>
          <w:szCs w:val="22"/>
        </w:rPr>
        <w:t xml:space="preserve">5.2.2 Proof Issuance Flow</w:t>
      </w:r>
    </w:p>
    <w:p>
      <w:pPr>
        <w:spacing w:before="0" w:after="60"/>
      </w:pPr>
    </w:p>
    <w:tbl>
      <w:tblPr>
        <w:tblW w:type="dxa" w:w="9360"/>
        <w:tblBorders>
          <w:top w:val="single" w:color="C8D0DF" w:sz="1"/>
          <w:left w:val="single" w:color="1A4A7A" w:sz="1"/>
          <w:bottom w:val="single" w:color="C8D0DF" w:sz="1"/>
          <w:right w:val="single" w:color="C8D0DF" w:sz="1"/>
          <w:insideH w:val="single" w:color="auto" w:sz="4"/>
          <w:insideV w:val="single" w:color="auto" w:sz="4"/>
        </w:tblBorders>
      </w:tblPr>
      <w:tblGrid>
        <w:gridCol w:w="9360"/>
      </w:tblGrid>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KYC Proof Request — wallet client to KYC oracle API</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POST /v1/proof/request</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Authorization: Bearer &lt;signed_wallet_challenge&gt;</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Content-Type: application/json</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"walletAddress": "PADU:0x7Fc9A3B2E1D4...",</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"tierRequested":  1,</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"documentType":   "NATIONAL_ID | PASSPORT | RESIDENCE_PERMIT",</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"sessionToken":   "&lt;liveness_session_id from verifier SDK&gt;"</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Response from KYC oracle</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"status":          "APPROVED",</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"tierGranted":     1,</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"verifierAddress": "0xAccredited...",</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"issuedAt":        1741824000,</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"expiresAt":       1773360000,   // 1 year validity</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"zkProofBlob":     "&lt;base64-encoded Groth16 proof&gt;",</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"proofHash":       "0xabc123..."</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w:t>
            </w:r>
          </w:p>
        </w:tc>
      </w:tr>
    </w:tbl>
    <w:p>
      <w:pPr>
        <w:pStyle w:val="Heading3"/>
        <w:spacing w:before="240" w:after="60"/>
      </w:pPr>
      <w:r>
        <w:rPr>
          <w:rFonts w:ascii="Arial" w:cs="Arial" w:eastAsia="Arial" w:hAnsi="Arial"/>
          <w:b/>
          <w:bCs/>
          <w:i w:val="false"/>
          <w:iCs w:val="false"/>
          <w:color w:val="1A7A4A"/>
          <w:sz w:val="22"/>
          <w:szCs w:val="22"/>
        </w:rPr>
        <w:t xml:space="preserve">5.2.3 Identity Data Handling by KYC Oracle</w:t>
      </w:r>
    </w:p>
    <w:p>
      <w:pPr>
        <w:spacing w:before="60" w:after="120"/>
        <w:jc w:val="both"/>
      </w:pPr>
      <w:r>
        <w:rPr>
          <w:rFonts w:ascii="Arial" w:cs="Arial" w:eastAsia="Arial" w:hAnsi="Arial"/>
          <w:b w:val="false"/>
          <w:bCs w:val="false"/>
          <w:i w:val="false"/>
          <w:iCs w:val="false"/>
          <w:color w:val="1A1A2E"/>
          <w:sz w:val="22"/>
          <w:szCs w:val="22"/>
        </w:rPr>
        <w:t xml:space="preserve">The KYC oracle is an accredited off-chain service. The following rules are mandatory for accreditation and are audited by the Protocol Chamber annually:</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Raw identity documents must be deleted from oracle storage within 24 hours of proof issuance.</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The oracle retains only: wallet address, tier granted, proof hash, and issuance/expiry timestamps.</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Oracle data retention records are subject to annual third-party audit.</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Oracles must be domiciled in a jurisdiction with data protection laws compatible with the standards set by the Protocol Chamber. Initial approved jurisdictions: EU (GDPR), South Africa (POPIA), Kenya (Data Protection Act 2019).</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All oracle communications use TLS 1.3 minimum. API access requires wallet challenge-response authentication.</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Multiple competing oracles are accredited. The user may choose their preferred oracle. This prevents any single oracle from becoming a systemic dependency.</w:t>
      </w:r>
    </w:p>
    <w:p>
      <w:pPr>
        <w:pStyle w:val="Heading2"/>
        <w:spacing w:before="320" w:after="80"/>
      </w:pPr>
      <w:r>
        <w:rPr>
          <w:rFonts w:ascii="Arial" w:cs="Arial" w:eastAsia="Arial" w:hAnsi="Arial"/>
          <w:b/>
          <w:bCs/>
          <w:i w:val="false"/>
          <w:iCs w:val="false"/>
          <w:color w:val="1A4A7A"/>
          <w:sz w:val="25"/>
          <w:szCs w:val="25"/>
        </w:rPr>
        <w:t xml:space="preserve">5.3 Tier Sufficiency Matrix</w:t>
      </w:r>
    </w:p>
    <w:p>
      <w:pPr>
        <w:spacing w:before="60" w:after="120"/>
        <w:jc w:val="both"/>
      </w:pPr>
      <w:r>
        <w:rPr>
          <w:rFonts w:ascii="Arial" w:cs="Arial" w:eastAsia="Arial" w:hAnsi="Arial"/>
          <w:b w:val="false"/>
          <w:bCs w:val="false"/>
          <w:i w:val="false"/>
          <w:iCs w:val="false"/>
          <w:color w:val="1A1A2E"/>
          <w:sz w:val="22"/>
          <w:szCs w:val="22"/>
        </w:rPr>
        <w:t xml:space="preserve">The following matrix defines the minimum tier required for transactions in each value range. Both the KYC Floor and the multipliers are governance parameters; the matrix below reflects Phase 1 proposed defaults.</w:t>
      </w:r>
    </w:p>
    <w:p>
      <w:pPr>
        <w:spacing w:before="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400"/>
        <w:gridCol w:w="2000"/>
        <w:gridCol w:w="3260"/>
      </w:tblGrid>
      <w:tr>
        <w:tc>
          <w:tcPr>
            <w:tcW w:type="dxa" w:w="2700"/>
            <w:tcBorders>
              <w:top w:val="single" w:color="C8D0DF" w:sz="1"/>
              <w:left w:val="single" w:color="C8D0DF" w:sz="1"/>
              <w:bottom w:val="single" w:color="C8D0DF" w:sz="1"/>
              <w:right w:val="single" w:color="C8D0DF" w:sz="1"/>
            </w:tcBorders>
            <w:shd w:fill="0D2137" w:val="clear"/>
            <w:tcMar>
              <w:top w:type="dxa" w:w="80"/>
              <w:left w:type="dxa" w:w="140"/>
              <w:bottom w:type="dxa" w:w="80"/>
              <w:right w:type="dxa" w:w="140"/>
            </w:tcMar>
          </w:tcPr>
          <w:p>
            <w:r>
              <w:rPr>
                <w:rFonts w:ascii="Arial" w:cs="Arial" w:eastAsia="Arial" w:hAnsi="Arial"/>
                <w:b/>
                <w:bCs/>
                <w:i w:val="false"/>
                <w:iCs w:val="false"/>
                <w:color w:val="FFFFFF"/>
                <w:sz w:val="20"/>
                <w:szCs w:val="20"/>
              </w:rPr>
              <w:t xml:space="preserve">Value Range</w:t>
            </w:r>
          </w:p>
        </w:tc>
        <w:tc>
          <w:tcPr>
            <w:tcW w:type="dxa" w:w="1400"/>
            <w:tcBorders>
              <w:top w:val="single" w:color="C8D0DF" w:sz="1"/>
              <w:left w:val="single" w:color="C8D0DF" w:sz="1"/>
              <w:bottom w:val="single" w:color="C8D0DF" w:sz="1"/>
              <w:right w:val="single" w:color="C8D0DF" w:sz="1"/>
            </w:tcBorders>
            <w:shd w:fill="0D2137" w:val="clear"/>
            <w:tcMar>
              <w:top w:type="dxa" w:w="80"/>
              <w:left w:type="dxa" w:w="140"/>
              <w:bottom w:type="dxa" w:w="80"/>
              <w:right w:type="dxa" w:w="140"/>
            </w:tcMar>
          </w:tcPr>
          <w:p>
            <w:r>
              <w:rPr>
                <w:rFonts w:ascii="Arial" w:cs="Arial" w:eastAsia="Arial" w:hAnsi="Arial"/>
                <w:b/>
                <w:bCs/>
                <w:i w:val="false"/>
                <w:iCs w:val="false"/>
                <w:color w:val="FFFFFF"/>
                <w:sz w:val="20"/>
                <w:szCs w:val="20"/>
              </w:rPr>
              <w:t xml:space="preserve">Min Tier</w:t>
            </w:r>
          </w:p>
        </w:tc>
        <w:tc>
          <w:tcPr>
            <w:tcW w:type="dxa" w:w="2000"/>
            <w:tcBorders>
              <w:top w:val="single" w:color="C8D0DF" w:sz="1"/>
              <w:left w:val="single" w:color="C8D0DF" w:sz="1"/>
              <w:bottom w:val="single" w:color="C8D0DF" w:sz="1"/>
              <w:right w:val="single" w:color="C8D0DF" w:sz="1"/>
            </w:tcBorders>
            <w:shd w:fill="0D2137" w:val="clear"/>
            <w:tcMar>
              <w:top w:type="dxa" w:w="80"/>
              <w:left w:type="dxa" w:w="140"/>
              <w:bottom w:type="dxa" w:w="80"/>
              <w:right w:type="dxa" w:w="140"/>
            </w:tcMar>
          </w:tcPr>
          <w:p>
            <w:r>
              <w:rPr>
                <w:rFonts w:ascii="Arial" w:cs="Arial" w:eastAsia="Arial" w:hAnsi="Arial"/>
                <w:b/>
                <w:bCs/>
                <w:i w:val="false"/>
                <w:iCs w:val="false"/>
                <w:color w:val="FFFFFF"/>
                <w:sz w:val="20"/>
                <w:szCs w:val="20"/>
              </w:rPr>
              <w:t xml:space="preserve">Proof Type</w:t>
            </w:r>
          </w:p>
        </w:tc>
        <w:tc>
          <w:tcPr>
            <w:tcW w:type="dxa" w:w="3260"/>
            <w:tcBorders>
              <w:top w:val="single" w:color="C8D0DF" w:sz="1"/>
              <w:left w:val="single" w:color="C8D0DF" w:sz="1"/>
              <w:bottom w:val="single" w:color="C8D0DF" w:sz="1"/>
              <w:right w:val="single" w:color="C8D0DF" w:sz="1"/>
            </w:tcBorders>
            <w:shd w:fill="0D2137" w:val="clear"/>
            <w:tcMar>
              <w:top w:type="dxa" w:w="80"/>
              <w:left w:type="dxa" w:w="140"/>
              <w:bottom w:type="dxa" w:w="80"/>
              <w:right w:type="dxa" w:w="140"/>
            </w:tcMar>
          </w:tcPr>
          <w:p>
            <w:r>
              <w:rPr>
                <w:rFonts w:ascii="Arial" w:cs="Arial" w:eastAsia="Arial" w:hAnsi="Arial"/>
                <w:b/>
                <w:bCs/>
                <w:i w:val="false"/>
                <w:iCs w:val="false"/>
                <w:color w:val="FFFFFF"/>
                <w:sz w:val="20"/>
                <w:szCs w:val="20"/>
              </w:rPr>
              <w:t xml:space="preserve">On-Chain Data</w:t>
            </w:r>
          </w:p>
        </w:tc>
      </w:tr>
      <w:tr>
        <w:tc>
          <w:tcPr>
            <w:tcW w:type="dxa" w:w="27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0 — KYC Floor</w:t>
            </w:r>
          </w:p>
        </w:tc>
        <w:tc>
          <w:tcPr>
            <w:tcW w:type="dxa" w:w="14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Tier 0</w:t>
            </w:r>
          </w:p>
        </w:tc>
        <w:tc>
          <w:tcPr>
            <w:tcW w:type="dxa" w:w="20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None</w:t>
            </w:r>
          </w:p>
        </w:tc>
        <w:tc>
          <w:tcPr>
            <w:tcW w:type="dxa" w:w="32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None</w:t>
            </w:r>
          </w:p>
        </w:tc>
      </w:tr>
      <w:tr>
        <w:tc>
          <w:tcPr>
            <w:tcW w:type="dxa" w:w="27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KYC Floor — 10× Floor</w:t>
            </w:r>
          </w:p>
        </w:tc>
        <w:tc>
          <w:tcPr>
            <w:tcW w:type="dxa" w:w="14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Tier 1</w:t>
            </w:r>
          </w:p>
        </w:tc>
        <w:tc>
          <w:tcPr>
            <w:tcW w:type="dxa" w:w="20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ZK (Groth16)</w:t>
            </w:r>
          </w:p>
        </w:tc>
        <w:tc>
          <w:tcPr>
            <w:tcW w:type="dxa" w:w="326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Proof hash + verifier address + expiry</w:t>
            </w:r>
          </w:p>
        </w:tc>
      </w:tr>
      <w:tr>
        <w:tc>
          <w:tcPr>
            <w:tcW w:type="dxa" w:w="27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10× Floor — Corporate limit</w:t>
            </w:r>
          </w:p>
        </w:tc>
        <w:tc>
          <w:tcPr>
            <w:tcW w:type="dxa" w:w="14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Tier 2</w:t>
            </w:r>
          </w:p>
        </w:tc>
        <w:tc>
          <w:tcPr>
            <w:tcW w:type="dxa" w:w="20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ZK (Groth16)</w:t>
            </w:r>
          </w:p>
        </w:tc>
        <w:tc>
          <w:tcPr>
            <w:tcW w:type="dxa" w:w="32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Proof hash + verifier address + expiry</w:t>
            </w:r>
          </w:p>
        </w:tc>
      </w:tr>
      <w:tr>
        <w:tc>
          <w:tcPr>
            <w:tcW w:type="dxa" w:w="27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Any corporate wallet tx</w:t>
            </w:r>
          </w:p>
        </w:tc>
        <w:tc>
          <w:tcPr>
            <w:tcW w:type="dxa" w:w="14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Tier 3</w:t>
            </w:r>
          </w:p>
        </w:tc>
        <w:tc>
          <w:tcPr>
            <w:tcW w:type="dxa" w:w="20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ZK + cert hash</w:t>
            </w:r>
          </w:p>
        </w:tc>
        <w:tc>
          <w:tcPr>
            <w:tcW w:type="dxa" w:w="326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Compliance cert hash + verifier + expiry</w:t>
            </w:r>
          </w:p>
        </w:tc>
      </w:tr>
    </w:tbl>
    <w:p>
      <w:pPr>
        <w:pStyle w:val="Heading2"/>
        <w:spacing w:before="320" w:after="80"/>
      </w:pPr>
      <w:r>
        <w:rPr>
          <w:rFonts w:ascii="Arial" w:cs="Arial" w:eastAsia="Arial" w:hAnsi="Arial"/>
          <w:b/>
          <w:bCs/>
          <w:i w:val="false"/>
          <w:iCs w:val="false"/>
          <w:color w:val="1A4A7A"/>
          <w:sz w:val="25"/>
          <w:szCs w:val="25"/>
        </w:rPr>
        <w:t xml:space="preserve">5.4 Proof Lifecycle and Caching</w:t>
      </w:r>
    </w:p>
    <w:p>
      <w:pPr>
        <w:spacing w:before="60" w:after="120"/>
        <w:jc w:val="both"/>
      </w:pPr>
      <w:r>
        <w:rPr>
          <w:rFonts w:ascii="Arial" w:cs="Arial" w:eastAsia="Arial" w:hAnsi="Arial"/>
          <w:b w:val="false"/>
          <w:bCs w:val="false"/>
          <w:i w:val="false"/>
          <w:iCs w:val="false"/>
          <w:color w:val="1A1A2E"/>
          <w:sz w:val="22"/>
          <w:szCs w:val="22"/>
        </w:rPr>
        <w:t xml:space="preserve">A KYC proof is valid for 12 months from issuance (configurable by Protocol Chamber). The wallet client caches the proof locally and reuses it for all subsequent transactions above the KYC Floor during the validity period. Users are not required to re-verify for every high-value transaction.</w:t>
      </w:r>
    </w:p>
    <w:p>
      <w:pPr>
        <w:spacing w:before="0" w:after="60"/>
      </w:pPr>
    </w:p>
    <w:tbl>
      <w:tblPr>
        <w:tblW w:type="dxa" w:w="9360"/>
        <w:tblBorders>
          <w:top w:val="single" w:color="C8D0DF" w:sz="1"/>
          <w:left w:val="single" w:color="1A4A7A" w:sz="1"/>
          <w:bottom w:val="single" w:color="C8D0DF" w:sz="1"/>
          <w:right w:val="single" w:color="C8D0DF" w:sz="1"/>
          <w:insideH w:val="single" w:color="auto" w:sz="4"/>
          <w:insideV w:val="single" w:color="auto" w:sz="4"/>
        </w:tblBorders>
      </w:tblPr>
      <w:tblGrid>
        <w:gridCol w:w="9360"/>
      </w:tblGrid>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Proof caching logic — wallet client</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interface CachedKYCProof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proof:           KYCCommitment;</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cachedAt:        number;   // Unix timestamp</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walletAddress:   string;</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function getValidProof(address: string, tier: number): KYCCommitment | null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const cached = localSecureStore.get(`kyc_proof_${address}`);</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if (!cached) return null;</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const now = Math.floor(Date.now() / 1000);</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if (cached.proof.expiresAt &lt; now)          return null; // expired</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if (cached.proof.tierLevel &lt; tier)          return null; // insufficient tier</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return cached.proof;</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If getValidProof returns null, initiate KYC oracle flow before</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allowing the transaction to proceed.</w:t>
            </w:r>
          </w:p>
        </w:tc>
      </w:tr>
    </w:tbl>
    <w:p>
      <w:pPr>
        <w:pStyle w:val="Heading1"/>
        <w:spacing w:before="480" w:after="120"/>
      </w:pPr>
      <w:r>
        <w:rPr>
          <w:rFonts w:ascii="Arial" w:cs="Arial" w:eastAsia="Arial" w:hAnsi="Arial"/>
          <w:b/>
          <w:bCs/>
          <w:i w:val="false"/>
          <w:iCs w:val="false"/>
          <w:color w:val="0D2137"/>
          <w:sz w:val="30"/>
          <w:szCs w:val="30"/>
        </w:rPr>
        <w:t xml:space="preserve">6. Registry Contracts — Interface Reference</w:t>
      </w:r>
    </w:p>
    <w:p>
      <w:pPr>
        <w:pBdr>
          <w:bottom w:val="single" w:color="B87333" w:sz="8" w:space="1"/>
        </w:pBdr>
        <w:spacing w:before="0" w:after="160"/>
      </w:pPr>
    </w:p>
    <w:p>
      <w:pPr>
        <w:spacing w:before="60" w:after="120"/>
        <w:jc w:val="both"/>
      </w:pPr>
      <w:r>
        <w:rPr>
          <w:rFonts w:ascii="Arial" w:cs="Arial" w:eastAsia="Arial" w:hAnsi="Arial"/>
          <w:b w:val="false"/>
          <w:bCs w:val="false"/>
          <w:i w:val="false"/>
          <w:iCs w:val="false"/>
          <w:color w:val="1A1A2E"/>
          <w:sz w:val="22"/>
          <w:szCs w:val="22"/>
        </w:rPr>
        <w:t xml:space="preserve">Three on-chain registry contracts underpin the identity and threshold system. Full specifications are in PADU-TECH-02. The wallet layer interacts with them as read-only clients; this section provides the minimum interface definition required for wallet implementation.</w:t>
      </w:r>
    </w:p>
    <w:p>
      <w:pPr>
        <w:pStyle w:val="Heading2"/>
        <w:spacing w:before="320" w:after="80"/>
      </w:pPr>
      <w:r>
        <w:rPr>
          <w:rFonts w:ascii="Arial" w:cs="Arial" w:eastAsia="Arial" w:hAnsi="Arial"/>
          <w:b/>
          <w:bCs/>
          <w:i w:val="false"/>
          <w:iCs w:val="false"/>
          <w:color w:val="1A4A7A"/>
          <w:sz w:val="25"/>
          <w:szCs w:val="25"/>
        </w:rPr>
        <w:t xml:space="preserve">6.1 KYC Floor Registry</w:t>
      </w:r>
    </w:p>
    <w:tbl>
      <w:tblPr>
        <w:tblW w:type="dxa" w:w="9360"/>
        <w:tblBorders>
          <w:top w:val="single" w:color="C8D0DF" w:sz="1"/>
          <w:left w:val="single" w:color="1A4A7A" w:sz="1"/>
          <w:bottom w:val="single" w:color="C8D0DF" w:sz="1"/>
          <w:right w:val="single" w:color="C8D0DF" w:sz="1"/>
          <w:insideH w:val="single" w:color="auto" w:sz="4"/>
          <w:insideV w:val="single" w:color="auto" w:sz="4"/>
        </w:tblBorders>
      </w:tblPr>
      <w:tblGrid>
        <w:gridCol w:w="9360"/>
      </w:tblGrid>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IKYCFloorRegistry.sol — minimal read interface for wallet and node use</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interface IKYCFloorRegistry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 @notice Returns the current KYC Floor in PADU base units.</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 @dev Updated only by Protocol Chamber governance vote.</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function getKYCFloor() external view returns (uint256 floor);</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 @notice Returns the minimum KYC tier required for a given value.</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function getRequiredTier(uint256 value) external view returns (uint8 tier);</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 @notice Returns the current KYC Floor parameters.</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function getThresholdParams() external view returns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uint256 tier1Floor,</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uint256 tier2Floor,</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uint256 corporateFlag,</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uint256 lastUpdated</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w:t>
            </w:r>
          </w:p>
        </w:tc>
      </w:tr>
    </w:tbl>
    <w:p>
      <w:pPr>
        <w:pStyle w:val="Heading2"/>
        <w:spacing w:before="320" w:after="80"/>
      </w:pPr>
      <w:r>
        <w:rPr>
          <w:rFonts w:ascii="Arial" w:cs="Arial" w:eastAsia="Arial" w:hAnsi="Arial"/>
          <w:b/>
          <w:bCs/>
          <w:i w:val="false"/>
          <w:iCs w:val="false"/>
          <w:color w:val="1A4A7A"/>
          <w:sz w:val="25"/>
          <w:szCs w:val="25"/>
        </w:rPr>
        <w:t xml:space="preserve">6.2 Accredited Verifier Registry</w:t>
      </w:r>
    </w:p>
    <w:tbl>
      <w:tblPr>
        <w:tblW w:type="dxa" w:w="9360"/>
        <w:tblBorders>
          <w:top w:val="single" w:color="C8D0DF" w:sz="1"/>
          <w:left w:val="single" w:color="1A4A7A" w:sz="1"/>
          <w:bottom w:val="single" w:color="C8D0DF" w:sz="1"/>
          <w:right w:val="single" w:color="C8D0DF" w:sz="1"/>
          <w:insideH w:val="single" w:color="auto" w:sz="4"/>
          <w:insideV w:val="single" w:color="auto" w:sz="4"/>
        </w:tblBorders>
      </w:tblPr>
      <w:tblGrid>
        <w:gridCol w:w="9360"/>
      </w:tblGrid>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IVerifierRegistry.sol — minimal read interface</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interface IVerifierRegistry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 @notice Returns whether an address is a currently accredited KYC oracle.</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function isAccredited(address verifier) external view returns (bool);</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 @notice Returns oracle metadata for display in wallet UI.</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function getVerifierInfo(address verifier) external view returns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string memory name,</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string memory jurisdiction,</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uint256       accreditedSince,</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uint256       accreditedUntil,</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uint8         maxTierSupported</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 @notice Returns all currently accredited verifiers.</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function listAccreditedVerifiers() external view</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returns (address[] memory verifiers);</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w:t>
            </w:r>
          </w:p>
        </w:tc>
      </w:tr>
    </w:tbl>
    <w:p>
      <w:pPr>
        <w:pStyle w:val="Heading2"/>
        <w:spacing w:before="320" w:after="80"/>
      </w:pPr>
      <w:r>
        <w:rPr>
          <w:rFonts w:ascii="Arial" w:cs="Arial" w:eastAsia="Arial" w:hAnsi="Arial"/>
          <w:b/>
          <w:bCs/>
          <w:i w:val="false"/>
          <w:iCs w:val="false"/>
          <w:color w:val="1A4A7A"/>
          <w:sz w:val="25"/>
          <w:szCs w:val="25"/>
        </w:rPr>
        <w:t xml:space="preserve">6.3 ZK Proof Verifier</w:t>
      </w:r>
    </w:p>
    <w:tbl>
      <w:tblPr>
        <w:tblW w:type="dxa" w:w="9360"/>
        <w:tblBorders>
          <w:top w:val="single" w:color="C8D0DF" w:sz="1"/>
          <w:left w:val="single" w:color="1A4A7A" w:sz="1"/>
          <w:bottom w:val="single" w:color="C8D0DF" w:sz="1"/>
          <w:right w:val="single" w:color="C8D0DF" w:sz="1"/>
          <w:insideH w:val="single" w:color="auto" w:sz="4"/>
          <w:insideV w:val="single" w:color="auto" w:sz="4"/>
        </w:tblBorders>
      </w:tblPr>
      <w:tblGrid>
        <w:gridCol w:w="9360"/>
      </w:tblGrid>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IZKVerifier.sol — called by nodes during block validation</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interface IZKVerifier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 @notice Verifies a Groth16 KYC proof on-chain.</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 @param proofBlob   The raw Groth16 proof (a, b, c points + public inputs).</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 @param tierLevel   The tier being claimed (1 or 2).</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 @param verifier    The oracle that issued the proof.</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 @return valid      True if the proof is cryptographically valid.</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function verifyKYCProof(</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bytes  calldata proofBlob,</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uint8           tierLevel,</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address         verifier</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 external view returns (bool valid);</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w:t>
            </w:r>
          </w:p>
        </w:tc>
      </w:tr>
    </w:tbl>
    <w:p>
      <w:pPr>
        <w:pStyle w:val="Heading1"/>
        <w:spacing w:before="480" w:after="120"/>
      </w:pPr>
      <w:r>
        <w:rPr>
          <w:rFonts w:ascii="Arial" w:cs="Arial" w:eastAsia="Arial" w:hAnsi="Arial"/>
          <w:b/>
          <w:bCs/>
          <w:i w:val="false"/>
          <w:iCs w:val="false"/>
          <w:color w:val="0D2137"/>
          <w:sz w:val="30"/>
          <w:szCs w:val="30"/>
        </w:rPr>
        <w:t xml:space="preserve">7. Wallet Application — Functional Requirements</w:t>
      </w:r>
    </w:p>
    <w:p>
      <w:pPr>
        <w:pBdr>
          <w:bottom w:val="single" w:color="B87333" w:sz="8" w:space="1"/>
        </w:pBdr>
        <w:spacing w:before="0" w:after="160"/>
      </w:pPr>
    </w:p>
    <w:p>
      <w:pPr>
        <w:spacing w:before="60" w:after="120"/>
        <w:jc w:val="both"/>
      </w:pPr>
      <w:r>
        <w:rPr>
          <w:rFonts w:ascii="Arial" w:cs="Arial" w:eastAsia="Arial" w:hAnsi="Arial"/>
          <w:b w:val="false"/>
          <w:bCs w:val="false"/>
          <w:i w:val="false"/>
          <w:iCs w:val="false"/>
          <w:color w:val="1A1A2E"/>
          <w:sz w:val="22"/>
          <w:szCs w:val="22"/>
        </w:rPr>
        <w:t xml:space="preserve">The following requirements apply to any wallet application claiming compatibility with the PADU protocol. Third-party wallets must satisfy all requirements in sections 7.1–7.3 to be listed in the official compatibility registry.</w:t>
      </w:r>
    </w:p>
    <w:p>
      <w:pPr>
        <w:pStyle w:val="Heading2"/>
        <w:spacing w:before="320" w:after="80"/>
      </w:pPr>
      <w:r>
        <w:rPr>
          <w:rFonts w:ascii="Arial" w:cs="Arial" w:eastAsia="Arial" w:hAnsi="Arial"/>
          <w:b/>
          <w:bCs/>
          <w:i w:val="false"/>
          <w:iCs w:val="false"/>
          <w:color w:val="1A4A7A"/>
          <w:sz w:val="25"/>
          <w:szCs w:val="25"/>
        </w:rPr>
        <w:t xml:space="preserve">7.1 Core Wallet Functions</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WLT-01: Generate BIP-39 mnemonic and derive PADU HD key using the PADU derivation path.</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WLT-02: Display, import, and restore wallets from 24-word mnemonic.</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WLT-03: Display PADU balance in both PADU units and local fiat equivalent (via on-chain price oracle).</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WLT-04: Construct, sign, and broadcast well-formed PADU transactions.</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WLT-05: Compute and display the fee breakdown (operational / social / solidarity) before user confirmation.</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WLT-06: Display the net amount the recipient will receive, after fee deduction, prominently before confirmation.</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WLT-07: Generate and display QR codes for PADU addresses and payment requests.</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WLT-08: Scan QR codes to populate recipient address and amount fields.</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WLT-09: Maintain a local transaction history with block confirmation status.</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WLT-10: Support address book with human-readable labels for saved contacts.</w:t>
      </w:r>
    </w:p>
    <w:p>
      <w:pPr>
        <w:pStyle w:val="Heading2"/>
        <w:spacing w:before="320" w:after="80"/>
      </w:pPr>
      <w:r>
        <w:rPr>
          <w:rFonts w:ascii="Arial" w:cs="Arial" w:eastAsia="Arial" w:hAnsi="Arial"/>
          <w:b/>
          <w:bCs/>
          <w:i w:val="false"/>
          <w:iCs w:val="false"/>
          <w:color w:val="1A4A7A"/>
          <w:sz w:val="25"/>
          <w:szCs w:val="25"/>
        </w:rPr>
        <w:t xml:space="preserve">7.2 KYC Integration Requirements</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KYC-01: Before constructing any transaction, query the KYC Floor Registry to determine whether the transaction value requires identity verification.</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KYC-02: If verification is required and no valid cached proof exists, initiate the KYC oracle flow before allowing the transaction to proceed. The oracle flow must be embedded in the wallet UX — the user must not be redirected to an external browser for the core verification step.</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KYC-03: Display to the user which verifier they are using, its accreditation status, and the jurisdiction in which it operates.</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KYC-04: Display the expiry date of a cached proof and warn the user at least 30 days before expiry.</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KYC-05: Cache proof data in encrypted local storage only. Never transmit proof data to any server other than the accredited oracle that issued it.</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KYC-06: Allow users to select their preferred oracle from the Accredited Verifier Registry.</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KYC-07: Provide clear, plain-language explanation of what information the oracle will collect and how long it will be retained, before the user initiates verification.</w:t>
      </w:r>
    </w:p>
    <w:p>
      <w:pPr>
        <w:pStyle w:val="Heading2"/>
        <w:spacing w:before="320" w:after="80"/>
      </w:pPr>
      <w:r>
        <w:rPr>
          <w:rFonts w:ascii="Arial" w:cs="Arial" w:eastAsia="Arial" w:hAnsi="Arial"/>
          <w:b/>
          <w:bCs/>
          <w:i w:val="false"/>
          <w:iCs w:val="false"/>
          <w:color w:val="1A4A7A"/>
          <w:sz w:val="25"/>
          <w:szCs w:val="25"/>
        </w:rPr>
        <w:t xml:space="preserve">7.3 Security Requirements</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SEC-01: Private key must be encrypted at rest using AES-256-GCM with a key derived from user biometric or PIN via Argon2id (memory ≥ 64MB, iterations ≥ 3, parallelism ≥ 1).</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SEC-02: Application must lock automatically after a configurable inactivity timeout (default: 2 minutes). After lock, private key must be zeroed from memory.</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SEC-03: Application must implement certificate pinning for all connections to PADU RPC nodes and KYC oracle APIs.</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SEC-04: Screen capture and screen recording must be blocked on all screens that display the mnemonic phrase or private key.</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SEC-05: Application must not use any third-party analytics or crash reporting SDK that could capture key material, transaction data, or KYC session data.</w:t>
      </w:r>
    </w:p>
    <w:p>
      <w:pPr>
        <w:pStyle w:val="ListParagraph"/>
        <w:numPr>
          <w:ilvl w:val="0"/>
          <w:numId w:val="2"/>
        </w:numPr>
        <w:spacing w:before="40" w:after="80"/>
      </w:pPr>
      <w:r>
        <w:rPr>
          <w:rFonts w:ascii="Arial" w:cs="Arial" w:eastAsia="Arial" w:hAnsi="Arial"/>
          <w:b w:val="false"/>
          <w:bCs w:val="false"/>
          <w:i w:val="false"/>
          <w:iCs w:val="false"/>
          <w:color w:val="1A1A2E"/>
          <w:sz w:val="22"/>
          <w:szCs w:val="22"/>
        </w:rPr>
        <w:t xml:space="preserve">SEC-06: On first install, the application must pass a device security check: rooted/jailbroken devices must display a prominent warning. Operation on rooted devices may be disabled by Protocol Chamber policy.</w:t>
      </w:r>
    </w:p>
    <w:p>
      <w:pPr>
        <w:pStyle w:val="Heading1"/>
        <w:spacing w:before="480" w:after="120"/>
      </w:pPr>
      <w:r>
        <w:rPr>
          <w:rFonts w:ascii="Arial" w:cs="Arial" w:eastAsia="Arial" w:hAnsi="Arial"/>
          <w:b/>
          <w:bCs/>
          <w:i w:val="false"/>
          <w:iCs w:val="false"/>
          <w:color w:val="0D2137"/>
          <w:sz w:val="30"/>
          <w:szCs w:val="30"/>
        </w:rPr>
        <w:t xml:space="preserve">8. Network and Node Architecture</w:t>
      </w:r>
    </w:p>
    <w:p>
      <w:pPr>
        <w:pBdr>
          <w:bottom w:val="single" w:color="B87333" w:sz="8" w:space="1"/>
        </w:pBdr>
        <w:spacing w:before="0" w:after="160"/>
      </w:pPr>
    </w:p>
    <w:p>
      <w:pPr>
        <w:spacing w:before="60" w:after="120"/>
        <w:jc w:val="both"/>
      </w:pPr>
      <w:r>
        <w:rPr>
          <w:rFonts w:ascii="Arial" w:cs="Arial" w:eastAsia="Arial" w:hAnsi="Arial"/>
          <w:b w:val="false"/>
          <w:bCs w:val="false"/>
          <w:i w:val="false"/>
          <w:iCs w:val="false"/>
          <w:color w:val="1A1A2E"/>
          <w:sz w:val="22"/>
          <w:szCs w:val="22"/>
        </w:rPr>
        <w:t xml:space="preserve">The PADU network for Phase 1 (pilot corridor) operates with a federated validator set, transitioning to a fully permissionless validator set in Phase 2. This staged approach ensures stability during early operation while building toward full decentralization.</w:t>
      </w:r>
    </w:p>
    <w:p>
      <w:pPr>
        <w:pStyle w:val="Heading2"/>
        <w:spacing w:before="320" w:after="80"/>
      </w:pPr>
      <w:r>
        <w:rPr>
          <w:rFonts w:ascii="Arial" w:cs="Arial" w:eastAsia="Arial" w:hAnsi="Arial"/>
          <w:b/>
          <w:bCs/>
          <w:i w:val="false"/>
          <w:iCs w:val="false"/>
          <w:color w:val="1A4A7A"/>
          <w:sz w:val="25"/>
          <w:szCs w:val="25"/>
        </w:rPr>
        <w:t xml:space="preserve">8.1 Node Types</w:t>
      </w:r>
    </w:p>
    <w:p>
      <w:pPr>
        <w:spacing w:before="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3600"/>
      </w:tblGrid>
      <w:tr>
        <w:tc>
          <w:tcPr>
            <w:tcW w:type="dxa" w:w="2000"/>
            <w:tcBorders>
              <w:top w:val="single" w:color="C8D0DF" w:sz="1"/>
              <w:left w:val="single" w:color="C8D0DF" w:sz="1"/>
              <w:bottom w:val="single" w:color="C8D0DF" w:sz="1"/>
              <w:right w:val="single" w:color="C8D0DF" w:sz="1"/>
            </w:tcBorders>
            <w:shd w:fill="0D2137" w:val="clear"/>
            <w:tcMar>
              <w:top w:type="dxa" w:w="80"/>
              <w:left w:type="dxa" w:w="140"/>
              <w:bottom w:type="dxa" w:w="80"/>
              <w:right w:type="dxa" w:w="140"/>
            </w:tcMar>
          </w:tcPr>
          <w:p>
            <w:r>
              <w:rPr>
                <w:rFonts w:ascii="Arial" w:cs="Arial" w:eastAsia="Arial" w:hAnsi="Arial"/>
                <w:b/>
                <w:bCs/>
                <w:i w:val="false"/>
                <w:iCs w:val="false"/>
                <w:color w:val="FFFFFF"/>
                <w:sz w:val="20"/>
                <w:szCs w:val="20"/>
              </w:rPr>
              <w:t xml:space="preserve">Node Type</w:t>
            </w:r>
          </w:p>
        </w:tc>
        <w:tc>
          <w:tcPr>
            <w:tcW w:type="dxa" w:w="3760"/>
            <w:tcBorders>
              <w:top w:val="single" w:color="C8D0DF" w:sz="1"/>
              <w:left w:val="single" w:color="C8D0DF" w:sz="1"/>
              <w:bottom w:val="single" w:color="C8D0DF" w:sz="1"/>
              <w:right w:val="single" w:color="C8D0DF" w:sz="1"/>
            </w:tcBorders>
            <w:shd w:fill="0D2137" w:val="clear"/>
            <w:tcMar>
              <w:top w:type="dxa" w:w="80"/>
              <w:left w:type="dxa" w:w="140"/>
              <w:bottom w:type="dxa" w:w="80"/>
              <w:right w:type="dxa" w:w="140"/>
            </w:tcMar>
          </w:tcPr>
          <w:p>
            <w:r>
              <w:rPr>
                <w:rFonts w:ascii="Arial" w:cs="Arial" w:eastAsia="Arial" w:hAnsi="Arial"/>
                <w:b/>
                <w:bCs/>
                <w:i w:val="false"/>
                <w:iCs w:val="false"/>
                <w:color w:val="FFFFFF"/>
                <w:sz w:val="20"/>
                <w:szCs w:val="20"/>
              </w:rPr>
              <w:t xml:space="preserve">Function</w:t>
            </w:r>
          </w:p>
        </w:tc>
        <w:tc>
          <w:tcPr>
            <w:tcW w:type="dxa" w:w="3600"/>
            <w:tcBorders>
              <w:top w:val="single" w:color="C8D0DF" w:sz="1"/>
              <w:left w:val="single" w:color="C8D0DF" w:sz="1"/>
              <w:bottom w:val="single" w:color="C8D0DF" w:sz="1"/>
              <w:right w:val="single" w:color="C8D0DF" w:sz="1"/>
            </w:tcBorders>
            <w:shd w:fill="0D2137" w:val="clear"/>
            <w:tcMar>
              <w:top w:type="dxa" w:w="80"/>
              <w:left w:type="dxa" w:w="140"/>
              <w:bottom w:type="dxa" w:w="80"/>
              <w:right w:type="dxa" w:w="140"/>
            </w:tcMar>
          </w:tcPr>
          <w:p>
            <w:r>
              <w:rPr>
                <w:rFonts w:ascii="Arial" w:cs="Arial" w:eastAsia="Arial" w:hAnsi="Arial"/>
                <w:b/>
                <w:bCs/>
                <w:i w:val="false"/>
                <w:iCs w:val="false"/>
                <w:color w:val="FFFFFF"/>
                <w:sz w:val="20"/>
                <w:szCs w:val="20"/>
              </w:rPr>
              <w:t xml:space="preserve">Who Operates</w:t>
            </w:r>
          </w:p>
        </w:tc>
      </w:tr>
      <w:tr>
        <w:tc>
          <w:tcPr>
            <w:tcW w:type="dxa" w:w="20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Validator Node</w:t>
            </w:r>
          </w:p>
        </w:tc>
        <w:tc>
          <w:tcPr>
            <w:tcW w:type="dxa" w:w="37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Produces and finalises blocks. Holds stake.</w:t>
            </w:r>
          </w:p>
        </w:tc>
        <w:tc>
          <w:tcPr>
            <w:tcW w:type="dxa" w:w="36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Phase 1: founding council members. Phase 2: open staking.</w:t>
            </w:r>
          </w:p>
        </w:tc>
      </w:tr>
      <w:tr>
        <w:tc>
          <w:tcPr>
            <w:tcW w:type="dxa" w:w="20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Full Node</w:t>
            </w:r>
          </w:p>
        </w:tc>
        <w:tc>
          <w:tcPr>
            <w:tcW w:type="dxa" w:w="376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Holds full chain state. Validates all transactions. Serves RPC.</w:t>
            </w:r>
          </w:p>
        </w:tc>
        <w:tc>
          <w:tcPr>
            <w:tcW w:type="dxa" w:w="36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Any participant. Required for KYC Floor Registry and Verifier Registry queries.</w:t>
            </w:r>
          </w:p>
        </w:tc>
      </w:tr>
      <w:tr>
        <w:tc>
          <w:tcPr>
            <w:tcW w:type="dxa" w:w="20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Light Node</w:t>
            </w:r>
          </w:p>
        </w:tc>
        <w:tc>
          <w:tcPr>
            <w:tcW w:type="dxa" w:w="37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Holds block headers only. Relies on full nodes for state queries.</w:t>
            </w:r>
          </w:p>
        </w:tc>
        <w:tc>
          <w:tcPr>
            <w:tcW w:type="dxa" w:w="36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Mobile wallet clients.</w:t>
            </w:r>
          </w:p>
        </w:tc>
      </w:tr>
      <w:tr>
        <w:tc>
          <w:tcPr>
            <w:tcW w:type="dxa" w:w="20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Oracle Node</w:t>
            </w:r>
          </w:p>
        </w:tc>
        <w:tc>
          <w:tcPr>
            <w:tcW w:type="dxa" w:w="376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Off-chain KYC verification. Issues ZK proofs. Accredited by Protocol Chamber.</w:t>
            </w:r>
          </w:p>
        </w:tc>
        <w:tc>
          <w:tcPr>
            <w:tcW w:type="dxa" w:w="36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Approved KYC service providers.</w:t>
            </w:r>
          </w:p>
        </w:tc>
      </w:tr>
    </w:tbl>
    <w:p>
      <w:pPr>
        <w:pStyle w:val="Heading2"/>
        <w:spacing w:before="320" w:after="80"/>
      </w:pPr>
      <w:r>
        <w:rPr>
          <w:rFonts w:ascii="Arial" w:cs="Arial" w:eastAsia="Arial" w:hAnsi="Arial"/>
          <w:b/>
          <w:bCs/>
          <w:i w:val="false"/>
          <w:iCs w:val="false"/>
          <w:color w:val="1A4A7A"/>
          <w:sz w:val="25"/>
          <w:szCs w:val="25"/>
        </w:rPr>
        <w:t xml:space="preserve">8.2 RPC API — Required Endpoints</w:t>
      </w:r>
    </w:p>
    <w:p>
      <w:pPr>
        <w:spacing w:before="60" w:after="120"/>
        <w:jc w:val="both"/>
      </w:pPr>
      <w:r>
        <w:rPr>
          <w:rFonts w:ascii="Arial" w:cs="Arial" w:eastAsia="Arial" w:hAnsi="Arial"/>
          <w:b w:val="false"/>
          <w:bCs w:val="false"/>
          <w:i w:val="false"/>
          <w:iCs w:val="false"/>
          <w:color w:val="1A1A2E"/>
          <w:sz w:val="22"/>
          <w:szCs w:val="22"/>
        </w:rPr>
        <w:t xml:space="preserve">All full nodes must expose the following JSON-RPC endpoints for wallet and oracle compatibility:</w:t>
      </w:r>
    </w:p>
    <w:p>
      <w:pPr>
        <w:spacing w:before="0" w:after="60"/>
      </w:pPr>
    </w:p>
    <w:tbl>
      <w:tblPr>
        <w:tblW w:type="dxa" w:w="9360"/>
        <w:tblBorders>
          <w:top w:val="single" w:color="C8D0DF" w:sz="1"/>
          <w:left w:val="single" w:color="1A4A7A" w:sz="1"/>
          <w:bottom w:val="single" w:color="C8D0DF" w:sz="1"/>
          <w:right w:val="single" w:color="C8D0DF" w:sz="1"/>
          <w:insideH w:val="single" w:color="auto" w:sz="4"/>
          <w:insideV w:val="single" w:color="auto" w:sz="4"/>
        </w:tblBorders>
      </w:tblPr>
      <w:tblGrid>
        <w:gridCol w:w="9360"/>
      </w:tblGrid>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Core RPC methods — JSON-RPC 2.0 over HTTPS and WSS</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padu_getBalance(address, blockTag)              // returns PADU balance</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padu_getNonce(address)                          // returns current nonce</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padu_sendRawTransaction(signedTxHex)            // broadcast signed transaction</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padu_getTransactionByHash(txHash)               // retrieve transaction details</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padu_getTransactionReceipt(txHash)              // retrieve inclusion receipt</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padu_getBlockByNumber(blockNumber, fullTx)      // retrieve block</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padu_estimateFee(txObject)                      // estimate fee (should always be 1.5%,</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                                                //   but useful for UI pre-computation)</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padu_getKYCFloor()                              // convenience wrapper for registry query</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padu_listAccreditedVerifiers()                  // convenience wrapper for registry query</w:t>
            </w:r>
          </w:p>
        </w:tc>
      </w:tr>
      <w:tr>
        <w:tc>
          <w:tcPr>
            <w:tcW w:type="dxa" w:w="9360"/>
            <w:tcBorders>
              <w:top w:val="single" w:color="FFFFFF" w:sz="1"/>
              <w:left w:val="single" w:color="FFFFFF" w:sz="1"/>
              <w:bottom w:val="single" w:color="FFFFFF" w:sz="1"/>
              <w:right w:val="single" w:color="FFFFFF" w:sz="1"/>
            </w:tcBorders>
            <w:shd w:fill="F0F2F8" w:val="clear"/>
            <w:tcMar>
              <w:top w:type="dxa" w:w="0"/>
              <w:left w:type="dxa" w:w="200"/>
              <w:bottom w:type="dxa" w:w="0"/>
              <w:right w:type="dxa" w:w="200"/>
            </w:tcMar>
          </w:tcPr>
          <w:p>
            <w:pPr>
              <w:spacing w:before="0" w:after="0"/>
            </w:pPr>
            <w:r>
              <w:rPr>
                <w:rFonts w:ascii="Courier New" w:cs="Courier New" w:eastAsia="Courier New" w:hAnsi="Courier New"/>
                <w:b w:val="false"/>
                <w:bCs w:val="false"/>
                <w:i w:val="false"/>
                <w:iCs w:val="false"/>
                <w:color w:val="1E1E2E"/>
                <w:sz w:val="18"/>
                <w:szCs w:val="18"/>
              </w:rPr>
              <w:t xml:space="preserve">padu_chainId()                                  // returns the PADU chain identifier</w:t>
            </w:r>
          </w:p>
        </w:tc>
      </w:tr>
    </w:tbl>
    <w:p>
      <w:pPr>
        <w:pStyle w:val="Heading1"/>
        <w:spacing w:before="480" w:after="120"/>
      </w:pPr>
      <w:r>
        <w:rPr>
          <w:rFonts w:ascii="Arial" w:cs="Arial" w:eastAsia="Arial" w:hAnsi="Arial"/>
          <w:b/>
          <w:bCs/>
          <w:i w:val="false"/>
          <w:iCs w:val="false"/>
          <w:color w:val="0D2137"/>
          <w:sz w:val="30"/>
          <w:szCs w:val="30"/>
        </w:rPr>
        <w:t xml:space="preserve">9. Error and Rejection Code Reference</w:t>
      </w:r>
    </w:p>
    <w:p>
      <w:pPr>
        <w:pBdr>
          <w:bottom w:val="single" w:color="B87333" w:sz="8" w:space="1"/>
        </w:pBdr>
        <w:spacing w:before="0" w:after="160"/>
      </w:pPr>
    </w:p>
    <w:p>
      <w:pPr>
        <w:spacing w:before="60" w:after="120"/>
        <w:jc w:val="both"/>
      </w:pPr>
      <w:r>
        <w:rPr>
          <w:rFonts w:ascii="Arial" w:cs="Arial" w:eastAsia="Arial" w:hAnsi="Arial"/>
          <w:b w:val="false"/>
          <w:bCs w:val="false"/>
          <w:i w:val="false"/>
          <w:iCs w:val="false"/>
          <w:color w:val="1A1A2E"/>
          <w:sz w:val="22"/>
          <w:szCs w:val="22"/>
        </w:rPr>
        <w:t xml:space="preserve">The following error codes are returned by nodes when rejecting transactions, and should be handled by wallet clients with appropriate user-facing messages.</w:t>
      </w:r>
    </w:p>
    <w:p>
      <w:pPr>
        <w:spacing w:before="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60"/>
        <w:gridCol w:w="3600"/>
      </w:tblGrid>
      <w:tr>
        <w:tc>
          <w:tcPr>
            <w:tcW w:type="dxa" w:w="2400"/>
            <w:tcBorders>
              <w:top w:val="single" w:color="C8D0DF" w:sz="1"/>
              <w:left w:val="single" w:color="C8D0DF" w:sz="1"/>
              <w:bottom w:val="single" w:color="C8D0DF" w:sz="1"/>
              <w:right w:val="single" w:color="C8D0DF" w:sz="1"/>
            </w:tcBorders>
            <w:shd w:fill="0D2137" w:val="clear"/>
            <w:tcMar>
              <w:top w:type="dxa" w:w="80"/>
              <w:left w:type="dxa" w:w="140"/>
              <w:bottom w:type="dxa" w:w="80"/>
              <w:right w:type="dxa" w:w="140"/>
            </w:tcMar>
          </w:tcPr>
          <w:p>
            <w:r>
              <w:rPr>
                <w:rFonts w:ascii="Arial" w:cs="Arial" w:eastAsia="Arial" w:hAnsi="Arial"/>
                <w:b/>
                <w:bCs/>
                <w:i w:val="false"/>
                <w:iCs w:val="false"/>
                <w:color w:val="FFFFFF"/>
                <w:sz w:val="20"/>
                <w:szCs w:val="20"/>
              </w:rPr>
              <w:t xml:space="preserve">Code</w:t>
            </w:r>
          </w:p>
        </w:tc>
        <w:tc>
          <w:tcPr>
            <w:tcW w:type="dxa" w:w="3360"/>
            <w:tcBorders>
              <w:top w:val="single" w:color="C8D0DF" w:sz="1"/>
              <w:left w:val="single" w:color="C8D0DF" w:sz="1"/>
              <w:bottom w:val="single" w:color="C8D0DF" w:sz="1"/>
              <w:right w:val="single" w:color="C8D0DF" w:sz="1"/>
            </w:tcBorders>
            <w:shd w:fill="0D2137" w:val="clear"/>
            <w:tcMar>
              <w:top w:type="dxa" w:w="80"/>
              <w:left w:type="dxa" w:w="140"/>
              <w:bottom w:type="dxa" w:w="80"/>
              <w:right w:type="dxa" w:w="140"/>
            </w:tcMar>
          </w:tcPr>
          <w:p>
            <w:r>
              <w:rPr>
                <w:rFonts w:ascii="Arial" w:cs="Arial" w:eastAsia="Arial" w:hAnsi="Arial"/>
                <w:b/>
                <w:bCs/>
                <w:i w:val="false"/>
                <w:iCs w:val="false"/>
                <w:color w:val="FFFFFF"/>
                <w:sz w:val="20"/>
                <w:szCs w:val="20"/>
              </w:rPr>
              <w:t xml:space="preserve">Meaning</w:t>
            </w:r>
          </w:p>
        </w:tc>
        <w:tc>
          <w:tcPr>
            <w:tcW w:type="dxa" w:w="3600"/>
            <w:tcBorders>
              <w:top w:val="single" w:color="C8D0DF" w:sz="1"/>
              <w:left w:val="single" w:color="C8D0DF" w:sz="1"/>
              <w:bottom w:val="single" w:color="C8D0DF" w:sz="1"/>
              <w:right w:val="single" w:color="C8D0DF" w:sz="1"/>
            </w:tcBorders>
            <w:shd w:fill="0D2137" w:val="clear"/>
            <w:tcMar>
              <w:top w:type="dxa" w:w="80"/>
              <w:left w:type="dxa" w:w="140"/>
              <w:bottom w:type="dxa" w:w="80"/>
              <w:right w:type="dxa" w:w="140"/>
            </w:tcMar>
          </w:tcPr>
          <w:p>
            <w:r>
              <w:rPr>
                <w:rFonts w:ascii="Arial" w:cs="Arial" w:eastAsia="Arial" w:hAnsi="Arial"/>
                <w:b/>
                <w:bCs/>
                <w:i w:val="false"/>
                <w:iCs w:val="false"/>
                <w:color w:val="FFFFFF"/>
                <w:sz w:val="20"/>
                <w:szCs w:val="20"/>
              </w:rPr>
              <w:t xml:space="preserve">Client Action</w:t>
            </w:r>
          </w:p>
        </w:tc>
      </w:tr>
      <w:tr>
        <w:tc>
          <w:tcPr>
            <w:tcW w:type="dxa" w:w="24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INVALID_SIGNATURE</w:t>
            </w:r>
          </w:p>
        </w:tc>
        <w:tc>
          <w:tcPr>
            <w:tcW w:type="dxa" w:w="33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Signature does not match sender address.</w:t>
            </w:r>
          </w:p>
        </w:tc>
        <w:tc>
          <w:tcPr>
            <w:tcW w:type="dxa" w:w="36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Re-sign the transaction. Check key derivation.</w:t>
            </w:r>
          </w:p>
        </w:tc>
      </w:tr>
      <w:tr>
        <w:tc>
          <w:tcPr>
            <w:tcW w:type="dxa" w:w="24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INVALID_NONCE</w:t>
            </w:r>
          </w:p>
        </w:tc>
        <w:tc>
          <w:tcPr>
            <w:tcW w:type="dxa" w:w="336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Nonce is out of sequence.</w:t>
            </w:r>
          </w:p>
        </w:tc>
        <w:tc>
          <w:tcPr>
            <w:tcW w:type="dxa" w:w="36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Refresh nonce from chain and re-build transaction.</w:t>
            </w:r>
          </w:p>
        </w:tc>
      </w:tr>
      <w:tr>
        <w:tc>
          <w:tcPr>
            <w:tcW w:type="dxa" w:w="24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INSUFFICIENT_BALANCE</w:t>
            </w:r>
          </w:p>
        </w:tc>
        <w:tc>
          <w:tcPr>
            <w:tcW w:type="dxa" w:w="33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Sender balance too low.</w:t>
            </w:r>
          </w:p>
        </w:tc>
        <w:tc>
          <w:tcPr>
            <w:tcW w:type="dxa" w:w="36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Display updated balance. Prompt user to reduce amount.</w:t>
            </w:r>
          </w:p>
        </w:tc>
      </w:tr>
      <w:tr>
        <w:tc>
          <w:tcPr>
            <w:tcW w:type="dxa" w:w="24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INVALID_FEE</w:t>
            </w:r>
          </w:p>
        </w:tc>
        <w:tc>
          <w:tcPr>
            <w:tcW w:type="dxa" w:w="336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Fee arithmetic does not match value.</w:t>
            </w:r>
          </w:p>
        </w:tc>
        <w:tc>
          <w:tcPr>
            <w:tcW w:type="dxa" w:w="36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Recompute fee. Client-side bug if reached.</w:t>
            </w:r>
          </w:p>
        </w:tc>
      </w:tr>
      <w:tr>
        <w:tc>
          <w:tcPr>
            <w:tcW w:type="dxa" w:w="24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INVALID_CHAIN_ID</w:t>
            </w:r>
          </w:p>
        </w:tc>
        <w:tc>
          <w:tcPr>
            <w:tcW w:type="dxa" w:w="33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Transaction targets wrong network.</w:t>
            </w:r>
          </w:p>
        </w:tc>
        <w:tc>
          <w:tcPr>
            <w:tcW w:type="dxa" w:w="36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Check RPC endpoint. Confirm mainnet vs testnet.</w:t>
            </w:r>
          </w:p>
        </w:tc>
      </w:tr>
      <w:tr>
        <w:tc>
          <w:tcPr>
            <w:tcW w:type="dxa" w:w="24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KYC_REQUIRED</w:t>
            </w:r>
          </w:p>
        </w:tc>
        <w:tc>
          <w:tcPr>
            <w:tcW w:type="dxa" w:w="336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Value ≥ KYC Floor but no proof attached.</w:t>
            </w:r>
          </w:p>
        </w:tc>
        <w:tc>
          <w:tcPr>
            <w:tcW w:type="dxa" w:w="36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Initiate KYC oracle flow before retrying.</w:t>
            </w:r>
          </w:p>
        </w:tc>
      </w:tr>
      <w:tr>
        <w:tc>
          <w:tcPr>
            <w:tcW w:type="dxa" w:w="24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KYC_PROOF_EXPIRED</w:t>
            </w:r>
          </w:p>
        </w:tc>
        <w:tc>
          <w:tcPr>
            <w:tcW w:type="dxa" w:w="33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KYC proof has passed its expiry timestamp.</w:t>
            </w:r>
          </w:p>
        </w:tc>
        <w:tc>
          <w:tcPr>
            <w:tcW w:type="dxa" w:w="36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User must re-verify with an accredited oracle.</w:t>
            </w:r>
          </w:p>
        </w:tc>
      </w:tr>
      <w:tr>
        <w:tc>
          <w:tcPr>
            <w:tcW w:type="dxa" w:w="24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KYC_VERIFIER_NOT_ACCREDITED</w:t>
            </w:r>
          </w:p>
        </w:tc>
        <w:tc>
          <w:tcPr>
            <w:tcW w:type="dxa" w:w="336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Proof issued by a non-accredited oracle.</w:t>
            </w:r>
          </w:p>
        </w:tc>
        <w:tc>
          <w:tcPr>
            <w:tcW w:type="dxa" w:w="36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User must re-verify with an accredited oracle.</w:t>
            </w:r>
          </w:p>
        </w:tc>
      </w:tr>
      <w:tr>
        <w:tc>
          <w:tcPr>
            <w:tcW w:type="dxa" w:w="24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KYC_PROOF_INVALID</w:t>
            </w:r>
          </w:p>
        </w:tc>
        <w:tc>
          <w:tcPr>
            <w:tcW w:type="dxa" w:w="33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ZK proof did not verify on-chain.</w:t>
            </w:r>
          </w:p>
        </w:tc>
        <w:tc>
          <w:tcPr>
            <w:tcW w:type="dxa" w:w="36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Oracle-level error. Contact oracle provider.</w:t>
            </w:r>
          </w:p>
        </w:tc>
      </w:tr>
      <w:tr>
        <w:tc>
          <w:tcPr>
            <w:tcW w:type="dxa" w:w="24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KYC_TIER_INSUFFICIENT</w:t>
            </w:r>
          </w:p>
        </w:tc>
        <w:tc>
          <w:tcPr>
            <w:tcW w:type="dxa" w:w="336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Proof tier is too low for this transaction value.</w:t>
            </w:r>
          </w:p>
        </w:tc>
        <w:tc>
          <w:tcPr>
            <w:tcW w:type="dxa" w:w="3600"/>
            <w:tcBorders>
              <w:top w:val="single" w:color="C8D0DF" w:sz="1"/>
              <w:left w:val="single" w:color="C8D0DF" w:sz="1"/>
              <w:bottom w:val="single" w:color="C8D0DF" w:sz="1"/>
              <w:right w:val="single" w:color="C8D0DF" w:sz="1"/>
            </w:tcBorders>
            <w:shd w:fill="F5F6FA"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User must complete higher-tier KYC verification.</w:t>
            </w:r>
          </w:p>
        </w:tc>
      </w:tr>
      <w:tr>
        <w:tc>
          <w:tcPr>
            <w:tcW w:type="dxa" w:w="24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UNKNOWN_EXTENSION_VERSION</w:t>
            </w:r>
          </w:p>
        </w:tc>
        <w:tc>
          <w:tcPr>
            <w:tcW w:type="dxa" w:w="336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Extension payload version not recognised.</w:t>
            </w:r>
          </w:p>
        </w:tc>
        <w:tc>
          <w:tcPr>
            <w:tcW w:type="dxa" w:w="3600"/>
            <w:tcBorders>
              <w:top w:val="single" w:color="C8D0DF" w:sz="1"/>
              <w:left w:val="single" w:color="C8D0DF" w:sz="1"/>
              <w:bottom w:val="single" w:color="C8D0DF" w:sz="1"/>
              <w:right w:val="single" w:color="C8D0DF" w:sz="1"/>
            </w:tcBorders>
            <w:shd w:fill="FFFFFF" w:val="clear"/>
            <w:tcMar>
              <w:top w:type="dxa" w:w="80"/>
              <w:left w:type="dxa" w:w="140"/>
              <w:bottom w:type="dxa" w:w="80"/>
              <w:right w:type="dxa" w:w="140"/>
            </w:tcMar>
          </w:tcPr>
          <w:p>
            <w:r>
              <w:rPr>
                <w:rFonts w:ascii="Arial" w:cs="Arial" w:eastAsia="Arial" w:hAnsi="Arial"/>
                <w:b w:val="false"/>
                <w:bCs w:val="false"/>
                <w:i w:val="false"/>
                <w:iCs w:val="false"/>
                <w:color w:val="1A1A2E"/>
                <w:sz w:val="20"/>
                <w:szCs w:val="20"/>
              </w:rPr>
              <w:t xml:space="preserve">Update wallet client to latest version.</w:t>
            </w:r>
          </w:p>
        </w:tc>
      </w:tr>
    </w:tbl>
    <w:p>
      <w:pPr>
        <w:pStyle w:val="Heading1"/>
        <w:spacing w:before="480" w:after="120"/>
      </w:pPr>
      <w:r>
        <w:rPr>
          <w:rFonts w:ascii="Arial" w:cs="Arial" w:eastAsia="Arial" w:hAnsi="Arial"/>
          <w:b/>
          <w:bCs/>
          <w:i w:val="false"/>
          <w:iCs w:val="false"/>
          <w:color w:val="0D2137"/>
          <w:sz w:val="30"/>
          <w:szCs w:val="30"/>
        </w:rPr>
        <w:t xml:space="preserve">10. Open Items and Dependencies on Protocol Chamber</w:t>
      </w:r>
    </w:p>
    <w:p>
      <w:pPr>
        <w:pBdr>
          <w:bottom w:val="single" w:color="B87333" w:sz="8" w:space="1"/>
        </w:pBdr>
        <w:spacing w:before="0" w:after="160"/>
      </w:pPr>
    </w:p>
    <w:p>
      <w:pPr>
        <w:spacing w:before="60" w:after="120"/>
        <w:jc w:val="both"/>
      </w:pPr>
      <w:r>
        <w:rPr>
          <w:rFonts w:ascii="Arial" w:cs="Arial" w:eastAsia="Arial" w:hAnsi="Arial"/>
          <w:b w:val="false"/>
          <w:bCs w:val="false"/>
          <w:i w:val="false"/>
          <w:iCs w:val="false"/>
          <w:color w:val="1A1A2E"/>
          <w:sz w:val="22"/>
          <w:szCs w:val="22"/>
        </w:rPr>
        <w:t xml:space="preserve">The following parameters and decisions are explicitly deferred to the Protocol Chamber and must be resolved before testnet launch. This list is exhaustive for Module 01.</w:t>
      </w:r>
    </w:p>
    <w:p>
      <w:pPr>
        <w:spacing w:before="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000"/>
        <w:gridCol w:w="2960"/>
        <w:gridCol w:w="3000"/>
      </w:tblGrid>
      <w:tr>
        <w:tc>
          <w:tcPr>
            <w:tcW w:type="dxa" w:w="400"/>
            <w:tcBorders>
              <w:top w:val="single" w:color="C8D0DF" w:sz="1"/>
              <w:left w:val="single" w:color="C8D0DF" w:sz="1"/>
              <w:bottom w:val="single" w:color="C8D0DF" w:sz="1"/>
              <w:right w:val="single" w:color="C8D0DF" w:sz="1"/>
            </w:tcBorders>
            <w:shd w:fill="0D2137" w:val="clear"/>
            <w:tcMar>
              <w:top w:type="dxa" w:w="80"/>
              <w:left w:type="dxa" w:w="100"/>
              <w:bottom w:type="dxa" w:w="80"/>
              <w:right w:type="dxa" w:w="100"/>
            </w:tcMar>
          </w:tcPr>
          <w:p>
            <w:r>
              <w:rPr>
                <w:rFonts w:ascii="Arial" w:cs="Arial" w:eastAsia="Arial" w:hAnsi="Arial"/>
                <w:b/>
                <w:bCs/>
                <w:i w:val="false"/>
                <w:iCs w:val="false"/>
                <w:color w:val="FFFFFF"/>
                <w:sz w:val="19"/>
                <w:szCs w:val="19"/>
              </w:rPr>
              <w:t xml:space="preserve">#</w:t>
            </w:r>
          </w:p>
        </w:tc>
        <w:tc>
          <w:tcPr>
            <w:tcW w:type="dxa" w:w="3000"/>
            <w:tcBorders>
              <w:top w:val="single" w:color="C8D0DF" w:sz="1"/>
              <w:left w:val="single" w:color="C8D0DF" w:sz="1"/>
              <w:bottom w:val="single" w:color="C8D0DF" w:sz="1"/>
              <w:right w:val="single" w:color="C8D0DF" w:sz="1"/>
            </w:tcBorders>
            <w:shd w:fill="0D2137" w:val="clear"/>
            <w:tcMar>
              <w:top w:type="dxa" w:w="80"/>
              <w:left w:type="dxa" w:w="100"/>
              <w:bottom w:type="dxa" w:w="80"/>
              <w:right w:type="dxa" w:w="100"/>
            </w:tcMar>
          </w:tcPr>
          <w:p>
            <w:r>
              <w:rPr>
                <w:rFonts w:ascii="Arial" w:cs="Arial" w:eastAsia="Arial" w:hAnsi="Arial"/>
                <w:b/>
                <w:bCs/>
                <w:i w:val="false"/>
                <w:iCs w:val="false"/>
                <w:color w:val="FFFFFF"/>
                <w:sz w:val="19"/>
                <w:szCs w:val="19"/>
              </w:rPr>
              <w:t xml:space="preserve">Parameter</w:t>
            </w:r>
          </w:p>
        </w:tc>
        <w:tc>
          <w:tcPr>
            <w:tcW w:type="dxa" w:w="2960"/>
            <w:tcBorders>
              <w:top w:val="single" w:color="C8D0DF" w:sz="1"/>
              <w:left w:val="single" w:color="C8D0DF" w:sz="1"/>
              <w:bottom w:val="single" w:color="C8D0DF" w:sz="1"/>
              <w:right w:val="single" w:color="C8D0DF" w:sz="1"/>
            </w:tcBorders>
            <w:shd w:fill="0D2137" w:val="clear"/>
            <w:tcMar>
              <w:top w:type="dxa" w:w="80"/>
              <w:left w:type="dxa" w:w="100"/>
              <w:bottom w:type="dxa" w:w="80"/>
              <w:right w:type="dxa" w:w="100"/>
            </w:tcMar>
          </w:tcPr>
          <w:p>
            <w:r>
              <w:rPr>
                <w:rFonts w:ascii="Arial" w:cs="Arial" w:eastAsia="Arial" w:hAnsi="Arial"/>
                <w:b/>
                <w:bCs/>
                <w:i w:val="false"/>
                <w:iCs w:val="false"/>
                <w:color w:val="FFFFFF"/>
                <w:sz w:val="19"/>
                <w:szCs w:val="19"/>
              </w:rPr>
              <w:t xml:space="preserve">Current Placeholder</w:t>
            </w:r>
          </w:p>
        </w:tc>
        <w:tc>
          <w:tcPr>
            <w:tcW w:type="dxa" w:w="3000"/>
            <w:tcBorders>
              <w:top w:val="single" w:color="C8D0DF" w:sz="1"/>
              <w:left w:val="single" w:color="C8D0DF" w:sz="1"/>
              <w:bottom w:val="single" w:color="C8D0DF" w:sz="1"/>
              <w:right w:val="single" w:color="C8D0DF" w:sz="1"/>
            </w:tcBorders>
            <w:shd w:fill="0D2137" w:val="clear"/>
            <w:tcMar>
              <w:top w:type="dxa" w:w="80"/>
              <w:left w:type="dxa" w:w="100"/>
              <w:bottom w:type="dxa" w:w="80"/>
              <w:right w:type="dxa" w:w="100"/>
            </w:tcMar>
          </w:tcPr>
          <w:p>
            <w:r>
              <w:rPr>
                <w:rFonts w:ascii="Arial" w:cs="Arial" w:eastAsia="Arial" w:hAnsi="Arial"/>
                <w:b/>
                <w:bCs/>
                <w:i w:val="false"/>
                <w:iCs w:val="false"/>
                <w:color w:val="FFFFFF"/>
                <w:sz w:val="19"/>
                <w:szCs w:val="19"/>
              </w:rPr>
              <w:t xml:space="preserve">Required Action</w:t>
            </w:r>
          </w:p>
        </w:tc>
      </w:tr>
      <w:tr>
        <w:tc>
          <w:tcPr>
            <w:tcW w:type="dxa" w:w="400"/>
            <w:tcBorders>
              <w:top w:val="single" w:color="C8D0DF" w:sz="1"/>
              <w:left w:val="single" w:color="C8D0DF" w:sz="1"/>
              <w:bottom w:val="single" w:color="C8D0DF" w:sz="1"/>
              <w:right w:val="single" w:color="C8D0DF" w:sz="1"/>
            </w:tcBorders>
            <w:shd w:fill="F5F6FA"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1</w:t>
            </w:r>
          </w:p>
        </w:tc>
        <w:tc>
          <w:tcPr>
            <w:tcW w:type="dxa" w:w="3000"/>
            <w:tcBorders>
              <w:top w:val="single" w:color="C8D0DF" w:sz="1"/>
              <w:left w:val="single" w:color="C8D0DF" w:sz="1"/>
              <w:bottom w:val="single" w:color="C8D0DF" w:sz="1"/>
              <w:right w:val="single" w:color="C8D0DF" w:sz="1"/>
            </w:tcBorders>
            <w:shd w:fill="F5F6FA"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KYC Floor (Tier 1 threshold)</w:t>
            </w:r>
          </w:p>
        </w:tc>
        <w:tc>
          <w:tcPr>
            <w:tcW w:type="dxa" w:w="2960"/>
            <w:tcBorders>
              <w:top w:val="single" w:color="C8D0DF" w:sz="1"/>
              <w:left w:val="single" w:color="C8D0DF" w:sz="1"/>
              <w:bottom w:val="single" w:color="C8D0DF" w:sz="1"/>
              <w:right w:val="single" w:color="C8D0DF" w:sz="1"/>
            </w:tcBorders>
            <w:shd w:fill="F5F6FA"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500 PADU (~500 EUR)</w:t>
            </w:r>
          </w:p>
        </w:tc>
        <w:tc>
          <w:tcPr>
            <w:tcW w:type="dxa" w:w="3000"/>
            <w:tcBorders>
              <w:top w:val="single" w:color="C8D0DF" w:sz="1"/>
              <w:left w:val="single" w:color="C8D0DF" w:sz="1"/>
              <w:bottom w:val="single" w:color="C8D0DF" w:sz="1"/>
              <w:right w:val="single" w:color="C8D0DF" w:sz="1"/>
            </w:tcBorders>
            <w:shd w:fill="F5F6FA"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Protocol Chamber vote. Must precede testnet.</w:t>
            </w:r>
          </w:p>
        </w:tc>
      </w:tr>
      <w:tr>
        <w:tc>
          <w:tcPr>
            <w:tcW w:type="dxa" w:w="400"/>
            <w:tcBorders>
              <w:top w:val="single" w:color="C8D0DF" w:sz="1"/>
              <w:left w:val="single" w:color="C8D0DF" w:sz="1"/>
              <w:bottom w:val="single" w:color="C8D0DF" w:sz="1"/>
              <w:right w:val="single" w:color="C8D0DF" w:sz="1"/>
            </w:tcBorders>
            <w:shd w:fill="FFFFFF"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2</w:t>
            </w:r>
          </w:p>
        </w:tc>
        <w:tc>
          <w:tcPr>
            <w:tcW w:type="dxa" w:w="3000"/>
            <w:tcBorders>
              <w:top w:val="single" w:color="C8D0DF" w:sz="1"/>
              <w:left w:val="single" w:color="C8D0DF" w:sz="1"/>
              <w:bottom w:val="single" w:color="C8D0DF" w:sz="1"/>
              <w:right w:val="single" w:color="C8D0DF" w:sz="1"/>
            </w:tcBorders>
            <w:shd w:fill="FFFFFF"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KYC Tier 2 threshold multiplier</w:t>
            </w:r>
          </w:p>
        </w:tc>
        <w:tc>
          <w:tcPr>
            <w:tcW w:type="dxa" w:w="2960"/>
            <w:tcBorders>
              <w:top w:val="single" w:color="C8D0DF" w:sz="1"/>
              <w:left w:val="single" w:color="C8D0DF" w:sz="1"/>
              <w:bottom w:val="single" w:color="C8D0DF" w:sz="1"/>
              <w:right w:val="single" w:color="C8D0DF" w:sz="1"/>
            </w:tcBorders>
            <w:shd w:fill="FFFFFF"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10× Tier 1 Floor</w:t>
            </w:r>
          </w:p>
        </w:tc>
        <w:tc>
          <w:tcPr>
            <w:tcW w:type="dxa" w:w="3000"/>
            <w:tcBorders>
              <w:top w:val="single" w:color="C8D0DF" w:sz="1"/>
              <w:left w:val="single" w:color="C8D0DF" w:sz="1"/>
              <w:bottom w:val="single" w:color="C8D0DF" w:sz="1"/>
              <w:right w:val="single" w:color="C8D0DF" w:sz="1"/>
            </w:tcBorders>
            <w:shd w:fill="FFFFFF"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Protocol Chamber vote.</w:t>
            </w:r>
          </w:p>
        </w:tc>
      </w:tr>
      <w:tr>
        <w:tc>
          <w:tcPr>
            <w:tcW w:type="dxa" w:w="400"/>
            <w:tcBorders>
              <w:top w:val="single" w:color="C8D0DF" w:sz="1"/>
              <w:left w:val="single" w:color="C8D0DF" w:sz="1"/>
              <w:bottom w:val="single" w:color="C8D0DF" w:sz="1"/>
              <w:right w:val="single" w:color="C8D0DF" w:sz="1"/>
            </w:tcBorders>
            <w:shd w:fill="F5F6FA"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3</w:t>
            </w:r>
          </w:p>
        </w:tc>
        <w:tc>
          <w:tcPr>
            <w:tcW w:type="dxa" w:w="3000"/>
            <w:tcBorders>
              <w:top w:val="single" w:color="C8D0DF" w:sz="1"/>
              <w:left w:val="single" w:color="C8D0DF" w:sz="1"/>
              <w:bottom w:val="single" w:color="C8D0DF" w:sz="1"/>
              <w:right w:val="single" w:color="C8D0DF" w:sz="1"/>
            </w:tcBorders>
            <w:shd w:fill="F5F6FA"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Proof validity period</w:t>
            </w:r>
          </w:p>
        </w:tc>
        <w:tc>
          <w:tcPr>
            <w:tcW w:type="dxa" w:w="2960"/>
            <w:tcBorders>
              <w:top w:val="single" w:color="C8D0DF" w:sz="1"/>
              <w:left w:val="single" w:color="C8D0DF" w:sz="1"/>
              <w:bottom w:val="single" w:color="C8D0DF" w:sz="1"/>
              <w:right w:val="single" w:color="C8D0DF" w:sz="1"/>
            </w:tcBorders>
            <w:shd w:fill="F5F6FA"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12 months</w:t>
            </w:r>
          </w:p>
        </w:tc>
        <w:tc>
          <w:tcPr>
            <w:tcW w:type="dxa" w:w="3000"/>
            <w:tcBorders>
              <w:top w:val="single" w:color="C8D0DF" w:sz="1"/>
              <w:left w:val="single" w:color="C8D0DF" w:sz="1"/>
              <w:bottom w:val="single" w:color="C8D0DF" w:sz="1"/>
              <w:right w:val="single" w:color="C8D0DF" w:sz="1"/>
            </w:tcBorders>
            <w:shd w:fill="F5F6FA"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Protocol Chamber vote.</w:t>
            </w:r>
          </w:p>
        </w:tc>
      </w:tr>
      <w:tr>
        <w:tc>
          <w:tcPr>
            <w:tcW w:type="dxa" w:w="400"/>
            <w:tcBorders>
              <w:top w:val="single" w:color="C8D0DF" w:sz="1"/>
              <w:left w:val="single" w:color="C8D0DF" w:sz="1"/>
              <w:bottom w:val="single" w:color="C8D0DF" w:sz="1"/>
              <w:right w:val="single" w:color="C8D0DF" w:sz="1"/>
            </w:tcBorders>
            <w:shd w:fill="FFFFFF"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4</w:t>
            </w:r>
          </w:p>
        </w:tc>
        <w:tc>
          <w:tcPr>
            <w:tcW w:type="dxa" w:w="3000"/>
            <w:tcBorders>
              <w:top w:val="single" w:color="C8D0DF" w:sz="1"/>
              <w:left w:val="single" w:color="C8D0DF" w:sz="1"/>
              <w:bottom w:val="single" w:color="C8D0DF" w:sz="1"/>
              <w:right w:val="single" w:color="C8D0DF" w:sz="1"/>
            </w:tcBorders>
            <w:shd w:fill="FFFFFF"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PADU BIP-44 coin type</w:t>
            </w:r>
          </w:p>
        </w:tc>
        <w:tc>
          <w:tcPr>
            <w:tcW w:type="dxa" w:w="2960"/>
            <w:tcBorders>
              <w:top w:val="single" w:color="C8D0DF" w:sz="1"/>
              <w:left w:val="single" w:color="C8D0DF" w:sz="1"/>
              <w:bottom w:val="single" w:color="C8D0DF" w:sz="1"/>
              <w:right w:val="single" w:color="C8D0DF" w:sz="1"/>
            </w:tcBorders>
            <w:shd w:fill="FFFFFF"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7777 (placeholder)</w:t>
            </w:r>
          </w:p>
        </w:tc>
        <w:tc>
          <w:tcPr>
            <w:tcW w:type="dxa" w:w="3000"/>
            <w:tcBorders>
              <w:top w:val="single" w:color="C8D0DF" w:sz="1"/>
              <w:left w:val="single" w:color="C8D0DF" w:sz="1"/>
              <w:bottom w:val="single" w:color="C8D0DF" w:sz="1"/>
              <w:right w:val="single" w:color="C8D0DF" w:sz="1"/>
            </w:tcBorders>
            <w:shd w:fill="FFFFFF"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Register with BIP-44 repository.</w:t>
            </w:r>
          </w:p>
        </w:tc>
      </w:tr>
      <w:tr>
        <w:tc>
          <w:tcPr>
            <w:tcW w:type="dxa" w:w="400"/>
            <w:tcBorders>
              <w:top w:val="single" w:color="C8D0DF" w:sz="1"/>
              <w:left w:val="single" w:color="C8D0DF" w:sz="1"/>
              <w:bottom w:val="single" w:color="C8D0DF" w:sz="1"/>
              <w:right w:val="single" w:color="C8D0DF" w:sz="1"/>
            </w:tcBorders>
            <w:shd w:fill="F5F6FA"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5</w:t>
            </w:r>
          </w:p>
        </w:tc>
        <w:tc>
          <w:tcPr>
            <w:tcW w:type="dxa" w:w="3000"/>
            <w:tcBorders>
              <w:top w:val="single" w:color="C8D0DF" w:sz="1"/>
              <w:left w:val="single" w:color="C8D0DF" w:sz="1"/>
              <w:bottom w:val="single" w:color="C8D0DF" w:sz="1"/>
              <w:right w:val="single" w:color="C8D0DF" w:sz="1"/>
            </w:tcBorders>
            <w:shd w:fill="F5F6FA"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PADU Chain ID</w:t>
            </w:r>
          </w:p>
        </w:tc>
        <w:tc>
          <w:tcPr>
            <w:tcW w:type="dxa" w:w="2960"/>
            <w:tcBorders>
              <w:top w:val="single" w:color="C8D0DF" w:sz="1"/>
              <w:left w:val="single" w:color="C8D0DF" w:sz="1"/>
              <w:bottom w:val="single" w:color="C8D0DF" w:sz="1"/>
              <w:right w:val="single" w:color="C8D0DF" w:sz="1"/>
            </w:tcBorders>
            <w:shd w:fill="F5F6FA"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TBD</w:t>
            </w:r>
          </w:p>
        </w:tc>
        <w:tc>
          <w:tcPr>
            <w:tcW w:type="dxa" w:w="3000"/>
            <w:tcBorders>
              <w:top w:val="single" w:color="C8D0DF" w:sz="1"/>
              <w:left w:val="single" w:color="C8D0DF" w:sz="1"/>
              <w:bottom w:val="single" w:color="C8D0DF" w:sz="1"/>
              <w:right w:val="single" w:color="C8D0DF" w:sz="1"/>
            </w:tcBorders>
            <w:shd w:fill="F5F6FA"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Assign and register to prevent replay conflicts.</w:t>
            </w:r>
          </w:p>
        </w:tc>
      </w:tr>
      <w:tr>
        <w:tc>
          <w:tcPr>
            <w:tcW w:type="dxa" w:w="400"/>
            <w:tcBorders>
              <w:top w:val="single" w:color="C8D0DF" w:sz="1"/>
              <w:left w:val="single" w:color="C8D0DF" w:sz="1"/>
              <w:bottom w:val="single" w:color="C8D0DF" w:sz="1"/>
              <w:right w:val="single" w:color="C8D0DF" w:sz="1"/>
            </w:tcBorders>
            <w:shd w:fill="FFFFFF"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6</w:t>
            </w:r>
          </w:p>
        </w:tc>
        <w:tc>
          <w:tcPr>
            <w:tcW w:type="dxa" w:w="3000"/>
            <w:tcBorders>
              <w:top w:val="single" w:color="C8D0DF" w:sz="1"/>
              <w:left w:val="single" w:color="C8D0DF" w:sz="1"/>
              <w:bottom w:val="single" w:color="C8D0DF" w:sz="1"/>
              <w:right w:val="single" w:color="C8D0DF" w:sz="1"/>
            </w:tcBorders>
            <w:shd w:fill="FFFFFF"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Initial accredited oracle set</w:t>
            </w:r>
          </w:p>
        </w:tc>
        <w:tc>
          <w:tcPr>
            <w:tcW w:type="dxa" w:w="2960"/>
            <w:tcBorders>
              <w:top w:val="single" w:color="C8D0DF" w:sz="1"/>
              <w:left w:val="single" w:color="C8D0DF" w:sz="1"/>
              <w:bottom w:val="single" w:color="C8D0DF" w:sz="1"/>
              <w:right w:val="single" w:color="C8D0DF" w:sz="1"/>
            </w:tcBorders>
            <w:shd w:fill="FFFFFF"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None confirmed</w:t>
            </w:r>
          </w:p>
        </w:tc>
        <w:tc>
          <w:tcPr>
            <w:tcW w:type="dxa" w:w="3000"/>
            <w:tcBorders>
              <w:top w:val="single" w:color="C8D0DF" w:sz="1"/>
              <w:left w:val="single" w:color="C8D0DF" w:sz="1"/>
              <w:bottom w:val="single" w:color="C8D0DF" w:sz="1"/>
              <w:right w:val="single" w:color="C8D0DF" w:sz="1"/>
            </w:tcBorders>
            <w:shd w:fill="FFFFFF"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Protocol Chamber to issue accreditation RFP.</w:t>
            </w:r>
          </w:p>
        </w:tc>
      </w:tr>
      <w:tr>
        <w:tc>
          <w:tcPr>
            <w:tcW w:type="dxa" w:w="400"/>
            <w:tcBorders>
              <w:top w:val="single" w:color="C8D0DF" w:sz="1"/>
              <w:left w:val="single" w:color="C8D0DF" w:sz="1"/>
              <w:bottom w:val="single" w:color="C8D0DF" w:sz="1"/>
              <w:right w:val="single" w:color="C8D0DF" w:sz="1"/>
            </w:tcBorders>
            <w:shd w:fill="F5F6FA"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7</w:t>
            </w:r>
          </w:p>
        </w:tc>
        <w:tc>
          <w:tcPr>
            <w:tcW w:type="dxa" w:w="3000"/>
            <w:tcBorders>
              <w:top w:val="single" w:color="C8D0DF" w:sz="1"/>
              <w:left w:val="single" w:color="C8D0DF" w:sz="1"/>
              <w:bottom w:val="single" w:color="C8D0DF" w:sz="1"/>
              <w:right w:val="single" w:color="C8D0DF" w:sz="1"/>
            </w:tcBorders>
            <w:shd w:fill="F5F6FA"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Groth16 circuit parameter ceremony</w:t>
            </w:r>
          </w:p>
        </w:tc>
        <w:tc>
          <w:tcPr>
            <w:tcW w:type="dxa" w:w="2960"/>
            <w:tcBorders>
              <w:top w:val="single" w:color="C8D0DF" w:sz="1"/>
              <w:left w:val="single" w:color="C8D0DF" w:sz="1"/>
              <w:bottom w:val="single" w:color="C8D0DF" w:sz="1"/>
              <w:right w:val="single" w:color="C8D0DF" w:sz="1"/>
            </w:tcBorders>
            <w:shd w:fill="F5F6FA"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Not started</w:t>
            </w:r>
          </w:p>
        </w:tc>
        <w:tc>
          <w:tcPr>
            <w:tcW w:type="dxa" w:w="3000"/>
            <w:tcBorders>
              <w:top w:val="single" w:color="C8D0DF" w:sz="1"/>
              <w:left w:val="single" w:color="C8D0DF" w:sz="1"/>
              <w:bottom w:val="single" w:color="C8D0DF" w:sz="1"/>
              <w:right w:val="single" w:color="C8D0DF" w:sz="1"/>
            </w:tcBorders>
            <w:shd w:fill="F5F6FA"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Requires trusted setup ceremony (Phase 1 priority).</w:t>
            </w:r>
          </w:p>
        </w:tc>
      </w:tr>
      <w:tr>
        <w:tc>
          <w:tcPr>
            <w:tcW w:type="dxa" w:w="400"/>
            <w:tcBorders>
              <w:top w:val="single" w:color="C8D0DF" w:sz="1"/>
              <w:left w:val="single" w:color="C8D0DF" w:sz="1"/>
              <w:bottom w:val="single" w:color="C8D0DF" w:sz="1"/>
              <w:right w:val="single" w:color="C8D0DF" w:sz="1"/>
            </w:tcBorders>
            <w:shd w:fill="FFFFFF"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8</w:t>
            </w:r>
          </w:p>
        </w:tc>
        <w:tc>
          <w:tcPr>
            <w:tcW w:type="dxa" w:w="3000"/>
            <w:tcBorders>
              <w:top w:val="single" w:color="C8D0DF" w:sz="1"/>
              <w:left w:val="single" w:color="C8D0DF" w:sz="1"/>
              <w:bottom w:val="single" w:color="C8D0DF" w:sz="1"/>
              <w:right w:val="single" w:color="C8D0DF" w:sz="1"/>
            </w:tcBorders>
            <w:shd w:fill="FFFFFF"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Pilot corridor RPC node operators</w:t>
            </w:r>
          </w:p>
        </w:tc>
        <w:tc>
          <w:tcPr>
            <w:tcW w:type="dxa" w:w="2960"/>
            <w:tcBorders>
              <w:top w:val="single" w:color="C8D0DF" w:sz="1"/>
              <w:left w:val="single" w:color="C8D0DF" w:sz="1"/>
              <w:bottom w:val="single" w:color="C8D0DF" w:sz="1"/>
              <w:right w:val="single" w:color="C8D0DF" w:sz="1"/>
            </w:tcBorders>
            <w:shd w:fill="FFFFFF"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TBD</w:t>
            </w:r>
          </w:p>
        </w:tc>
        <w:tc>
          <w:tcPr>
            <w:tcW w:type="dxa" w:w="3000"/>
            <w:tcBorders>
              <w:top w:val="single" w:color="C8D0DF" w:sz="1"/>
              <w:left w:val="single" w:color="C8D0DF" w:sz="1"/>
              <w:bottom w:val="single" w:color="C8D0DF" w:sz="1"/>
              <w:right w:val="single" w:color="C8D0DF" w:sz="1"/>
            </w:tcBorders>
            <w:shd w:fill="FFFFFF"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Identify 5–7 founding full node operators.</w:t>
            </w:r>
          </w:p>
        </w:tc>
      </w:tr>
      <w:tr>
        <w:tc>
          <w:tcPr>
            <w:tcW w:type="dxa" w:w="400"/>
            <w:tcBorders>
              <w:top w:val="single" w:color="C8D0DF" w:sz="1"/>
              <w:left w:val="single" w:color="C8D0DF" w:sz="1"/>
              <w:bottom w:val="single" w:color="C8D0DF" w:sz="1"/>
              <w:right w:val="single" w:color="C8D0DF" w:sz="1"/>
            </w:tcBorders>
            <w:shd w:fill="F5F6FA"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9</w:t>
            </w:r>
          </w:p>
        </w:tc>
        <w:tc>
          <w:tcPr>
            <w:tcW w:type="dxa" w:w="3000"/>
            <w:tcBorders>
              <w:top w:val="single" w:color="C8D0DF" w:sz="1"/>
              <w:left w:val="single" w:color="C8D0DF" w:sz="1"/>
              <w:bottom w:val="single" w:color="C8D0DF" w:sz="1"/>
              <w:right w:val="single" w:color="C8D0DF" w:sz="1"/>
            </w:tcBorders>
            <w:shd w:fill="F5F6FA"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Validator set composition (Phase 1)</w:t>
            </w:r>
          </w:p>
        </w:tc>
        <w:tc>
          <w:tcPr>
            <w:tcW w:type="dxa" w:w="2960"/>
            <w:tcBorders>
              <w:top w:val="single" w:color="C8D0DF" w:sz="1"/>
              <w:left w:val="single" w:color="C8D0DF" w:sz="1"/>
              <w:bottom w:val="single" w:color="C8D0DF" w:sz="1"/>
              <w:right w:val="single" w:color="C8D0DF" w:sz="1"/>
            </w:tcBorders>
            <w:shd w:fill="F5F6FA"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TBD</w:t>
            </w:r>
          </w:p>
        </w:tc>
        <w:tc>
          <w:tcPr>
            <w:tcW w:type="dxa" w:w="3000"/>
            <w:tcBorders>
              <w:top w:val="single" w:color="C8D0DF" w:sz="1"/>
              <w:left w:val="single" w:color="C8D0DF" w:sz="1"/>
              <w:bottom w:val="single" w:color="C8D0DF" w:sz="1"/>
              <w:right w:val="single" w:color="C8D0DF" w:sz="1"/>
            </w:tcBorders>
            <w:shd w:fill="F5F6FA"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Protocol Chamber founding member selection.</w:t>
            </w:r>
          </w:p>
        </w:tc>
      </w:tr>
      <w:tr>
        <w:tc>
          <w:tcPr>
            <w:tcW w:type="dxa" w:w="400"/>
            <w:tcBorders>
              <w:top w:val="single" w:color="C8D0DF" w:sz="1"/>
              <w:left w:val="single" w:color="C8D0DF" w:sz="1"/>
              <w:bottom w:val="single" w:color="C8D0DF" w:sz="1"/>
              <w:right w:val="single" w:color="C8D0DF" w:sz="1"/>
            </w:tcBorders>
            <w:shd w:fill="FFFFFF"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10</w:t>
            </w:r>
          </w:p>
        </w:tc>
        <w:tc>
          <w:tcPr>
            <w:tcW w:type="dxa" w:w="3000"/>
            <w:tcBorders>
              <w:top w:val="single" w:color="C8D0DF" w:sz="1"/>
              <w:left w:val="single" w:color="C8D0DF" w:sz="1"/>
              <w:bottom w:val="single" w:color="C8D0DF" w:sz="1"/>
              <w:right w:val="single" w:color="C8D0DF" w:sz="1"/>
            </w:tcBorders>
            <w:shd w:fill="FFFFFF"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KYC disqualification list sources</w:t>
            </w:r>
          </w:p>
        </w:tc>
        <w:tc>
          <w:tcPr>
            <w:tcW w:type="dxa" w:w="2960"/>
            <w:tcBorders>
              <w:top w:val="single" w:color="C8D0DF" w:sz="1"/>
              <w:left w:val="single" w:color="C8D0DF" w:sz="1"/>
              <w:bottom w:val="single" w:color="C8D0DF" w:sz="1"/>
              <w:right w:val="single" w:color="C8D0DF" w:sz="1"/>
            </w:tcBorders>
            <w:shd w:fill="FFFFFF"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TBD</w:t>
            </w:r>
          </w:p>
        </w:tc>
        <w:tc>
          <w:tcPr>
            <w:tcW w:type="dxa" w:w="3000"/>
            <w:tcBorders>
              <w:top w:val="single" w:color="C8D0DF" w:sz="1"/>
              <w:left w:val="single" w:color="C8D0DF" w:sz="1"/>
              <w:bottom w:val="single" w:color="C8D0DF" w:sz="1"/>
              <w:right w:val="single" w:color="C8D0DF" w:sz="1"/>
            </w:tcBorders>
            <w:shd w:fill="FFFFFF" w:val="clear"/>
            <w:tcMar>
              <w:top w:type="dxa" w:w="70"/>
              <w:left w:type="dxa" w:w="100"/>
              <w:bottom w:type="dxa" w:w="70"/>
              <w:right w:type="dxa" w:w="100"/>
            </w:tcMar>
          </w:tcPr>
          <w:p>
            <w:pPr>
              <w:jc w:val="both"/>
            </w:pPr>
            <w:r>
              <w:rPr>
                <w:rFonts w:ascii="Arial" w:cs="Arial" w:eastAsia="Arial" w:hAnsi="Arial"/>
                <w:b w:val="false"/>
                <w:bCs w:val="false"/>
                <w:i w:val="false"/>
                <w:iCs w:val="false"/>
                <w:color w:val="1A1A2E"/>
                <w:sz w:val="19"/>
                <w:szCs w:val="19"/>
              </w:rPr>
              <w:t xml:space="preserve">Protocol Chamber to define AML/sanctions list feeds.</w:t>
            </w:r>
          </w:p>
        </w:tc>
      </w:tr>
    </w:tbl>
    <w:p>
      <w:pPr>
        <w:spacing w:before="0" w:after="300"/>
      </w:pPr>
    </w:p>
    <w:p>
      <w:pPr>
        <w:pBdr>
          <w:bottom w:val="single" w:color="B87333" w:sz="8" w:space="1"/>
        </w:pBdr>
        <w:spacing w:before="0" w:after="160"/>
      </w:pPr>
    </w:p>
    <w:p>
      <w:pPr>
        <w:spacing w:before="60" w:after="120"/>
        <w:jc w:val="both"/>
      </w:pPr>
      <w:r>
        <w:rPr>
          <w:rFonts w:ascii="Arial" w:cs="Arial" w:eastAsia="Arial" w:hAnsi="Arial"/>
          <w:b w:val="false"/>
          <w:bCs w:val="false"/>
          <w:i/>
          <w:iCs/>
          <w:color w:val="888888"/>
          <w:sz w:val="22"/>
          <w:szCs w:val="22"/>
        </w:rPr>
        <w:t xml:space="preserve">End of PADU-TECH-01. Next document: PADU-TECH-02 — Protocol Chamber Architecture and Smart Contract Specifications.</w:t>
      </w:r>
    </w:p>
    <w:p>
      <w:pPr>
        <w:spacing w:before="60" w:after="120"/>
        <w:jc w:val="both"/>
      </w:pPr>
      <w:r>
        <w:rPr>
          <w:rFonts w:ascii="Arial" w:cs="Arial" w:eastAsia="Arial" w:hAnsi="Arial"/>
          <w:b w:val="false"/>
          <w:bCs w:val="false"/>
          <w:i/>
          <w:iCs/>
          <w:color w:val="888888"/>
          <w:sz w:val="22"/>
          <w:szCs w:val="22"/>
        </w:rPr>
        <w:t xml:space="preserve">Document maintained by the PADU Core Engineering Working Group. All sections are subject to revision following Protocol Chamber formation.</w:t>
      </w:r>
    </w:p>
    <w:sectPr>
      <w:headerReference w:type="default" r:id="rId6"/>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D0DF" w:sz="4" w:space="1"/>
      </w:pBdr>
      <w:spacing w:before="80"/>
      <w:jc w:val="center"/>
    </w:pPr>
    <w:r>
      <w:rPr>
        <w:rFonts w:ascii="Arial" w:cs="Arial" w:eastAsia="Arial" w:hAnsi="Arial"/>
        <w:b w:val="false"/>
        <w:bCs w:val="false"/>
        <w:i w:val="false"/>
        <w:iCs w:val="false"/>
        <w:color w:val="888888"/>
        <w:sz w:val="16"/>
        <w:szCs w:val="16"/>
      </w:rPr>
      <w:t xml:space="preserve">PADU Technical Spec — CONFIDENTIAL — 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b w:val="false"/>
        <w:bCs w:val="false"/>
        <w:i w:val="false"/>
        <w:iCs w:val="false"/>
        <w:color w:val="888888"/>
        <w:sz w:val="16"/>
        <w:szCs w:val="16"/>
      </w:rPr>
      <w:t xml:space="preserve"> /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0DF" w:sz="4" w:space="1"/>
      </w:pBdr>
      <w:spacing w:before="0" w:after="80"/>
    </w:pPr>
    <w:r>
      <w:rPr>
        <w:rFonts w:ascii="Arial" w:cs="Arial" w:eastAsia="Arial" w:hAnsi="Arial"/>
        <w:b w:val="false"/>
        <w:bCs w:val="false"/>
        <w:i w:val="false"/>
        <w:iCs w:val="false"/>
        <w:color w:val="888888"/>
        <w:sz w:val="16"/>
        <w:szCs w:val="16"/>
      </w:rPr>
      <w:t xml:space="preserve">PADU — Technical Specification v0.1</w:t>
    </w:r>
    <w:r>
      <w:rPr>
        <w:rFonts w:ascii="Arial" w:cs="Arial" w:eastAsia="Arial" w:hAnsi="Arial"/>
        <w:b w:val="false"/>
        <w:bCs w:val="false"/>
        <w:i/>
        <w:iCs/>
        <w:color w:val="888888"/>
        <w:sz w:val="16"/>
        <w:szCs w:val="16"/>
      </w:rPr>
      <w:t xml:space="preserve">     |     Wallet &amp; Identity Layer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120"/>
      <w:outlineLvl w:val="0"/>
    </w:pPr>
    <w:rPr>
      <w:rFonts w:ascii="Arial" w:cs="Arial" w:eastAsia="Arial" w:hAnsi="Arial"/>
      <w:b/>
      <w:bCs/>
      <w:color w:val="0D2137"/>
      <w:sz w:val="30"/>
      <w:szCs w:val="30"/>
    </w:rPr>
  </w:style>
  <w:style w:type="paragraph" w:styleId="Heading2">
    <w:name w:val="Heading 2"/>
    <w:basedOn w:val="Normal"/>
    <w:next w:val="Normal"/>
    <w:qFormat/>
    <w:pPr>
      <w:spacing w:before="320" w:after="80"/>
      <w:outlineLvl w:val="1"/>
    </w:pPr>
    <w:rPr>
      <w:rFonts w:ascii="Arial" w:cs="Arial" w:eastAsia="Arial" w:hAnsi="Arial"/>
      <w:b/>
      <w:bCs/>
      <w:color w:val="1A4A7A"/>
      <w:sz w:val="25"/>
      <w:szCs w:val="25"/>
    </w:rPr>
  </w:style>
  <w:style w:type="paragraph" w:styleId="Heading3">
    <w:name w:val="Heading 3"/>
    <w:basedOn w:val="Normal"/>
    <w:next w:val="Normal"/>
    <w:qFormat/>
    <w:pPr>
      <w:spacing w:before="240" w:after="60"/>
      <w:outlineLvl w:val="2"/>
    </w:pPr>
    <w:rPr>
      <w:rFonts w:ascii="Arial" w:cs="Arial" w:eastAsia="Arial" w:hAnsi="Arial"/>
      <w:b/>
      <w:bCs/>
      <w:color w:val="1A7A4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2026-03-13T00:29:01.725Z</dcterms:created>
  <dcterms:modified xsi:type="dcterms:W3CDTF">2026-03-13T00:29:01.725Z</dcterms:modified>
</cp:coreProperties>
</file>

<file path=docProps/custom.xml><?xml version="1.0" encoding="utf-8"?>
<Properties xmlns="http://schemas.openxmlformats.org/officeDocument/2006/custom-properties" xmlns:vt="http://schemas.openxmlformats.org/officeDocument/2006/docPropsVTypes"/>
</file>