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22A" w:sz="30" w:space="1"/>
        </w:pBdr>
        <w:spacing w:before="200" w:after="0"/>
      </w:pPr>
    </w:p>
    <w:p>
      <w:pPr>
        <w:spacing w:before="0" w:after="200"/>
      </w:pPr>
    </w:p>
    <w:p>
      <w:pPr>
        <w:jc w:val="center"/>
      </w:pPr>
      <w:r>
        <w:rPr>
          <w:rFonts w:ascii="Arial" w:cs="Arial" w:eastAsia="Arial" w:hAnsi="Arial"/>
          <w:b/>
          <w:bCs/>
          <w:i w:val="false"/>
          <w:iCs w:val="false"/>
          <w:color w:val="C8922A"/>
          <w:sz w:val="20"/>
          <w:szCs w:val="20"/>
        </w:rPr>
        <w:t xml:space="preserve">GOVERNANCE DOCUMENT</w:t>
      </w:r>
    </w:p>
    <w:p>
      <w:pPr>
        <w:spacing w:before="0" w:after="60"/>
      </w:pPr>
    </w:p>
    <w:p>
      <w:pPr>
        <w:jc w:val="center"/>
      </w:pPr>
      <w:r>
        <w:rPr>
          <w:rFonts w:ascii="Arial" w:cs="Arial" w:eastAsia="Arial" w:hAnsi="Arial"/>
          <w:b/>
          <w:bCs/>
          <w:i w:val="false"/>
          <w:iCs w:val="false"/>
          <w:color w:val="2A0A14"/>
          <w:sz w:val="40"/>
          <w:szCs w:val="40"/>
        </w:rPr>
        <w:t xml:space="preserve">Pan-African Digital Unit (PADU)</w:t>
      </w:r>
    </w:p>
    <w:p>
      <w:pPr>
        <w:spacing w:before="0" w:after="80"/>
      </w:pPr>
    </w:p>
    <w:p>
      <w:pPr>
        <w:jc w:val="center"/>
      </w:pPr>
      <w:r>
        <w:rPr>
          <w:rFonts w:ascii="Arial" w:cs="Arial" w:eastAsia="Arial" w:hAnsi="Arial"/>
          <w:b/>
          <w:bCs/>
          <w:i w:val="false"/>
          <w:iCs w:val="false"/>
          <w:color w:val="6B1A2A"/>
          <w:sz w:val="28"/>
          <w:szCs w:val="28"/>
        </w:rPr>
        <w:t xml:space="preserve">PADU-GOV-01</w:t>
      </w:r>
    </w:p>
    <w:p>
      <w:pPr>
        <w:spacing w:before="0" w:after="40"/>
      </w:pPr>
    </w:p>
    <w:p>
      <w:pPr>
        <w:jc w:val="center"/>
      </w:pPr>
      <w:r>
        <w:rPr>
          <w:rFonts w:ascii="Arial" w:cs="Arial" w:eastAsia="Arial" w:hAnsi="Arial"/>
          <w:b w:val="false"/>
          <w:bCs w:val="false"/>
          <w:i/>
          <w:iCs/>
          <w:color w:val="1A2035"/>
          <w:sz w:val="24"/>
          <w:szCs w:val="24"/>
        </w:rPr>
        <w:t xml:space="preserve">Constitutional Framework of the Social Fund Administration Body</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Document ID</w:t>
            </w:r>
          </w:p>
        </w:tc>
        <w:tc>
          <w:tcPr>
            <w:tcW w:type="dxa" w:w="7360"/>
            <w:tcBorders>
              <w:top w:val="single" w:color="FFFFFF" w:sz="1"/>
              <w:left w:val="single" w:color="FFFFFF" w:sz="1"/>
              <w:bottom w:val="single" w:color="FFFFFF" w:sz="1"/>
              <w:right w:val="single" w:color="FFFFFF" w:sz="1"/>
            </w:tcBorders>
            <w:shd w:fill="F6F5F2"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PADU-GOV-01</w:t>
            </w:r>
          </w:p>
        </w:tc>
      </w:tr>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Version</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0.1 — Founding Draft, for collective review and adoption by founding members</w:t>
            </w:r>
          </w:p>
        </w:tc>
      </w:tr>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Status</w:t>
            </w:r>
          </w:p>
        </w:tc>
        <w:tc>
          <w:tcPr>
            <w:tcW w:type="dxa" w:w="7360"/>
            <w:tcBorders>
              <w:top w:val="single" w:color="FFFFFF" w:sz="1"/>
              <w:left w:val="single" w:color="FFFFFF" w:sz="1"/>
              <w:bottom w:val="single" w:color="FFFFFF" w:sz="1"/>
              <w:right w:val="single" w:color="FFFFFF" w:sz="1"/>
            </w:tcBorders>
            <w:shd w:fill="F6F5F2"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Pre-adoption — This framework becomes binding upon formal adoption by the founding membership of both Colleges</w:t>
            </w:r>
          </w:p>
        </w:tc>
      </w:tr>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Audience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Prospective founding members, civil society organisations, government liaisons, PADU Core Working Group</w:t>
            </w:r>
          </w:p>
        </w:tc>
      </w:tr>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Nature</w:t>
            </w:r>
          </w:p>
        </w:tc>
        <w:tc>
          <w:tcPr>
            <w:tcW w:type="dxa" w:w="7360"/>
            <w:tcBorders>
              <w:top w:val="single" w:color="FFFFFF" w:sz="1"/>
              <w:left w:val="single" w:color="FFFFFF" w:sz="1"/>
              <w:bottom w:val="single" w:color="FFFFFF" w:sz="1"/>
              <w:right w:val="single" w:color="FFFFFF" w:sz="1"/>
            </w:tcBorders>
            <w:shd w:fill="F6F5F2"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Constitutional framework in the tradition of international non-governmental organisations. Final legal form to be determined collectively by founding members in accordance with the chosen legal domicile.</w:t>
            </w:r>
          </w:p>
        </w:tc>
      </w:tr>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Companion docs</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PADU-TECH-03A (Social Fund technical architecture), PADU-TECH-03B (Remunerative Reserve), PADU-GOV-02 (Legal &amp; Regulatory Strategy — forthcoming)</w:t>
            </w:r>
          </w:p>
        </w:tc>
      </w:tr>
      <w:tr>
        <w:tc>
          <w:tcPr>
            <w:tcW w:type="dxa" w:w="2000"/>
            <w:tcBorders>
              <w:top w:val="single" w:color="FFFFFF" w:sz="1"/>
              <w:left w:val="single" w:color="FFFFFF" w:sz="1"/>
              <w:bottom w:val="single" w:color="FFFFFF" w:sz="1"/>
              <w:right w:val="single" w:color="FFFFFF" w:sz="1"/>
            </w:tcBorders>
            <w:shd w:fill="2A0A14"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Scope</w:t>
            </w:r>
          </w:p>
        </w:tc>
        <w:tc>
          <w:tcPr>
            <w:tcW w:type="dxa" w:w="7360"/>
            <w:tcBorders>
              <w:top w:val="single" w:color="FFFFFF" w:sz="1"/>
              <w:left w:val="single" w:color="FFFFFF" w:sz="1"/>
              <w:bottom w:val="single" w:color="FFFFFF" w:sz="1"/>
              <w:right w:val="single" w:color="FFFFFF" w:sz="1"/>
            </w:tcBorders>
            <w:shd w:fill="F6F5F2" w:val="clear"/>
            <w:tcMar>
              <w:top w:type="dxa" w:w="80"/>
              <w:left w:type="dxa" w:w="140"/>
              <w:bottom w:type="dxa" w:w="80"/>
              <w:right w:type="dxa" w:w="140"/>
            </w:tcMar>
          </w:tcPr>
          <w:p>
            <w:r>
              <w:rPr>
                <w:rFonts w:ascii="Arial" w:cs="Arial" w:eastAsia="Arial" w:hAnsi="Arial"/>
                <w:b w:val="false"/>
                <w:bCs w:val="false"/>
                <w:i w:val="false"/>
                <w:iCs w:val="false"/>
                <w:color w:val="1A1A14"/>
                <w:sz w:val="19"/>
                <w:szCs w:val="19"/>
              </w:rPr>
              <w:t xml:space="preserve">Governance structure, composition, mandate, decision-making processes, funding, and digital infrastructure of the Social Fund administration body. Does not cover PADU Protocol Chamber or Remunerative Reserve governance.</w:t>
            </w:r>
          </w:p>
        </w:tc>
      </w:tr>
    </w:tbl>
    <w:p>
      <w:pPr>
        <w:spacing w:before="0" w:after="280"/>
      </w:pPr>
    </w:p>
    <w:p>
      <w:pPr>
        <w:pBdr>
          <w:bottom w:val="single" w:color="C8922A" w:sz="30" w:space="1"/>
        </w:pBdr>
        <w:spacing w:before="0" w:after="0"/>
      </w:pPr>
    </w:p>
    <w:p>
      <w:pPr>
        <w:pStyle w:val="Heading1"/>
        <w:spacing w:before="520" w:after="120"/>
      </w:pPr>
      <w:r>
        <w:rPr>
          <w:rFonts w:ascii="Arial" w:cs="Arial" w:eastAsia="Arial" w:hAnsi="Arial"/>
          <w:b/>
          <w:bCs/>
          <w:i w:val="false"/>
          <w:iCs w:val="false"/>
          <w:color w:val="2A0A14"/>
          <w:sz w:val="28"/>
          <w:szCs w:val="28"/>
        </w:rPr>
        <w:t xml:space="preserve">Preamble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14"/>
          <w:sz w:val="22"/>
          <w:szCs w:val="22"/>
        </w:rPr>
        <w:t xml:space="preserve">The Social Fund of the Pan-African Digital Unit (PADU) is a collectively owned resource, accumulated through voluntary ecosystem participation and dedicated to the social development of the communities served by PADU. No individual, no institution, and no state holds ownership of this fund. Its purpose is defined by the communities it serves.</w:t>
      </w:r>
    </w:p>
    <w:p>
      <w:pPr>
        <w:spacing w:before="60" w:after="120"/>
        <w:jc w:val="both"/>
      </w:pPr>
      <w:r>
        <w:rPr>
          <w:rFonts w:ascii="Arial" w:cs="Arial" w:eastAsia="Arial" w:hAnsi="Arial"/>
          <w:b w:val="false"/>
          <w:bCs w:val="false"/>
          <w:i w:val="false"/>
          <w:iCs w:val="false"/>
          <w:color w:val="1A1A14"/>
          <w:sz w:val="22"/>
          <w:szCs w:val="22"/>
        </w:rPr>
        <w:t xml:space="preserve">This framework establishes the Social Fund Administration Body — hereinafter referred to as the Body — as the organisational entity entrusted with translating collective community decisions, expressed through the PADU ecosystem's democratic polling process, into concrete disbursements to qualifying projects and beneficiaries.</w:t>
      </w:r>
    </w:p>
    <w:p>
      <w:pPr>
        <w:spacing w:before="60" w:after="120"/>
        <w:jc w:val="both"/>
      </w:pPr>
      <w:r>
        <w:rPr>
          <w:rFonts w:ascii="Arial" w:cs="Arial" w:eastAsia="Arial" w:hAnsi="Arial"/>
          <w:b w:val="false"/>
          <w:bCs w:val="false"/>
          <w:i w:val="false"/>
          <w:iCs w:val="false"/>
          <w:color w:val="1A1A14"/>
          <w:sz w:val="22"/>
          <w:szCs w:val="22"/>
        </w:rPr>
        <w:t xml:space="preserve">The Body is founded on three constitutional commitments that no future amendment may remove: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C8C0B8" w:sz="1"/>
              <w:left w:val="single" w:color="C8C0B8" w:sz="1"/>
              <w:bottom w:val="single" w:color="C8C0B8" w:sz="1"/>
              <w:right w:val="single" w:color="C8C0B8" w:sz="1"/>
            </w:tcBorders>
            <w:shd w:fill="2A0A14"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Commitment</w:t>
            </w:r>
          </w:p>
        </w:tc>
        <w:tc>
          <w:tcPr>
            <w:tcW w:type="dxa" w:w="3480"/>
            <w:tcBorders>
              <w:top w:val="single" w:color="C8C0B8" w:sz="1"/>
              <w:left w:val="single" w:color="C8C0B8" w:sz="1"/>
              <w:bottom w:val="single" w:color="C8C0B8" w:sz="1"/>
              <w:right w:val="single" w:color="C8C0B8" w:sz="1"/>
            </w:tcBorders>
            <w:shd w:fill="2A0A14"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Principle</w:t>
            </w:r>
          </w:p>
        </w:tc>
        <w:tc>
          <w:tcPr>
            <w:tcW w:type="dxa" w:w="4680"/>
            <w:tcBorders>
              <w:top w:val="single" w:color="C8C0B8" w:sz="1"/>
              <w:left w:val="single" w:color="C8C0B8" w:sz="1"/>
              <w:bottom w:val="single" w:color="C8C0B8" w:sz="1"/>
              <w:right w:val="single" w:color="C8C0B8" w:sz="1"/>
            </w:tcBorders>
            <w:shd w:fill="2A0A14"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What it means in practice</w:t>
            </w:r>
          </w:p>
        </w:tc>
      </w:tr>
      <w:tr>
        <w:tc>
          <w:tcPr>
            <w:tcW w:type="dxa" w:w="1200"/>
            <w:tcBorders>
              <w:top w:val="single" w:color="C8C0B8" w:sz="1"/>
              <w:left w:val="single" w:color="C8C0B8" w:sz="1"/>
              <w:bottom w:val="single" w:color="C8C0B8" w:sz="1"/>
              <w:right w:val="single" w:color="C8C0B8" w:sz="1"/>
            </w:tcBorders>
            <w:shd w:fill="FFF8EE"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Zero cost</w:t>
            </w:r>
          </w:p>
        </w:tc>
        <w:tc>
          <w:tcPr>
            <w:tcW w:type="dxa" w:w="3480"/>
            <w:tcBorders>
              <w:top w:val="single" w:color="C8C0B8" w:sz="1"/>
              <w:left w:val="single" w:color="C8C0B8" w:sz="1"/>
              <w:bottom w:val="single" w:color="C8C0B8" w:sz="1"/>
              <w:right w:val="single" w:color="C8C0B8" w:sz="1"/>
            </w:tcBorders>
            <w:shd w:fill="FFF8EE"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The Social Fund belongs to the community, not to those who administer it.</w:t>
            </w:r>
          </w:p>
        </w:tc>
        <w:tc>
          <w:tcPr>
            <w:tcW w:type="dxa" w:w="4680"/>
            <w:tcBorders>
              <w:top w:val="single" w:color="C8C0B8" w:sz="1"/>
              <w:left w:val="single" w:color="C8C0B8" w:sz="1"/>
              <w:bottom w:val="single" w:color="C8C0B8" w:sz="1"/>
              <w:right w:val="single" w:color="C8C0B8" w:sz="1"/>
            </w:tcBorders>
            <w:shd w:fill="FFF8EE"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No remuneration, no operational expenses, and no administrative overhead shall ever be drawn from the Social Fund. The Body operates exclusively on independent resources.</w:t>
            </w:r>
          </w:p>
        </w:tc>
      </w:tr>
      <w:tr>
        <w:tc>
          <w:tcPr>
            <w:tcW w:type="dxa" w:w="1200"/>
            <w:tcBorders>
              <w:top w:val="single" w:color="C8C0B8" w:sz="1"/>
              <w:left w:val="single" w:color="C8C0B8" w:sz="1"/>
              <w:bottom w:val="single" w:color="C8C0B8" w:sz="1"/>
              <w:right w:val="single" w:color="C8C0B8" w:sz="1"/>
            </w:tcBorders>
            <w:shd w:fill="EEF4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Parity of colleges</w:t>
            </w:r>
          </w:p>
        </w:tc>
        <w:tc>
          <w:tcPr>
            <w:tcW w:type="dxa" w:w="3480"/>
            <w:tcBorders>
              <w:top w:val="single" w:color="C8C0B8" w:sz="1"/>
              <w:left w:val="single" w:color="C8C0B8" w:sz="1"/>
              <w:bottom w:val="single" w:color="C8C0B8" w:sz="1"/>
              <w:right w:val="single" w:color="C8C0B8" w:sz="1"/>
            </w:tcBorders>
            <w:shd w:fill="EEF4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Civil society and public institutions are equal partners — neither dominates the other.</w:t>
            </w:r>
          </w:p>
        </w:tc>
        <w:tc>
          <w:tcPr>
            <w:tcW w:type="dxa" w:w="4680"/>
            <w:tcBorders>
              <w:top w:val="single" w:color="C8C0B8" w:sz="1"/>
              <w:left w:val="single" w:color="C8C0B8" w:sz="1"/>
              <w:bottom w:val="single" w:color="C8C0B8" w:sz="1"/>
              <w:right w:val="single" w:color="C8C0B8" w:sz="1"/>
            </w:tcBorders>
            <w:shd w:fill="EEF4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The Civil College and the Public Authorities College hold identical vote weight in all deliberations, regardless of how many members each College comprises.</w:t>
            </w:r>
          </w:p>
        </w:tc>
      </w:tr>
      <w:tr>
        <w:tc>
          <w:tcPr>
            <w:tcW w:type="dxa" w:w="120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Community primacy</w:t>
            </w:r>
          </w:p>
        </w:tc>
        <w:tc>
          <w:tcPr>
            <w:tcW w:type="dxa" w:w="348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The ecosystem's end-users are the ultimate sovereign of the Social Fund.</w:t>
            </w:r>
          </w:p>
        </w:tc>
        <w:tc>
          <w:tcPr>
            <w:tcW w:type="dxa" w:w="468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When the two Colleges reach an impasse, the matter is referred to the Community Deliberative Vote — the binding voice of all active PADU wallet holders.</w:t>
            </w:r>
          </w:p>
        </w:tc>
      </w:tr>
    </w:tbl>
    <w:p>
      <w:pPr>
        <w:pStyle w:val="Heading1"/>
        <w:spacing w:before="520" w:after="120"/>
      </w:pPr>
      <w:r>
        <w:rPr>
          <w:rFonts w:ascii="Arial" w:cs="Arial" w:eastAsia="Arial" w:hAnsi="Arial"/>
          <w:b/>
          <w:bCs/>
          <w:i w:val="false"/>
          <w:iCs w:val="false"/>
          <w:color w:val="2A0A14"/>
          <w:sz w:val="28"/>
          <w:szCs w:val="28"/>
        </w:rPr>
        <w:t xml:space="preserve">Chapter I — Identity, Purpose, and Independence</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1. </w:t>
      </w:r>
      <w:r>
        <w:rPr>
          <w:rFonts w:ascii="Arial" w:cs="Arial" w:eastAsia="Arial" w:hAnsi="Arial"/>
          <w:b/>
          <w:bCs/>
          <w:i w:val="false"/>
          <w:iCs w:val="false"/>
          <w:color w:val="2A0A14"/>
          <w:sz w:val="22"/>
          <w:szCs w:val="22"/>
        </w:rPr>
        <w:t xml:space="preserve">Name and Legal Identity</w:t>
      </w:r>
    </w:p>
    <w:p>
      <w:pPr>
        <w:spacing w:before="60" w:after="120"/>
        <w:jc w:val="both"/>
      </w:pPr>
      <w:r>
        <w:rPr>
          <w:rFonts w:ascii="Arial" w:cs="Arial" w:eastAsia="Arial" w:hAnsi="Arial"/>
          <w:b w:val="false"/>
          <w:bCs w:val="false"/>
          <w:i w:val="false"/>
          <w:iCs w:val="false"/>
          <w:color w:val="1A1A14"/>
          <w:sz w:val="22"/>
          <w:szCs w:val="22"/>
        </w:rPr>
        <w:t xml:space="preserve">The organisation established by this framework shall adopt a name that reflects its mission, its African identity, and its non-governmental character. The definitive name shall be chosen collectively by the founding membership at the constitutive assembly. For the purposes of this document, the organisation is referred to as the Body.</w:t>
      </w:r>
    </w:p>
    <w:p>
      <w:pPr>
        <w:spacing w:before="60" w:after="120"/>
        <w:jc w:val="both"/>
      </w:pPr>
      <w:r>
        <w:rPr>
          <w:rFonts w:ascii="Arial" w:cs="Arial" w:eastAsia="Arial" w:hAnsi="Arial"/>
          <w:b w:val="false"/>
          <w:bCs w:val="false"/>
          <w:i w:val="false"/>
          <w:iCs w:val="false"/>
          <w:color w:val="1A1A14"/>
          <w:sz w:val="22"/>
          <w:szCs w:val="22"/>
        </w:rPr>
        <w:t xml:space="preserve">The Body shall seek legal personality under the law of a jurisdiction chosen for its political neutrality, the robustness of its civil society legal framework, and its practical accessibility to members from multiple countries. Candidate jurisdictions include Switzerland, Mauritius, Rwanda, and South Africa. The final choice shall be made collectively by the founding membership and documented in PADU-GOV-02.</w:t>
      </w:r>
    </w:p>
    <w:p>
      <w:pPr>
        <w:spacing w:before="280" w:after="80"/>
      </w:pPr>
      <w:r>
        <w:rPr>
          <w:rFonts w:ascii="Arial" w:cs="Arial" w:eastAsia="Arial" w:hAnsi="Arial"/>
          <w:b/>
          <w:bCs/>
          <w:i w:val="false"/>
          <w:iCs w:val="false"/>
          <w:color w:val="6B1A2A"/>
          <w:sz w:val="22"/>
          <w:szCs w:val="22"/>
        </w:rPr>
        <w:t xml:space="preserve">Article 2. </w:t>
      </w:r>
      <w:r>
        <w:rPr>
          <w:rFonts w:ascii="Arial" w:cs="Arial" w:eastAsia="Arial" w:hAnsi="Arial"/>
          <w:b/>
          <w:bCs/>
          <w:i w:val="false"/>
          <w:iCs w:val="false"/>
          <w:color w:val="2A0A14"/>
          <w:sz w:val="22"/>
          <w:szCs w:val="22"/>
        </w:rPr>
        <w:t xml:space="preserve">Mission</w:t>
      </w:r>
    </w:p>
    <w:p>
      <w:pPr>
        <w:spacing w:before="60" w:after="120"/>
        <w:jc w:val="both"/>
      </w:pPr>
      <w:r>
        <w:rPr>
          <w:rFonts w:ascii="Arial" w:cs="Arial" w:eastAsia="Arial" w:hAnsi="Arial"/>
          <w:b w:val="false"/>
          <w:bCs w:val="false"/>
          <w:i w:val="false"/>
          <w:iCs w:val="false"/>
          <w:color w:val="1A1A14"/>
          <w:sz w:val="22"/>
          <w:szCs w:val="22"/>
        </w:rPr>
        <w:t xml:space="preserve">The Body exists for one purpose: to administer, with full transparency and democratic accountability, the disbursements from the PADU Social Fund to projects that serve the social, educational, economic, and infrastructural development of African and diaspora communities participating in the PADU ecosystem.</w:t>
      </w:r>
    </w:p>
    <w:p>
      <w:pPr>
        <w:spacing w:before="60" w:after="120"/>
        <w:jc w:val="both"/>
      </w:pPr>
      <w:r>
        <w:rPr>
          <w:rFonts w:ascii="Arial" w:cs="Arial" w:eastAsia="Arial" w:hAnsi="Arial"/>
          <w:b w:val="false"/>
          <w:bCs w:val="false"/>
          <w:i w:val="false"/>
          <w:iCs w:val="false"/>
          <w:color w:val="1A1A14"/>
          <w:sz w:val="22"/>
          <w:szCs w:val="22"/>
        </w:rPr>
        <w:t xml:space="preserve">The Body does not own the Social Fund. It does not manage the Social Fund's accumulation or investment. Those functions are governed by the technical architecture described in PADU-TECH-03A. The Body's authority is limited to:</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Proposing projects to the community polling process (between 3 and 5 projects per quarterly cycle, as defined in PADU-TECH-03A).</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Providing the mandatory Board approval that constitutes one of the two authorisations required for disbursement, following a valid community poll result.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Stewardship of approved projects: verifying beneficiary readiness, monitoring project execution, and publishing results to the community.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Maintaining the Body's own independence and operational continuity.</w:t>
      </w:r>
    </w:p>
    <w:p>
      <w:pPr>
        <w:spacing w:before="280" w:after="80"/>
      </w:pPr>
      <w:r>
        <w:rPr>
          <w:rFonts w:ascii="Arial" w:cs="Arial" w:eastAsia="Arial" w:hAnsi="Arial"/>
          <w:b/>
          <w:bCs/>
          <w:i w:val="false"/>
          <w:iCs w:val="false"/>
          <w:color w:val="6B1A2A"/>
          <w:sz w:val="22"/>
          <w:szCs w:val="22"/>
        </w:rPr>
        <w:t xml:space="preserve">Article 3. </w:t>
      </w:r>
      <w:r>
        <w:rPr>
          <w:rFonts w:ascii="Arial" w:cs="Arial" w:eastAsia="Arial" w:hAnsi="Arial"/>
          <w:b/>
          <w:bCs/>
          <w:i w:val="false"/>
          <w:iCs w:val="false"/>
          <w:color w:val="2A0A14"/>
          <w:sz w:val="22"/>
          <w:szCs w:val="22"/>
        </w:rPr>
        <w:t xml:space="preserve">Independence</w:t>
      </w:r>
    </w:p>
    <w:p>
      <w:pPr>
        <w:spacing w:before="60" w:after="120"/>
        <w:jc w:val="both"/>
      </w:pPr>
      <w:r>
        <w:rPr>
          <w:rFonts w:ascii="Arial" w:cs="Arial" w:eastAsia="Arial" w:hAnsi="Arial"/>
          <w:b w:val="false"/>
          <w:bCs w:val="false"/>
          <w:i w:val="false"/>
          <w:iCs w:val="false"/>
          <w:color w:val="1A1A14"/>
          <w:sz w:val="22"/>
          <w:szCs w:val="22"/>
        </w:rPr>
        <w:t xml:space="preserve">The Body is constitutionally independent from all states, all political parties, all commercial enterprises, and from the PADU Protocol Chamber. No entity external to the Body's membership may instruct, direct, or veto the Body's decisions. This independence is structural and non-negotiable: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Body's composition, decisions, and operations are governed exclusively by this framework and the Standing Rules adopted under it.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Membership of the Public Authorities College confers no authority over the Body's civil society functions — it confers participation rights on equal terms with the Civil College.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Presence of government representatives on the Body does not imply endorsement of PADU by those governments, nor does it create any regulatory or legal obligation on either party beyond what is expressly agreed.</w:t>
      </w:r>
    </w:p>
    <w:p>
      <w:pPr>
        <w:spacing w:before="280" w:after="80"/>
      </w:pPr>
      <w:r>
        <w:rPr>
          <w:rFonts w:ascii="Arial" w:cs="Arial" w:eastAsia="Arial" w:hAnsi="Arial"/>
          <w:b/>
          <w:bCs/>
          <w:i w:val="false"/>
          <w:iCs w:val="false"/>
          <w:color w:val="6B1A2A"/>
          <w:sz w:val="22"/>
          <w:szCs w:val="22"/>
        </w:rPr>
        <w:t xml:space="preserve">Article 4. </w:t>
      </w:r>
      <w:r>
        <w:rPr>
          <w:rFonts w:ascii="Arial" w:cs="Arial" w:eastAsia="Arial" w:hAnsi="Arial"/>
          <w:b/>
          <w:bCs/>
          <w:i w:val="false"/>
          <w:iCs w:val="false"/>
          <w:color w:val="2A0A14"/>
          <w:sz w:val="22"/>
          <w:szCs w:val="22"/>
        </w:rPr>
        <w:t xml:space="preserve">Non-Profit Character</w:t>
      </w:r>
    </w:p>
    <w:p>
      <w:pPr>
        <w:spacing w:before="60" w:after="120"/>
        <w:jc w:val="both"/>
      </w:pPr>
      <w:r>
        <w:rPr>
          <w:rFonts w:ascii="Arial" w:cs="Arial" w:eastAsia="Arial" w:hAnsi="Arial"/>
          <w:b w:val="false"/>
          <w:bCs w:val="false"/>
          <w:i w:val="false"/>
          <w:iCs w:val="false"/>
          <w:color w:val="1A1A14"/>
          <w:sz w:val="22"/>
          <w:szCs w:val="22"/>
        </w:rPr>
        <w:t xml:space="preserve">The Body is a non-profit organisation. No profit, surplus, or benefit shall be distributed to its members, founders, or affiliated persons. Any operational surplus generated through donations or subventions in a given period shall be carried forward to the following period and applied exclusively to the Body's stated mission.</w:t>
      </w:r>
    </w:p>
    <w:p>
      <w:pPr>
        <w:spacing w:before="280" w:after="80"/>
      </w:pPr>
      <w:r>
        <w:rPr>
          <w:rFonts w:ascii="Arial" w:cs="Arial" w:eastAsia="Arial" w:hAnsi="Arial"/>
          <w:b/>
          <w:bCs/>
          <w:i w:val="false"/>
          <w:iCs w:val="false"/>
          <w:color w:val="6B1A2A"/>
          <w:sz w:val="22"/>
          <w:szCs w:val="22"/>
        </w:rPr>
        <w:t xml:space="preserve">Article 5. </w:t>
      </w:r>
      <w:r>
        <w:rPr>
          <w:rFonts w:ascii="Arial" w:cs="Arial" w:eastAsia="Arial" w:hAnsi="Arial"/>
          <w:b/>
          <w:bCs/>
          <w:i w:val="false"/>
          <w:iCs w:val="false"/>
          <w:color w:val="2A0A14"/>
          <w:sz w:val="22"/>
          <w:szCs w:val="22"/>
        </w:rPr>
        <w:t xml:space="preserve">Zero Cost to the Social Fund</w:t>
      </w:r>
    </w:p>
    <w:p>
      <w:pPr>
        <w:spacing w:before="60" w:after="120"/>
        <w:jc w:val="both"/>
      </w:pPr>
      <w:r>
        <w:rPr>
          <w:rFonts w:ascii="Arial" w:cs="Arial" w:eastAsia="Arial" w:hAnsi="Arial"/>
          <w:b w:val="false"/>
          <w:bCs w:val="false"/>
          <w:i w:val="false"/>
          <w:iCs w:val="false"/>
          <w:color w:val="1A1A14"/>
          <w:sz w:val="22"/>
          <w:szCs w:val="22"/>
        </w:rPr>
        <w:t xml:space="preserve">This article is unamendable. The Social Fund shall not bear any cost of the Body's existence or operation, directly or indirectly, under any circumstance. This prohibition covers: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Member remuneration, honoraria, or stipends of any kind.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Administrative costs, secretariat costs, or technology costs.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Travel, accommodation, or representation expenses of members.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Legal, accounting, or audit fees of the Body.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Any cost, however characterised, that reduces the Social Fund balance available for disbursement to communities.</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The Body shall fund its operational requirements — to the extent any arise — exclusively through:</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Voluntary donations from individuals, foundations, or institutions.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Public subventions from governmental or intergovernmental bodies.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Grants from civil society funds or development organisations.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14" w:sz="1"/>
              <w:left w:val="single" w:color="7A2A14" w:sz="20"/>
              <w:bottom w:val="single" w:color="7A2A14" w:sz="1"/>
              <w:right w:val="single" w:color="C8C0B8" w:sz="1"/>
            </w:tcBorders>
            <w:shd w:fill="FFF0EE" w:val="clear"/>
            <w:tcMar>
              <w:top w:type="dxa" w:w="100"/>
              <w:left w:type="dxa" w:w="200"/>
              <w:bottom w:type="dxa" w:w="100"/>
              <w:right w:type="dxa" w:w="200"/>
            </w:tcMar>
          </w:tcPr>
          <w:p>
            <w:pPr>
              <w:spacing w:before="0" w:after="60"/>
            </w:pPr>
            <w:r>
              <w:rPr>
                <w:rFonts w:ascii="Arial" w:cs="Arial" w:eastAsia="Arial" w:hAnsi="Arial"/>
                <w:b/>
                <w:bCs/>
                <w:i w:val="false"/>
                <w:iCs w:val="false"/>
                <w:color w:val="7A2A14"/>
                <w:sz w:val="20"/>
                <w:szCs w:val="20"/>
              </w:rPr>
              <w:t xml:space="preserve">CONSTITUTIONAL PROHIBITION</w:t>
            </w:r>
          </w:p>
          <w:p>
            <w:pPr>
              <w:spacing w:before="0" w:after="0"/>
              <w:jc w:val="both"/>
            </w:pPr>
            <w:r>
              <w:rPr>
                <w:rFonts w:ascii="Arial" w:cs="Arial" w:eastAsia="Arial" w:hAnsi="Arial"/>
                <w:b w:val="false"/>
                <w:bCs w:val="false"/>
                <w:i w:val="false"/>
                <w:iCs w:val="false"/>
                <w:color w:val="1A1A14"/>
                <w:sz w:val="20"/>
                <w:szCs w:val="20"/>
              </w:rPr>
              <w:t xml:space="preserve">Any resolution, standing rule, or amendment purporting to authorise, directly or indirectly, any expenditure from the Social Fund for the Body's operational purposes shall be null and void and of no effect, regardless of the vote by which it was adopted. This prohibition cannot be removed by amendment.</w:t>
            </w:r>
          </w:p>
        </w:tc>
      </w:tr>
    </w:tbl>
    <w:p>
      <w:pPr>
        <w:pStyle w:val="Heading1"/>
        <w:spacing w:before="520" w:after="120"/>
      </w:pPr>
      <w:r>
        <w:rPr>
          <w:rFonts w:ascii="Arial" w:cs="Arial" w:eastAsia="Arial" w:hAnsi="Arial"/>
          <w:b/>
          <w:bCs/>
          <w:i w:val="false"/>
          <w:iCs w:val="false"/>
          <w:color w:val="2A0A14"/>
          <w:sz w:val="28"/>
          <w:szCs w:val="28"/>
        </w:rPr>
        <w:t xml:space="preserve">Chapter II — The Dual-College Structure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14"/>
          <w:sz w:val="22"/>
          <w:szCs w:val="22"/>
        </w:rPr>
        <w:t xml:space="preserve">The Body's membership is organised into two Colleges: the College of Civil Representatives and the College of Public Authorities. Together, they form the Body's Full Board. Each College operates with internal autonomy and holds equal vote weight in the Full Board regardless of the number of members it comprises.</w:t>
      </w:r>
    </w:p>
    <w:p>
      <w:pPr>
        <w:spacing w:before="280" w:after="80"/>
      </w:pPr>
      <w:r>
        <w:rPr>
          <w:rFonts w:ascii="Arial" w:cs="Arial" w:eastAsia="Arial" w:hAnsi="Arial"/>
          <w:b/>
          <w:bCs/>
          <w:i w:val="false"/>
          <w:iCs w:val="false"/>
          <w:color w:val="6B1A2A"/>
          <w:sz w:val="22"/>
          <w:szCs w:val="22"/>
        </w:rPr>
        <w:t xml:space="preserve">Article 6. </w:t>
      </w:r>
      <w:r>
        <w:rPr>
          <w:rFonts w:ascii="Arial" w:cs="Arial" w:eastAsia="Arial" w:hAnsi="Arial"/>
          <w:b/>
          <w:bCs/>
          <w:i w:val="false"/>
          <w:iCs w:val="false"/>
          <w:color w:val="2A0A14"/>
          <w:sz w:val="22"/>
          <w:szCs w:val="22"/>
        </w:rPr>
        <w:t xml:space="preserve">The College of Civil Representatives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C0B8" w:sz="1"/>
            </w:tcBorders>
            <w:shd w:fill="EE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CIVIL COLLEGE — Core characteristics</w:t>
            </w:r>
          </w:p>
          <w:p>
            <w:pPr>
              <w:spacing w:before="0" w:after="80"/>
              <w:jc w:val="both"/>
            </w:pPr>
            <w:r>
              <w:rPr>
                <w:rFonts w:ascii="Arial" w:cs="Arial" w:eastAsia="Arial" w:hAnsi="Arial"/>
                <w:b w:val="false"/>
                <w:bCs w:val="false"/>
                <w:i w:val="false"/>
                <w:iCs w:val="false"/>
                <w:color w:val="1A1A14"/>
                <w:sz w:val="20"/>
                <w:szCs w:val="20"/>
              </w:rPr>
              <w:t xml:space="preserve">Mandatory: the Civil College is always active. Its existence is not conditional on any external factor. Minimum 5 members, no maximum. Members serve in a voluntary, unpaid capacity. Vote weight: 50% of the Full Board, distributed equally among all sitting Civil College members.</w:t>
            </w:r>
          </w:p>
        </w:tc>
      </w:tr>
    </w:tbl>
    <w:p>
      <w:pPr>
        <w:spacing w:before="0" w:after="80"/>
      </w:pPr>
    </w:p>
    <w:p>
      <w:pPr>
        <w:spacing w:before="60" w:after="120"/>
        <w:jc w:val="both"/>
      </w:pPr>
      <w:r>
        <w:rPr>
          <w:rFonts w:ascii="Arial" w:cs="Arial" w:eastAsia="Arial" w:hAnsi="Arial"/>
          <w:b w:val="false"/>
          <w:bCs w:val="false"/>
          <w:i w:val="false"/>
          <w:iCs w:val="false"/>
          <w:color w:val="1A1A14"/>
          <w:sz w:val="22"/>
          <w:szCs w:val="22"/>
        </w:rPr>
        <w:t xml:space="preserve">The Civil College represents the organised civil society of African and diaspora communities. Its membership is open to organisations and individuals whose activity is demonstrably rooted in the communities served by PADU, independently from governmental or commercial structures.</w:t>
      </w:r>
    </w:p>
    <w:p>
      <w:pPr>
        <w:pStyle w:val="Heading3"/>
        <w:spacing w:before="220" w:after="60"/>
      </w:pPr>
      <w:r>
        <w:rPr>
          <w:rFonts w:ascii="Arial" w:cs="Arial" w:eastAsia="Arial" w:hAnsi="Arial"/>
          <w:b/>
          <w:bCs/>
          <w:i w:val="false"/>
          <w:iCs w:val="false"/>
          <w:color w:val="1A2035"/>
          <w:sz w:val="21"/>
          <w:szCs w:val="21"/>
        </w:rPr>
        <w:t xml:space="preserve">Eligible members of the Civil College include: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Diaspora organisations and associations formally representing African communities in countries of the diaspora.</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Non-governmental organisations active in the fields of education, health, economic development, or digital inclusion in African countries.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Academic institutions and research bodies with a documented focus on African development issues or digital finance.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Independent experts in relevant fields (digital finance, community development, African economics, technology governance), acting in their individual capacity.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Representatives of PADU user communities, as designated by community structures and endorsed by existing Civil College members.</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The Civil College shall at all times reflect geographic and sectoral diversity. The Standing Rules shall define diversity targets and the process by which the College reviews its own composition periodically.</w:t>
      </w:r>
    </w:p>
    <w:p>
      <w:pPr>
        <w:spacing w:before="280" w:after="80"/>
      </w:pPr>
      <w:r>
        <w:rPr>
          <w:rFonts w:ascii="Arial" w:cs="Arial" w:eastAsia="Arial" w:hAnsi="Arial"/>
          <w:b/>
          <w:bCs/>
          <w:i w:val="false"/>
          <w:iCs w:val="false"/>
          <w:color w:val="6B1A2A"/>
          <w:sz w:val="22"/>
          <w:szCs w:val="22"/>
        </w:rPr>
        <w:t xml:space="preserve">Article 7. </w:t>
      </w:r>
      <w:r>
        <w:rPr>
          <w:rFonts w:ascii="Arial" w:cs="Arial" w:eastAsia="Arial" w:hAnsi="Arial"/>
          <w:b/>
          <w:bCs/>
          <w:i w:val="false"/>
          <w:iCs w:val="false"/>
          <w:color w:val="2A0A14"/>
          <w:sz w:val="22"/>
          <w:szCs w:val="22"/>
        </w:rPr>
        <w:t xml:space="preserve">The College of Public Authorities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20"/>
              <w:bottom w:val="single" w:color="1A5C2A" w:sz="1"/>
              <w:right w:val="single" w:color="C8C0B8" w:sz="1"/>
            </w:tcBorders>
            <w:shd w:fill="EEF8EE" w:val="clear"/>
            <w:tcMar>
              <w:top w:type="dxa" w:w="100"/>
              <w:left w:type="dxa" w:w="200"/>
              <w:bottom w:type="dxa" w:w="100"/>
              <w:right w:type="dxa" w:w="200"/>
            </w:tcMar>
          </w:tcPr>
          <w:p>
            <w:pPr>
              <w:spacing w:before="0" w:after="60"/>
            </w:pPr>
            <w:r>
              <w:rPr>
                <w:rFonts w:ascii="Arial" w:cs="Arial" w:eastAsia="Arial" w:hAnsi="Arial"/>
                <w:b/>
                <w:bCs/>
                <w:i w:val="false"/>
                <w:iCs w:val="false"/>
                <w:color w:val="1A5C2A"/>
                <w:sz w:val="20"/>
                <w:szCs w:val="20"/>
              </w:rPr>
              <w:t xml:space="preserve">PUBLIC AUTHORITIES COLLEGE — Core characteristics</w:t>
            </w:r>
          </w:p>
          <w:p>
            <w:pPr>
              <w:spacing w:before="0" w:after="80"/>
              <w:jc w:val="both"/>
            </w:pPr>
            <w:r>
              <w:rPr>
                <w:rFonts w:ascii="Arial" w:cs="Arial" w:eastAsia="Arial" w:hAnsi="Arial"/>
                <w:b w:val="false"/>
                <w:bCs w:val="false"/>
                <w:i w:val="false"/>
                <w:iCs w:val="false"/>
                <w:color w:val="1A1A14"/>
                <w:sz w:val="20"/>
                <w:szCs w:val="20"/>
              </w:rPr>
              <w:t xml:space="preserve">Optional: the Public Authorities College is inactive until at least one government formally qualifies for membership. Minimum 5 members when active, no maximum. Members serve in a voluntary, unpaid capacity. Vote weight: 50% of the Full Board when active, distributed equally among all sitting Public Authorities College members.</w:t>
            </w:r>
          </w:p>
          <w:p>
            <w:pPr>
              <w:spacing w:before="0" w:after="0"/>
              <w:jc w:val="both"/>
            </w:pPr>
            <w:r>
              <w:rPr>
                <w:rFonts w:ascii="Arial" w:cs="Arial" w:eastAsia="Arial" w:hAnsi="Arial"/>
                <w:b w:val="false"/>
                <w:bCs w:val="false"/>
                <w:i/>
                <w:iCs/>
                <w:color w:val="1A1A14"/>
                <w:sz w:val="20"/>
                <w:szCs w:val="20"/>
              </w:rPr>
              <w:t xml:space="preserve">When the Public Authorities College is inactive (fewer than 5 qualifying members), the Full Board operates as a single-college body composed of the Civil College, with the Community Deliberative Vote available as a deliberative and tiebreaking instrument.</w:t>
            </w:r>
          </w:p>
        </w:tc>
      </w:tr>
    </w:tbl>
    <w:p>
      <w:pPr>
        <w:spacing w:before="0" w:after="80"/>
      </w:pPr>
    </w:p>
    <w:p>
      <w:pPr>
        <w:spacing w:before="60" w:after="120"/>
        <w:jc w:val="both"/>
      </w:pPr>
      <w:r>
        <w:rPr>
          <w:rFonts w:ascii="Arial" w:cs="Arial" w:eastAsia="Arial" w:hAnsi="Arial"/>
          <w:b w:val="false"/>
          <w:bCs w:val="false"/>
          <w:i w:val="false"/>
          <w:iCs w:val="false"/>
          <w:color w:val="1A1A14"/>
          <w:sz w:val="22"/>
          <w:szCs w:val="22"/>
        </w:rPr>
        <w:t xml:space="preserve">The Public Authorities College represents governments and public institutions that have demonstrated concrete, verifiable support for the PADU project. Membership in this College is a recognition of governmental engagement, not a grant of authority. Public authorities participate as equal partners, not as supervisors.</w:t>
      </w:r>
    </w:p>
    <w:p>
      <w:pPr>
        <w:pStyle w:val="Heading3"/>
        <w:spacing w:before="220" w:after="60"/>
      </w:pPr>
      <w:r>
        <w:rPr>
          <w:rFonts w:ascii="Arial" w:cs="Arial" w:eastAsia="Arial" w:hAnsi="Arial"/>
          <w:b/>
          <w:bCs/>
          <w:i w:val="false"/>
          <w:iCs w:val="false"/>
          <w:color w:val="1A2035"/>
          <w:sz w:val="21"/>
          <w:szCs w:val="21"/>
        </w:rPr>
        <w:t xml:space="preserve">Qualifying criteria for Public Authorities College membership:</w:t>
      </w:r>
    </w:p>
    <w:p>
      <w:pPr>
        <w:spacing w:before="60" w:after="120"/>
        <w:jc w:val="both"/>
      </w:pPr>
      <w:r>
        <w:rPr>
          <w:rFonts w:ascii="Arial" w:cs="Arial" w:eastAsia="Arial" w:hAnsi="Arial"/>
          <w:b w:val="false"/>
          <w:bCs w:val="false"/>
          <w:i w:val="false"/>
          <w:iCs w:val="false"/>
          <w:color w:val="1A1A14"/>
          <w:sz w:val="22"/>
          <w:szCs w:val="22"/>
        </w:rPr>
        <w:t xml:space="preserve">A government or public authority wishing to join the College must demonstrate at least one of the following concrete forms of support: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Legislative action: adoption of a law, decree, or regulation formally recognising PADU or digital currency frameworks compatible with PADU's architecture.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Regulatory accommodation: issuance of regulatory guidance or a sandbox authorisation permitting the operation of the PADU ecosystem within the country's jurisdiction.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Pilot participation: formal engagement in a PADU pilot corridor programme, documented through a signed agreement with the PADU Core Working Group.</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Financial commitment: provision of a public subvention or grant to the Body or to an approved Social Fund project within the country's territory.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Institutional integration: formal integration of PADU payment infrastructure into a public institution (e.g. a public university, a postal network, a development agency).</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A declaration of intent, an exploratory meeting, or informal support does not qualify. The qualifying action must be documented, publicly verifiable, and current. Membership of the College is reviewed annually.</w:t>
      </w:r>
    </w:p>
    <w:p>
      <w:pPr>
        <w:pStyle w:val="Heading3"/>
        <w:spacing w:before="220" w:after="60"/>
      </w:pPr>
      <w:r>
        <w:rPr>
          <w:rFonts w:ascii="Arial" w:cs="Arial" w:eastAsia="Arial" w:hAnsi="Arial"/>
          <w:b/>
          <w:bCs/>
          <w:i w:val="false"/>
          <w:iCs w:val="false"/>
          <w:color w:val="1A2035"/>
          <w:sz w:val="21"/>
          <w:szCs w:val="21"/>
        </w:rPr>
        <w:t xml:space="preserve">Suspension and departure:</w:t>
      </w:r>
    </w:p>
    <w:p>
      <w:pPr>
        <w:spacing w:before="60" w:after="120"/>
        <w:jc w:val="both"/>
      </w:pPr>
      <w:r>
        <w:rPr>
          <w:rFonts w:ascii="Arial" w:cs="Arial" w:eastAsia="Arial" w:hAnsi="Arial"/>
          <w:b w:val="false"/>
          <w:bCs w:val="false"/>
          <w:i w:val="false"/>
          <w:iCs w:val="false"/>
          <w:color w:val="1A1A14"/>
          <w:sz w:val="22"/>
          <w:szCs w:val="22"/>
        </w:rPr>
        <w:t xml:space="preserve">A government representative's seat in the Public Authorities College is suspended automatically if the qualifying action that justified it is revoked, discontinued, or explicitly reversed by the government. The Civil College may by simple majority resolution formally record a suspension pending review. A suspended member may not vote until reinstatement. If the College falls below five active members following suspensions, it becomes inactive and reverts to the single-college operating mode until new qualifying members join.</w:t>
      </w:r>
    </w:p>
    <w:p>
      <w:pPr>
        <w:spacing w:before="280" w:after="80"/>
      </w:pPr>
      <w:r>
        <w:rPr>
          <w:rFonts w:ascii="Arial" w:cs="Arial" w:eastAsia="Arial" w:hAnsi="Arial"/>
          <w:b/>
          <w:bCs/>
          <w:i w:val="false"/>
          <w:iCs w:val="false"/>
          <w:color w:val="6B1A2A"/>
          <w:sz w:val="22"/>
          <w:szCs w:val="22"/>
        </w:rPr>
        <w:t xml:space="preserve">Article 8. </w:t>
      </w:r>
      <w:r>
        <w:rPr>
          <w:rFonts w:ascii="Arial" w:cs="Arial" w:eastAsia="Arial" w:hAnsi="Arial"/>
          <w:b/>
          <w:bCs/>
          <w:i w:val="false"/>
          <w:iCs w:val="false"/>
          <w:color w:val="2A0A14"/>
          <w:sz w:val="22"/>
          <w:szCs w:val="22"/>
        </w:rPr>
        <w:t xml:space="preserve">Vote Weight and the Parity Guarantee</w:t>
      </w:r>
    </w:p>
    <w:p>
      <w:pPr>
        <w:spacing w:before="60" w:after="120"/>
        <w:jc w:val="both"/>
      </w:pPr>
      <w:r>
        <w:rPr>
          <w:rFonts w:ascii="Arial" w:cs="Arial" w:eastAsia="Arial" w:hAnsi="Arial"/>
          <w:b w:val="false"/>
          <w:bCs w:val="false"/>
          <w:i w:val="false"/>
          <w:iCs w:val="false"/>
          <w:color w:val="1A1A14"/>
          <w:sz w:val="22"/>
          <w:szCs w:val="22"/>
        </w:rPr>
        <w:t xml:space="preserve">The parity of the two Colleges in deliberations is the structural guarantee that no constituency — whether civil society or government — can dominate the Body's decisions unilaterally. This parity is vote-weight parity, not seat parity. The two Colleges may have different numbers of members; what is equal is the total weight of each College's vote in any Full Board decision.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8C0B8" w:sz="1"/>
              <w:left w:val="single" w:color="C8C0B8" w:sz="1"/>
              <w:bottom w:val="single" w:color="C8C0B8" w:sz="1"/>
              <w:right w:val="single" w:color="C8C0B8" w:sz="1"/>
            </w:tcBorders>
            <w:shd w:fill="1A20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Scenario</w:t>
            </w:r>
          </w:p>
        </w:tc>
        <w:tc>
          <w:tcPr>
            <w:tcW w:type="dxa" w:w="1800"/>
            <w:tcBorders>
              <w:top w:val="single" w:color="C8C0B8" w:sz="1"/>
              <w:left w:val="single" w:color="C8C0B8" w:sz="1"/>
              <w:bottom w:val="single" w:color="C8C0B8" w:sz="1"/>
              <w:right w:val="single" w:color="C8C0B8" w:sz="1"/>
            </w:tcBorders>
            <w:shd w:fill="1A20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Civil College weight</w:t>
            </w:r>
          </w:p>
        </w:tc>
        <w:tc>
          <w:tcPr>
            <w:tcW w:type="dxa" w:w="2200"/>
            <w:tcBorders>
              <w:top w:val="single" w:color="C8C0B8" w:sz="1"/>
              <w:left w:val="single" w:color="C8C0B8" w:sz="1"/>
              <w:bottom w:val="single" w:color="C8C0B8" w:sz="1"/>
              <w:right w:val="single" w:color="C8C0B8" w:sz="1"/>
            </w:tcBorders>
            <w:shd w:fill="1A20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Public Authorities College weight</w:t>
            </w:r>
          </w:p>
        </w:tc>
        <w:tc>
          <w:tcPr>
            <w:tcW w:type="dxa" w:w="2560"/>
            <w:tcBorders>
              <w:top w:val="single" w:color="C8C0B8" w:sz="1"/>
              <w:left w:val="single" w:color="C8C0B8" w:sz="1"/>
              <w:bottom w:val="single" w:color="C8C0B8" w:sz="1"/>
              <w:right w:val="single" w:color="C8C0B8" w:sz="1"/>
            </w:tcBorders>
            <w:shd w:fill="1A2035"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Decision mechanism</w:t>
            </w:r>
          </w:p>
        </w:tc>
      </w:tr>
      <w:tr>
        <w:tc>
          <w:tcPr>
            <w:tcW w:type="dxa" w:w="280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Both Colleges active, any composition</w:t>
            </w:r>
          </w:p>
        </w:tc>
        <w:tc>
          <w:tcPr>
            <w:tcW w:type="dxa" w:w="180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50%</w:t>
            </w:r>
          </w:p>
        </w:tc>
        <w:tc>
          <w:tcPr>
            <w:tcW w:type="dxa" w:w="220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50%</w:t>
            </w:r>
          </w:p>
        </w:tc>
        <w:tc>
          <w:tcPr>
            <w:tcW w:type="dxa" w:w="256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Simple majority of weighted votes. Agreement of both colleges = majority reached.</w:t>
            </w:r>
          </w:p>
        </w:tc>
      </w:tr>
      <w:tr>
        <w:tc>
          <w:tcPr>
            <w:tcW w:type="dxa" w:w="280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Public Authorities College inactive</w:t>
            </w:r>
          </w:p>
        </w:tc>
        <w:tc>
          <w:tcPr>
            <w:tcW w:type="dxa" w:w="180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100% (Civil only)</w:t>
            </w:r>
          </w:p>
        </w:tc>
        <w:tc>
          <w:tcPr>
            <w:tcW w:type="dxa" w:w="220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N/A</w:t>
            </w:r>
          </w:p>
        </w:tc>
        <w:tc>
          <w:tcPr>
            <w:tcW w:type="dxa" w:w="2560"/>
            <w:tcBorders>
              <w:top w:val="single" w:color="C8C0B8" w:sz="1"/>
              <w:left w:val="single" w:color="C8C0B8" w:sz="1"/>
              <w:bottom w:val="single" w:color="C8C0B8" w:sz="1"/>
              <w:right w:val="single" w:color="C8C0B8" w:sz="1"/>
            </w:tcBorders>
            <w:shd w:fill="F6F5F2"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Simple majority of Civil College members. Community Deliberative Vote available for significant decisions at the Civil College's discretion.</w:t>
            </w:r>
          </w:p>
        </w:tc>
      </w:tr>
      <w:tr>
        <w:tc>
          <w:tcPr>
            <w:tcW w:type="dxa" w:w="280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Both Colleges active, deadlock</w:t>
            </w:r>
          </w:p>
        </w:tc>
        <w:tc>
          <w:tcPr>
            <w:tcW w:type="dxa" w:w="180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50%</w:t>
            </w:r>
          </w:p>
        </w:tc>
        <w:tc>
          <w:tcPr>
            <w:tcW w:type="dxa" w:w="220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50%</w:t>
            </w:r>
          </w:p>
        </w:tc>
        <w:tc>
          <w:tcPr>
            <w:tcW w:type="dxa" w:w="2560"/>
            <w:tcBorders>
              <w:top w:val="single" w:color="C8C0B8" w:sz="1"/>
              <w:left w:val="single" w:color="C8C0B8" w:sz="1"/>
              <w:bottom w:val="single" w:color="C8C0B8" w:sz="1"/>
              <w:right w:val="single" w:color="C8C0B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14"/>
                <w:sz w:val="19"/>
                <w:szCs w:val="19"/>
              </w:rPr>
              <w:t xml:space="preserve">Community Deliberative Vote is triggered. Result is binding (see Article 15).</w:t>
            </w:r>
          </w:p>
        </w:tc>
      </w:tr>
    </w:tbl>
    <w:p>
      <w:pPr>
        <w:spacing w:before="0" w:after="120"/>
      </w:pPr>
    </w:p>
    <w:p>
      <w:pPr>
        <w:spacing w:before="60" w:after="120"/>
        <w:jc w:val="both"/>
      </w:pPr>
      <w:r>
        <w:rPr>
          <w:rFonts w:ascii="Arial" w:cs="Arial" w:eastAsia="Arial" w:hAnsi="Arial"/>
          <w:b w:val="false"/>
          <w:bCs w:val="false"/>
          <w:i w:val="false"/>
          <w:iCs w:val="false"/>
          <w:color w:val="1A1A14"/>
          <w:sz w:val="22"/>
          <w:szCs w:val="22"/>
        </w:rPr>
        <w:t xml:space="preserve">Within each College, the College's collective 50% weight is distributed equally among its sitting members. For example, if the Civil College has 8 members and the Public Authorities College has 5 members, each Civil member contributes 6.25% to the total vote (8 × 6.25% = 50%), and each Public Authorities member contributes 10% (5 × 10% = 50%). The total is always 100%.</w:t>
      </w:r>
    </w:p>
    <w:p>
      <w:pPr>
        <w:pStyle w:val="Heading1"/>
        <w:spacing w:before="520" w:after="120"/>
      </w:pPr>
      <w:r>
        <w:rPr>
          <w:rFonts w:ascii="Arial" w:cs="Arial" w:eastAsia="Arial" w:hAnsi="Arial"/>
          <w:b/>
          <w:bCs/>
          <w:i w:val="false"/>
          <w:iCs w:val="false"/>
          <w:color w:val="2A0A14"/>
          <w:sz w:val="28"/>
          <w:szCs w:val="28"/>
        </w:rPr>
        <w:t xml:space="preserve">Chapter III — Membership, Admission, and Mandate</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9. </w:t>
      </w:r>
      <w:r>
        <w:rPr>
          <w:rFonts w:ascii="Arial" w:cs="Arial" w:eastAsia="Arial" w:hAnsi="Arial"/>
          <w:b/>
          <w:bCs/>
          <w:i w:val="false"/>
          <w:iCs w:val="false"/>
          <w:color w:val="2A0A14"/>
          <w:sz w:val="22"/>
          <w:szCs w:val="22"/>
        </w:rPr>
        <w:t xml:space="preserve">Admission</w:t>
      </w:r>
    </w:p>
    <w:p>
      <w:pPr>
        <w:spacing w:before="60" w:after="120"/>
        <w:jc w:val="both"/>
      </w:pPr>
      <w:r>
        <w:rPr>
          <w:rFonts w:ascii="Arial" w:cs="Arial" w:eastAsia="Arial" w:hAnsi="Arial"/>
          <w:b w:val="false"/>
          <w:bCs w:val="false"/>
          <w:i w:val="false"/>
          <w:iCs w:val="false"/>
          <w:color w:val="1A1A14"/>
          <w:sz w:val="22"/>
          <w:szCs w:val="22"/>
        </w:rPr>
        <w:t xml:space="preserve">Admission to either College requires a two-stage process: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Application: the candidate submits a written application to the Body's Secretariat setting out their credentials, their institutional affiliation (if any), their geographic connection to PADU's target communities, and — for Public Authorities candidates — documentary evidence of the qualifying governmental action.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Endorsement: the candidate's application is reviewed by the College they seek to join. Admission requires a simple majority vote of the existing College members. The Full Board is notified of all admissions.</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Founding members of each College are admitted at the constitutive assembly by consensus, without requiring a prior endorsement vote. The founding membership shall aim for geographic and sectoral balance from the outset.</w:t>
      </w:r>
    </w:p>
    <w:p>
      <w:pPr>
        <w:spacing w:before="60" w:after="120"/>
        <w:jc w:val="both"/>
      </w:pPr>
      <w:r>
        <w:rPr>
          <w:rFonts w:ascii="Arial" w:cs="Arial" w:eastAsia="Arial" w:hAnsi="Arial"/>
          <w:b w:val="false"/>
          <w:bCs w:val="false"/>
          <w:i w:val="false"/>
          <w:iCs w:val="false"/>
          <w:color w:val="1A1A14"/>
          <w:sz w:val="22"/>
          <w:szCs w:val="22"/>
        </w:rPr>
        <w:t xml:space="preserve">There is no membership fee. Membership does not confer any financial entitlement. Members bear their own incidental costs, if any.</w:t>
      </w:r>
    </w:p>
    <w:p>
      <w:pPr>
        <w:spacing w:before="280" w:after="80"/>
      </w:pPr>
      <w:r>
        <w:rPr>
          <w:rFonts w:ascii="Arial" w:cs="Arial" w:eastAsia="Arial" w:hAnsi="Arial"/>
          <w:b/>
          <w:bCs/>
          <w:i w:val="false"/>
          <w:iCs w:val="false"/>
          <w:color w:val="6B1A2A"/>
          <w:sz w:val="22"/>
          <w:szCs w:val="22"/>
        </w:rPr>
        <w:t xml:space="preserve">Article 10. </w:t>
      </w:r>
      <w:r>
        <w:rPr>
          <w:rFonts w:ascii="Arial" w:cs="Arial" w:eastAsia="Arial" w:hAnsi="Arial"/>
          <w:b/>
          <w:bCs/>
          <w:i w:val="false"/>
          <w:iCs w:val="false"/>
          <w:color w:val="2A0A14"/>
          <w:sz w:val="22"/>
          <w:szCs w:val="22"/>
        </w:rPr>
        <w:t xml:space="preserve">Mandate Duration and Renewal</w:t>
      </w:r>
    </w:p>
    <w:p>
      <w:pPr>
        <w:spacing w:before="60" w:after="120"/>
        <w:jc w:val="both"/>
      </w:pPr>
      <w:r>
        <w:rPr>
          <w:rFonts w:ascii="Arial" w:cs="Arial" w:eastAsia="Arial" w:hAnsi="Arial"/>
          <w:b w:val="false"/>
          <w:bCs w:val="false"/>
          <w:i w:val="false"/>
          <w:iCs w:val="false"/>
          <w:color w:val="1A1A14"/>
          <w:sz w:val="22"/>
          <w:szCs w:val="22"/>
        </w:rPr>
        <w:t xml:space="preserve">Members of both Colleges serve for a mandate of three years, renewable twice, for a maximum of nine consecutive years of service. After nine years, a minimum of three years must elapse before the person may seek re-admission. This rule ensures rotation and prevents the Body from becoming a closed circle of permanent members.</w:t>
      </w:r>
    </w:p>
    <w:p>
      <w:pPr>
        <w:spacing w:before="60" w:after="120"/>
        <w:jc w:val="both"/>
      </w:pPr>
      <w:r>
        <w:rPr>
          <w:rFonts w:ascii="Arial" w:cs="Arial" w:eastAsia="Arial" w:hAnsi="Arial"/>
          <w:b w:val="false"/>
          <w:bCs w:val="false"/>
          <w:i w:val="false"/>
          <w:iCs w:val="false"/>
          <w:color w:val="1A1A14"/>
          <w:sz w:val="22"/>
          <w:szCs w:val="22"/>
        </w:rPr>
        <w:t xml:space="preserve">Mandates are staggered to ensure continuity: at any College election, no more than two-thirds of the College's seats shall expire simultaneously. The first founding assembly shall assign initial mandates of one, two, or three years by lot among founding members to establish the staggering schedule.</w:t>
      </w:r>
    </w:p>
    <w:p>
      <w:pPr>
        <w:spacing w:before="280" w:after="80"/>
      </w:pPr>
      <w:r>
        <w:rPr>
          <w:rFonts w:ascii="Arial" w:cs="Arial" w:eastAsia="Arial" w:hAnsi="Arial"/>
          <w:b/>
          <w:bCs/>
          <w:i w:val="false"/>
          <w:iCs w:val="false"/>
          <w:color w:val="6B1A2A"/>
          <w:sz w:val="22"/>
          <w:szCs w:val="22"/>
        </w:rPr>
        <w:t xml:space="preserve">Article 11. </w:t>
      </w:r>
      <w:r>
        <w:rPr>
          <w:rFonts w:ascii="Arial" w:cs="Arial" w:eastAsia="Arial" w:hAnsi="Arial"/>
          <w:b/>
          <w:bCs/>
          <w:i w:val="false"/>
          <w:iCs w:val="false"/>
          <w:color w:val="2A0A14"/>
          <w:sz w:val="22"/>
          <w:szCs w:val="22"/>
        </w:rPr>
        <w:t xml:space="preserve">Voluntary Service</w:t>
      </w:r>
    </w:p>
    <w:p>
      <w:pPr>
        <w:spacing w:before="60" w:after="120"/>
        <w:jc w:val="both"/>
      </w:pPr>
      <w:r>
        <w:rPr>
          <w:rFonts w:ascii="Arial" w:cs="Arial" w:eastAsia="Arial" w:hAnsi="Arial"/>
          <w:b w:val="false"/>
          <w:bCs w:val="false"/>
          <w:i w:val="false"/>
          <w:iCs w:val="false"/>
          <w:color w:val="1A1A14"/>
          <w:sz w:val="22"/>
          <w:szCs w:val="22"/>
        </w:rPr>
        <w:t xml:space="preserve">All members of both Colleges serve on a voluntary, unpaid basis. This is a founding principle and not a temporary measure. The Body shall never create paid positions funded by the Social Fund. Any stipend, honorarium, expense reimbursement, or benefit-in-kind proposed to be drawn from the Social Fund shall be void per Article 5.</w:t>
      </w:r>
    </w:p>
    <w:p>
      <w:pPr>
        <w:spacing w:before="60" w:after="120"/>
        <w:jc w:val="both"/>
      </w:pPr>
      <w:r>
        <w:rPr>
          <w:rFonts w:ascii="Arial" w:cs="Arial" w:eastAsia="Arial" w:hAnsi="Arial"/>
          <w:b w:val="false"/>
          <w:bCs w:val="false"/>
          <w:i w:val="false"/>
          <w:iCs w:val="false"/>
          <w:color w:val="1A1A14"/>
          <w:sz w:val="22"/>
          <w:szCs w:val="22"/>
        </w:rPr>
        <w:t xml:space="preserve">Members may apply for personal expense reimbursement from the Body's independent operational fund (see Article 24), provided such a fund exists and has been built from donations or subventions. The conditions and limits of such reimbursement shall be defined in the Standing Rules, if adopted, with the understanding that the Body's digital-first infrastructure is specifically designed to minimise the need for such reimbursements.</w:t>
      </w:r>
    </w:p>
    <w:p>
      <w:pPr>
        <w:spacing w:before="280" w:after="80"/>
      </w:pPr>
      <w:r>
        <w:rPr>
          <w:rFonts w:ascii="Arial" w:cs="Arial" w:eastAsia="Arial" w:hAnsi="Arial"/>
          <w:b/>
          <w:bCs/>
          <w:i w:val="false"/>
          <w:iCs w:val="false"/>
          <w:color w:val="6B1A2A"/>
          <w:sz w:val="22"/>
          <w:szCs w:val="22"/>
        </w:rPr>
        <w:t xml:space="preserve">Article 12. </w:t>
      </w:r>
      <w:r>
        <w:rPr>
          <w:rFonts w:ascii="Arial" w:cs="Arial" w:eastAsia="Arial" w:hAnsi="Arial"/>
          <w:b/>
          <w:bCs/>
          <w:i w:val="false"/>
          <w:iCs w:val="false"/>
          <w:color w:val="2A0A14"/>
          <w:sz w:val="22"/>
          <w:szCs w:val="22"/>
        </w:rPr>
        <w:t xml:space="preserve">Resignation and Removal</w:t>
      </w:r>
    </w:p>
    <w:p>
      <w:pPr>
        <w:spacing w:before="60" w:after="120"/>
        <w:jc w:val="both"/>
      </w:pPr>
      <w:r>
        <w:rPr>
          <w:rFonts w:ascii="Arial" w:cs="Arial" w:eastAsia="Arial" w:hAnsi="Arial"/>
          <w:b w:val="false"/>
          <w:bCs w:val="false"/>
          <w:i w:val="false"/>
          <w:iCs w:val="false"/>
          <w:color w:val="1A1A14"/>
          <w:sz w:val="22"/>
          <w:szCs w:val="22"/>
        </w:rPr>
        <w:t xml:space="preserve">A member may resign at any time by written notice to the Secretariat. Resignation takes effect immediately unless the member specifies a later date to allow for an orderly transition.</w:t>
      </w:r>
    </w:p>
    <w:p>
      <w:pPr>
        <w:spacing w:before="60" w:after="120"/>
        <w:jc w:val="both"/>
      </w:pPr>
      <w:r>
        <w:rPr>
          <w:rFonts w:ascii="Arial" w:cs="Arial" w:eastAsia="Arial" w:hAnsi="Arial"/>
          <w:b w:val="false"/>
          <w:bCs w:val="false"/>
          <w:i w:val="false"/>
          <w:iCs w:val="false"/>
          <w:color w:val="1A1A14"/>
          <w:sz w:val="22"/>
          <w:szCs w:val="22"/>
        </w:rPr>
        <w:t xml:space="preserve">A member may be removed by a two-thirds majority vote of their College on the grounds of: repeated failure to participate in deliberations without explanation; conduct contrary to the Body's values or mission; or loss of the qualifying status that justified their membership (for Public Authorities College members). Removal is recorded on the Governance Ledger and communicated to the Full Board.</w:t>
      </w:r>
    </w:p>
    <w:p>
      <w:pPr>
        <w:pStyle w:val="Heading1"/>
        <w:spacing w:before="520" w:after="120"/>
      </w:pPr>
      <w:r>
        <w:rPr>
          <w:rFonts w:ascii="Arial" w:cs="Arial" w:eastAsia="Arial" w:hAnsi="Arial"/>
          <w:b/>
          <w:bCs/>
          <w:i w:val="false"/>
          <w:iCs w:val="false"/>
          <w:color w:val="2A0A14"/>
          <w:sz w:val="28"/>
          <w:szCs w:val="28"/>
        </w:rPr>
        <w:t xml:space="preserve">Chapter IV — Governance Bodies and Officers</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14"/>
          <w:sz w:val="22"/>
          <w:szCs w:val="22"/>
        </w:rPr>
        <w:t xml:space="preserve">The Body operates through three governance bodies: the Full Board, the Executive Committee, and the Dual Presidency. Each has a defined scope and decision-making authority.</w:t>
      </w:r>
    </w:p>
    <w:p>
      <w:pPr>
        <w:spacing w:before="280" w:after="80"/>
      </w:pPr>
      <w:r>
        <w:rPr>
          <w:rFonts w:ascii="Arial" w:cs="Arial" w:eastAsia="Arial" w:hAnsi="Arial"/>
          <w:b/>
          <w:bCs/>
          <w:i w:val="false"/>
          <w:iCs w:val="false"/>
          <w:color w:val="6B1A2A"/>
          <w:sz w:val="22"/>
          <w:szCs w:val="22"/>
        </w:rPr>
        <w:t xml:space="preserve">Article 13. </w:t>
      </w:r>
      <w:r>
        <w:rPr>
          <w:rFonts w:ascii="Arial" w:cs="Arial" w:eastAsia="Arial" w:hAnsi="Arial"/>
          <w:b/>
          <w:bCs/>
          <w:i w:val="false"/>
          <w:iCs w:val="false"/>
          <w:color w:val="2A0A14"/>
          <w:sz w:val="22"/>
          <w:szCs w:val="22"/>
        </w:rPr>
        <w:t xml:space="preserve">The Full Board</w:t>
      </w:r>
    </w:p>
    <w:p>
      <w:pPr>
        <w:spacing w:before="60" w:after="120"/>
        <w:jc w:val="both"/>
      </w:pPr>
      <w:r>
        <w:rPr>
          <w:rFonts w:ascii="Arial" w:cs="Arial" w:eastAsia="Arial" w:hAnsi="Arial"/>
          <w:b w:val="false"/>
          <w:bCs w:val="false"/>
          <w:i w:val="false"/>
          <w:iCs w:val="false"/>
          <w:color w:val="1A1A14"/>
          <w:sz w:val="22"/>
          <w:szCs w:val="22"/>
        </w:rPr>
        <w:t xml:space="preserve">The Full Board is the supreme governing body of the Body. It comprises all members of both Colleges in their joint deliberative capacity. The Full Board meets at minimum twice per year in formal session and may convene additional extraordinary sessions at the request of either College or the Dual Presidency.</w:t>
      </w:r>
    </w:p>
    <w:p>
      <w:pPr>
        <w:spacing w:before="60" w:after="120"/>
        <w:jc w:val="both"/>
      </w:pPr>
      <w:r>
        <w:rPr>
          <w:rFonts w:ascii="Arial" w:cs="Arial" w:eastAsia="Arial" w:hAnsi="Arial"/>
          <w:b w:val="false"/>
          <w:bCs w:val="false"/>
          <w:i w:val="false"/>
          <w:iCs w:val="false"/>
          <w:color w:val="1A1A14"/>
          <w:sz w:val="22"/>
          <w:szCs w:val="22"/>
        </w:rPr>
        <w:t xml:space="preserve">Given the Body's digital-first infrastructure, Full Board sessions are conducted by video conference or asynchronous digital deliberation platform. No physical quorum is required. A valid Full Board session requires the participation of at least three members from each active College, with the participation window remaining open for not less than 72 hours to accommodate members across different time zones.</w:t>
      </w:r>
    </w:p>
    <w:p>
      <w:pPr>
        <w:spacing w:before="60" w:after="120"/>
        <w:jc w:val="both"/>
      </w:pPr>
      <w:r>
        <w:rPr>
          <w:rFonts w:ascii="Arial" w:cs="Arial" w:eastAsia="Arial" w:hAnsi="Arial"/>
          <w:b w:val="false"/>
          <w:bCs w:val="false"/>
          <w:i w:val="false"/>
          <w:iCs w:val="false"/>
          <w:color w:val="1A1A14"/>
          <w:sz w:val="22"/>
          <w:szCs w:val="22"/>
        </w:rPr>
        <w:t xml:space="preserve">The Full Board holds exclusive authority over:</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Amendments to this constitutional framework.</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Admission of new members to either College.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Removal of members.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Adoption and amendment of Standing Rules.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Approval of the Body's annual activity report and financial statement.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Decisions on the Body's legal domicile, name, or dissolution.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Formal endorsement of the Body's position on matters of advocacy or public communication.</w:t>
      </w:r>
    </w:p>
    <w:p>
      <w:pPr>
        <w:spacing w:before="280" w:after="80"/>
      </w:pPr>
      <w:r>
        <w:rPr>
          <w:rFonts w:ascii="Arial" w:cs="Arial" w:eastAsia="Arial" w:hAnsi="Arial"/>
          <w:b/>
          <w:bCs/>
          <w:i w:val="false"/>
          <w:iCs w:val="false"/>
          <w:color w:val="6B1A2A"/>
          <w:sz w:val="22"/>
          <w:szCs w:val="22"/>
        </w:rPr>
        <w:t xml:space="preserve">Article 14. </w:t>
      </w:r>
      <w:r>
        <w:rPr>
          <w:rFonts w:ascii="Arial" w:cs="Arial" w:eastAsia="Arial" w:hAnsi="Arial"/>
          <w:b/>
          <w:bCs/>
          <w:i w:val="false"/>
          <w:iCs w:val="false"/>
          <w:color w:val="2A0A14"/>
          <w:sz w:val="22"/>
          <w:szCs w:val="22"/>
        </w:rPr>
        <w:t xml:space="preserve">The Executive Committee</w:t>
      </w:r>
    </w:p>
    <w:p>
      <w:pPr>
        <w:spacing w:before="60" w:after="120"/>
        <w:jc w:val="both"/>
      </w:pPr>
      <w:r>
        <w:rPr>
          <w:rFonts w:ascii="Arial" w:cs="Arial" w:eastAsia="Arial" w:hAnsi="Arial"/>
          <w:b w:val="false"/>
          <w:bCs w:val="false"/>
          <w:i w:val="false"/>
          <w:iCs w:val="false"/>
          <w:color w:val="1A1A14"/>
          <w:sz w:val="22"/>
          <w:szCs w:val="22"/>
        </w:rPr>
        <w:t xml:space="preserve">The Executive Committee is the Body's standing operational body between Full Board sessions. It is composed of the Dual Presidency and four additional members: two elected by the Civil College from among its members, and two elected by the Public Authorities College from among its members (or from the Civil College if the Public Authorities College is inactive, maintaining parity principles where possible).</w:t>
      </w:r>
    </w:p>
    <w:p>
      <w:pPr>
        <w:spacing w:before="60" w:after="120"/>
        <w:jc w:val="both"/>
      </w:pPr>
      <w:r>
        <w:rPr>
          <w:rFonts w:ascii="Arial" w:cs="Arial" w:eastAsia="Arial" w:hAnsi="Arial"/>
          <w:b w:val="false"/>
          <w:bCs w:val="false"/>
          <w:i w:val="false"/>
          <w:iCs w:val="false"/>
          <w:color w:val="1A1A14"/>
          <w:sz w:val="22"/>
          <w:szCs w:val="22"/>
        </w:rPr>
        <w:t xml:space="preserve">The Executive Committee meets at minimum once per month during active Social Fund cycles and is responsible for:</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Coordinating the preparation and submission of quarterly project proposals to the PADU polling system.</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Reviewing community poll results and coordinating the Board approval step of the disbursement process.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Stewarding approved projects: communicating with beneficiaries, monitoring progress, and publishing outcome reports.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Managing the Body's operational communications and digital infrastructure.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Preparing Full Board sessions and implementing Full Board resolutions.</w:t>
      </w:r>
    </w:p>
    <w:p>
      <w:pPr>
        <w:spacing w:before="280" w:after="80"/>
      </w:pPr>
      <w:r>
        <w:rPr>
          <w:rFonts w:ascii="Arial" w:cs="Arial" w:eastAsia="Arial" w:hAnsi="Arial"/>
          <w:b/>
          <w:bCs/>
          <w:i w:val="false"/>
          <w:iCs w:val="false"/>
          <w:color w:val="6B1A2A"/>
          <w:sz w:val="22"/>
          <w:szCs w:val="22"/>
        </w:rPr>
        <w:t xml:space="preserve">Article 15. </w:t>
      </w:r>
      <w:r>
        <w:rPr>
          <w:rFonts w:ascii="Arial" w:cs="Arial" w:eastAsia="Arial" w:hAnsi="Arial"/>
          <w:b/>
          <w:bCs/>
          <w:i w:val="false"/>
          <w:iCs w:val="false"/>
          <w:color w:val="2A0A14"/>
          <w:sz w:val="22"/>
          <w:szCs w:val="22"/>
        </w:rPr>
        <w:t xml:space="preserve">The Dual Presidency</w:t>
      </w:r>
    </w:p>
    <w:p>
      <w:pPr>
        <w:spacing w:before="60" w:after="120"/>
        <w:jc w:val="both"/>
      </w:pPr>
      <w:r>
        <w:rPr>
          <w:rFonts w:ascii="Arial" w:cs="Arial" w:eastAsia="Arial" w:hAnsi="Arial"/>
          <w:b w:val="false"/>
          <w:bCs w:val="false"/>
          <w:i w:val="false"/>
          <w:iCs w:val="false"/>
          <w:color w:val="1A1A14"/>
          <w:sz w:val="22"/>
          <w:szCs w:val="22"/>
        </w:rPr>
        <w:t xml:space="preserve">The Body is led jointly by two Co-Presidents: one elected by the Civil College from among its members, and one elected by the Public Authorities College from among its members. When the Public Authorities College is inactive, the Civil College elects a single President pro tempore.</w:t>
      </w:r>
    </w:p>
    <w:p>
      <w:pPr>
        <w:spacing w:before="60" w:after="120"/>
        <w:jc w:val="both"/>
      </w:pPr>
      <w:r>
        <w:rPr>
          <w:rFonts w:ascii="Arial" w:cs="Arial" w:eastAsia="Arial" w:hAnsi="Arial"/>
          <w:b w:val="false"/>
          <w:bCs w:val="false"/>
          <w:i w:val="false"/>
          <w:iCs w:val="false"/>
          <w:color w:val="1A1A14"/>
          <w:sz w:val="22"/>
          <w:szCs w:val="22"/>
        </w:rPr>
        <w:t xml:space="preserve">The Co-Presidents hold equal authority and co-sign all formal decisions, disbursement authorisations, and official communications of the Body. Neither Co-President may act unilaterally on behalf of the Body in matters that require co-signature. The Dual Presidency is a structural expression of the parity principle.</w:t>
      </w:r>
    </w:p>
    <w:p>
      <w:pPr>
        <w:spacing w:before="60" w:after="120"/>
        <w:jc w:val="both"/>
      </w:pPr>
      <w:r>
        <w:rPr>
          <w:rFonts w:ascii="Arial" w:cs="Arial" w:eastAsia="Arial" w:hAnsi="Arial"/>
          <w:b w:val="false"/>
          <w:bCs w:val="false"/>
          <w:i w:val="false"/>
          <w:iCs w:val="false"/>
          <w:color w:val="1A1A14"/>
          <w:sz w:val="22"/>
          <w:szCs w:val="22"/>
        </w:rPr>
        <w:t xml:space="preserve">Co-Presidents serve a two-year term, renewable once within their College mandate. They may be recalled by a two-thirds majority of their respective College at any time.</w:t>
      </w:r>
    </w:p>
    <w:p>
      <w:pPr>
        <w:spacing w:before="280" w:after="80"/>
      </w:pPr>
      <w:r>
        <w:rPr>
          <w:rFonts w:ascii="Arial" w:cs="Arial" w:eastAsia="Arial" w:hAnsi="Arial"/>
          <w:b/>
          <w:bCs/>
          <w:i w:val="false"/>
          <w:iCs w:val="false"/>
          <w:color w:val="6B1A2A"/>
          <w:sz w:val="22"/>
          <w:szCs w:val="22"/>
        </w:rPr>
        <w:t xml:space="preserve">Article 16. </w:t>
      </w:r>
      <w:r>
        <w:rPr>
          <w:rFonts w:ascii="Arial" w:cs="Arial" w:eastAsia="Arial" w:hAnsi="Arial"/>
          <w:b/>
          <w:bCs/>
          <w:i w:val="false"/>
          <w:iCs w:val="false"/>
          <w:color w:val="2A0A14"/>
          <w:sz w:val="22"/>
          <w:szCs w:val="22"/>
        </w:rPr>
        <w:t xml:space="preserve">The Secretariat</w:t>
      </w:r>
    </w:p>
    <w:p>
      <w:pPr>
        <w:spacing w:before="60" w:after="120"/>
        <w:jc w:val="both"/>
      </w:pPr>
      <w:r>
        <w:rPr>
          <w:rFonts w:ascii="Arial" w:cs="Arial" w:eastAsia="Arial" w:hAnsi="Arial"/>
          <w:b w:val="false"/>
          <w:bCs w:val="false"/>
          <w:i w:val="false"/>
          <w:iCs w:val="false"/>
          <w:color w:val="1A1A14"/>
          <w:sz w:val="22"/>
          <w:szCs w:val="22"/>
        </w:rPr>
        <w:t xml:space="preserve">The Body maintains a minimal digital Secretariat responsible for record-keeping, agenda preparation, member communications, and on-chain publication of governance records. The Secretariat function may be fulfilled by one or more members acting on a voluntary basis or by a designated volunteer coordinator. The Secretariat has no decision-making authority.</w:t>
      </w:r>
    </w:p>
    <w:p>
      <w:pPr>
        <w:pStyle w:val="Heading1"/>
        <w:spacing w:before="520" w:after="120"/>
      </w:pPr>
      <w:r>
        <w:rPr>
          <w:rFonts w:ascii="Arial" w:cs="Arial" w:eastAsia="Arial" w:hAnsi="Arial"/>
          <w:b/>
          <w:bCs/>
          <w:i w:val="false"/>
          <w:iCs w:val="false"/>
          <w:color w:val="2A0A14"/>
          <w:sz w:val="28"/>
          <w:szCs w:val="28"/>
        </w:rPr>
        <w:t xml:space="preserve">Chapter V — Decision-Making and the Community Deliberative Vote</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17. </w:t>
      </w:r>
      <w:r>
        <w:rPr>
          <w:rFonts w:ascii="Arial" w:cs="Arial" w:eastAsia="Arial" w:hAnsi="Arial"/>
          <w:b/>
          <w:bCs/>
          <w:i w:val="false"/>
          <w:iCs w:val="false"/>
          <w:color w:val="2A0A14"/>
          <w:sz w:val="22"/>
          <w:szCs w:val="22"/>
        </w:rPr>
        <w:t xml:space="preserve">Ordinary Resolutions</w:t>
      </w:r>
    </w:p>
    <w:p>
      <w:pPr>
        <w:spacing w:before="60" w:after="120"/>
        <w:jc w:val="both"/>
      </w:pPr>
      <w:r>
        <w:rPr>
          <w:rFonts w:ascii="Arial" w:cs="Arial" w:eastAsia="Arial" w:hAnsi="Arial"/>
          <w:b w:val="false"/>
          <w:bCs w:val="false"/>
          <w:i w:val="false"/>
          <w:iCs w:val="false"/>
          <w:color w:val="1A1A14"/>
          <w:sz w:val="22"/>
          <w:szCs w:val="22"/>
        </w:rPr>
        <w:t xml:space="preserve">An ordinary resolution of the Full Board requires a simple majority of weighted votes, computed according to the parity formula of Article 8. In practice, for a two-College body, this means both Colleges must reach the same position — since each College holds 50% of the total weight, a majority is impossible without at least partial alignment between them.</w:t>
      </w:r>
    </w:p>
    <w:p>
      <w:pPr>
        <w:spacing w:before="60" w:after="120"/>
        <w:jc w:val="both"/>
      </w:pPr>
      <w:r>
        <w:rPr>
          <w:rFonts w:ascii="Arial" w:cs="Arial" w:eastAsia="Arial" w:hAnsi="Arial"/>
          <w:b w:val="false"/>
          <w:bCs w:val="false"/>
          <w:i w:val="false"/>
          <w:iCs w:val="false"/>
          <w:color w:val="1A1A14"/>
          <w:sz w:val="22"/>
          <w:szCs w:val="22"/>
        </w:rPr>
        <w:t xml:space="preserve">Voting is conducted digitally. Each College first deliberates internally to determine its College position. The College position is determined by simple majority of the College's own members. The College's position is then submitted as a weighted vote in the Full Board deliberation.</w:t>
      </w:r>
    </w:p>
    <w:p>
      <w:pPr>
        <w:spacing w:before="60" w:after="120"/>
        <w:jc w:val="both"/>
      </w:pPr>
      <w:r>
        <w:rPr>
          <w:rFonts w:ascii="Arial" w:cs="Arial" w:eastAsia="Arial" w:hAnsi="Arial"/>
          <w:b w:val="false"/>
          <w:bCs w:val="false"/>
          <w:i w:val="false"/>
          <w:iCs w:val="false"/>
          <w:color w:val="1A1A14"/>
          <w:sz w:val="22"/>
          <w:szCs w:val="22"/>
        </w:rPr>
        <w:t xml:space="preserve">The voting window for ordinary Full Board resolutions shall remain open for at least 48 hours. Members are notified of the opening of a vote through the Body's digital platform and, where possible, via the wallet notification system described in PADU-TECH-03A.</w:t>
      </w:r>
    </w:p>
    <w:p>
      <w:pPr>
        <w:spacing w:before="280" w:after="80"/>
      </w:pPr>
      <w:r>
        <w:rPr>
          <w:rFonts w:ascii="Arial" w:cs="Arial" w:eastAsia="Arial" w:hAnsi="Arial"/>
          <w:b/>
          <w:bCs/>
          <w:i w:val="false"/>
          <w:iCs w:val="false"/>
          <w:color w:val="6B1A2A"/>
          <w:sz w:val="22"/>
          <w:szCs w:val="22"/>
        </w:rPr>
        <w:t xml:space="preserve">Article 18. </w:t>
      </w:r>
      <w:r>
        <w:rPr>
          <w:rFonts w:ascii="Arial" w:cs="Arial" w:eastAsia="Arial" w:hAnsi="Arial"/>
          <w:b/>
          <w:bCs/>
          <w:i w:val="false"/>
          <w:iCs w:val="false"/>
          <w:color w:val="2A0A14"/>
          <w:sz w:val="22"/>
          <w:szCs w:val="22"/>
        </w:rPr>
        <w:t xml:space="preserve">Qualified Majority Resolutions</w:t>
      </w:r>
    </w:p>
    <w:p>
      <w:pPr>
        <w:spacing w:before="60" w:after="120"/>
        <w:jc w:val="both"/>
      </w:pPr>
      <w:r>
        <w:rPr>
          <w:rFonts w:ascii="Arial" w:cs="Arial" w:eastAsia="Arial" w:hAnsi="Arial"/>
          <w:b w:val="false"/>
          <w:bCs w:val="false"/>
          <w:i w:val="false"/>
          <w:iCs w:val="false"/>
          <w:color w:val="1A1A14"/>
          <w:sz w:val="22"/>
          <w:szCs w:val="22"/>
        </w:rPr>
        <w:t xml:space="preserve">The following decisions require a qualified majority: the agreement of two-thirds of each College's members, applied independently in each College, such that both Colleges must separately reach the two-thirds threshold: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Amendments to this constitutional framework (subject to the unamendable provisions of Articles 5, 8, 19, and 20).</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Removal of a member.</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Dissolution of the Body.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Changes to the Body's legal domicile.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Adoption of a formal advocacy position on politically sensitive matters.</w:t>
      </w:r>
    </w:p>
    <w:p>
      <w:pPr>
        <w:spacing w:before="280" w:after="80"/>
      </w:pPr>
      <w:r>
        <w:rPr>
          <w:rFonts w:ascii="Arial" w:cs="Arial" w:eastAsia="Arial" w:hAnsi="Arial"/>
          <w:b/>
          <w:bCs/>
          <w:i w:val="false"/>
          <w:iCs w:val="false"/>
          <w:color w:val="6B1A2A"/>
          <w:sz w:val="22"/>
          <w:szCs w:val="22"/>
        </w:rPr>
        <w:t xml:space="preserve">Article 19. </w:t>
      </w:r>
      <w:r>
        <w:rPr>
          <w:rFonts w:ascii="Arial" w:cs="Arial" w:eastAsia="Arial" w:hAnsi="Arial"/>
          <w:b/>
          <w:bCs/>
          <w:i w:val="false"/>
          <w:iCs w:val="false"/>
          <w:color w:val="2A0A14"/>
          <w:sz w:val="22"/>
          <w:szCs w:val="22"/>
        </w:rPr>
        <w:t xml:space="preserve">The Community Deliberative Vote</w:t>
      </w:r>
    </w:p>
    <w:p>
      <w:pPr>
        <w:spacing w:before="60" w:after="120"/>
        <w:jc w:val="both"/>
      </w:pPr>
      <w:r>
        <w:rPr>
          <w:rFonts w:ascii="Arial" w:cs="Arial" w:eastAsia="Arial" w:hAnsi="Arial"/>
          <w:b w:val="false"/>
          <w:bCs w:val="false"/>
          <w:i w:val="false"/>
          <w:iCs w:val="false"/>
          <w:color w:val="1A1A14"/>
          <w:sz w:val="22"/>
          <w:szCs w:val="22"/>
        </w:rPr>
        <w:t xml:space="preserve">When both Colleges are in active operation and a Full Board vote results in a deadlock — defined as the two Colleges casting opposing positions, with no resolution after a second deliberation round — the matter is referred to the Community Deliberative Vote. This mechanism is the constitutional tiebreaker and cannot be waived or bypassed by agreement of the Colleges.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A00" w:sz="1"/>
              <w:left w:val="single" w:color="8B5A00" w:sz="20"/>
              <w:bottom w:val="single" w:color="8B5A00" w:sz="1"/>
              <w:right w:val="single" w:color="C8C0B8" w:sz="1"/>
            </w:tcBorders>
            <w:shd w:fill="FFF8EE" w:val="clear"/>
            <w:tcMar>
              <w:top w:type="dxa" w:w="100"/>
              <w:left w:type="dxa" w:w="200"/>
              <w:bottom w:type="dxa" w:w="100"/>
              <w:right w:type="dxa" w:w="200"/>
            </w:tcMar>
          </w:tcPr>
          <w:p>
            <w:pPr>
              <w:spacing w:before="0" w:after="60"/>
            </w:pPr>
            <w:r>
              <w:rPr>
                <w:rFonts w:ascii="Arial" w:cs="Arial" w:eastAsia="Arial" w:hAnsi="Arial"/>
                <w:b/>
                <w:bCs/>
                <w:i w:val="false"/>
                <w:iCs w:val="false"/>
                <w:color w:val="8B5A00"/>
                <w:sz w:val="20"/>
                <w:szCs w:val="20"/>
              </w:rPr>
              <w:t xml:space="preserve">THE COMMUNITY DELIBERATIVE VOTE — Key principles</w:t>
            </w:r>
          </w:p>
          <w:p>
            <w:pPr>
              <w:spacing w:before="0" w:after="0"/>
              <w:jc w:val="both"/>
            </w:pPr>
            <w:r>
              <w:rPr>
                <w:rFonts w:ascii="Arial" w:cs="Arial" w:eastAsia="Arial" w:hAnsi="Arial"/>
                <w:b w:val="false"/>
                <w:bCs w:val="false"/>
                <w:i w:val="false"/>
                <w:iCs w:val="false"/>
                <w:color w:val="1A1A14"/>
                <w:sz w:val="20"/>
                <w:szCs w:val="20"/>
              </w:rPr>
              <w:t xml:space="preserve">The Community Deliberative Vote engages all active PADU wallet holders through the polling infrastructure described in PADU-TECH-03A. The result of a Community Deliberative Vote is binding on the Full Board. The Body must implement the community's decision, even if both Colleges would have preferred a different outcome. This is the expression of the community's ultimate sovereignty over the Social Fund.</w:t>
            </w:r>
          </w:p>
        </w:tc>
      </w:tr>
    </w:tbl>
    <w:p>
      <w:pPr>
        <w:spacing w:before="0" w:after="80"/>
      </w:pPr>
    </w:p>
    <w:p>
      <w:pPr>
        <w:pStyle w:val="Heading3"/>
        <w:spacing w:before="220" w:after="60"/>
      </w:pPr>
      <w:r>
        <w:rPr>
          <w:rFonts w:ascii="Arial" w:cs="Arial" w:eastAsia="Arial" w:hAnsi="Arial"/>
          <w:b/>
          <w:bCs/>
          <w:i w:val="false"/>
          <w:iCs w:val="false"/>
          <w:color w:val="1A2035"/>
          <w:sz w:val="21"/>
          <w:szCs w:val="21"/>
        </w:rPr>
        <w:t xml:space="preserve">Process:</w:t>
      </w:r>
    </w:p>
    <w:p>
      <w:pPr>
        <w:pStyle w:val="ListParagraph"/>
        <w:numPr>
          <w:ilvl w:val="0"/>
          <w:numId w:val="3"/>
        </w:numPr>
        <w:spacing w:before="40" w:after="80"/>
      </w:pPr>
      <w:r>
        <w:rPr>
          <w:rFonts w:ascii="Arial" w:cs="Arial" w:eastAsia="Arial" w:hAnsi="Arial"/>
          <w:b w:val="false"/>
          <w:bCs w:val="false"/>
          <w:i w:val="false"/>
          <w:iCs w:val="false"/>
          <w:color w:val="1A1A14"/>
          <w:sz w:val="22"/>
          <w:szCs w:val="22"/>
        </w:rPr>
        <w:t xml:space="preserve">Deadlock is formally declared by the Dual Presidency after two unsuccessful deliberation rounds on the same matter, no fewer than 7 days apart.</w:t>
      </w:r>
    </w:p>
    <w:p>
      <w:pPr>
        <w:pStyle w:val="ListParagraph"/>
        <w:numPr>
          <w:ilvl w:val="0"/>
          <w:numId w:val="3"/>
        </w:numPr>
        <w:spacing w:before="40" w:after="80"/>
      </w:pPr>
      <w:r>
        <w:rPr>
          <w:rFonts w:ascii="Arial" w:cs="Arial" w:eastAsia="Arial" w:hAnsi="Arial"/>
          <w:b w:val="false"/>
          <w:bCs w:val="false"/>
          <w:i w:val="false"/>
          <w:iCs w:val="false"/>
          <w:color w:val="1A1A14"/>
          <w:sz w:val="22"/>
          <w:szCs w:val="22"/>
        </w:rPr>
        <w:t xml:space="preserve">The Dual Presidency prepares a plain-language summary of the question on which the community will vote. The summary must present both College positions fairly, without preference. It is approved by at least one member of each College before dispatch.</w:t>
      </w:r>
    </w:p>
    <w:p>
      <w:pPr>
        <w:pStyle w:val="ListParagraph"/>
        <w:numPr>
          <w:ilvl w:val="0"/>
          <w:numId w:val="3"/>
        </w:numPr>
        <w:spacing w:before="40" w:after="80"/>
      </w:pPr>
      <w:r>
        <w:rPr>
          <w:rFonts w:ascii="Arial" w:cs="Arial" w:eastAsia="Arial" w:hAnsi="Arial"/>
          <w:b w:val="false"/>
          <w:bCs w:val="false"/>
          <w:i w:val="false"/>
          <w:iCs w:val="false"/>
          <w:color w:val="1A1A14"/>
          <w:sz w:val="22"/>
          <w:szCs w:val="22"/>
        </w:rPr>
        <w:t xml:space="preserve">The question is submitted to the PADU Social Chamber's polling infrastructure as a special advisory poll, distinct from the regular quarterly Social Fund project polls. The technical integration point is the Poll Registry Contract (PADU-TECH-03A, Section 5).</w:t>
      </w:r>
    </w:p>
    <w:p>
      <w:pPr>
        <w:pStyle w:val="ListParagraph"/>
        <w:numPr>
          <w:ilvl w:val="0"/>
          <w:numId w:val="3"/>
        </w:numPr>
        <w:spacing w:before="40" w:after="80"/>
      </w:pPr>
      <w:r>
        <w:rPr>
          <w:rFonts w:ascii="Arial" w:cs="Arial" w:eastAsia="Arial" w:hAnsi="Arial"/>
          <w:b w:val="false"/>
          <w:bCs w:val="false"/>
          <w:i w:val="false"/>
          <w:iCs w:val="false"/>
          <w:color w:val="1A1A14"/>
          <w:sz w:val="22"/>
          <w:szCs w:val="22"/>
        </w:rPr>
        <w:t xml:space="preserve">The poll runs for 21 days. Active PADU wallet holders vote — one wallet, one vote, no minimum participation threshold for this type of poll (unlike project polls, which have a 5% quorum requirement, since any community participation in a governance question is legitimate).</w:t>
      </w:r>
    </w:p>
    <w:p>
      <w:pPr>
        <w:pStyle w:val="ListParagraph"/>
        <w:numPr>
          <w:ilvl w:val="0"/>
          <w:numId w:val="3"/>
        </w:numPr>
        <w:spacing w:before="40" w:after="80"/>
      </w:pPr>
      <w:r>
        <w:rPr>
          <w:rFonts w:ascii="Arial" w:cs="Arial" w:eastAsia="Arial" w:hAnsi="Arial"/>
          <w:b w:val="false"/>
          <w:bCs w:val="false"/>
          <w:i w:val="false"/>
          <w:iCs w:val="false"/>
          <w:color w:val="1A1A14"/>
          <w:sz w:val="22"/>
          <w:szCs w:val="22"/>
        </w:rPr>
        <w:t xml:space="preserve">The option receiving the most votes wins. The result is written to the on-chain Governance Ledger immediately upon poll close.</w:t>
      </w:r>
    </w:p>
    <w:p>
      <w:pPr>
        <w:pStyle w:val="ListParagraph"/>
        <w:numPr>
          <w:ilvl w:val="0"/>
          <w:numId w:val="3"/>
        </w:numPr>
        <w:spacing w:before="40" w:after="80"/>
      </w:pPr>
      <w:r>
        <w:rPr>
          <w:rFonts w:ascii="Arial" w:cs="Arial" w:eastAsia="Arial" w:hAnsi="Arial"/>
          <w:b w:val="false"/>
          <w:bCs w:val="false"/>
          <w:i w:val="false"/>
          <w:iCs w:val="false"/>
          <w:color w:val="1A1A14"/>
          <w:sz w:val="22"/>
          <w:szCs w:val="22"/>
        </w:rPr>
        <w:t xml:space="preserve">The Full Board adopts the community's preference as its resolution within 7 days of the poll result. No further deliberation is required.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14" w:sz="1"/>
              <w:left w:val="single" w:color="7A2A14" w:sz="20"/>
              <w:bottom w:val="single" w:color="7A2A14" w:sz="1"/>
              <w:right w:val="single" w:color="C8C0B8" w:sz="1"/>
            </w:tcBorders>
            <w:shd w:fill="FFF0EE" w:val="clear"/>
            <w:tcMar>
              <w:top w:type="dxa" w:w="100"/>
              <w:left w:type="dxa" w:w="200"/>
              <w:bottom w:type="dxa" w:w="100"/>
              <w:right w:type="dxa" w:w="200"/>
            </w:tcMar>
          </w:tcPr>
          <w:p>
            <w:pPr>
              <w:spacing w:before="0" w:after="60"/>
            </w:pPr>
            <w:r>
              <w:rPr>
                <w:rFonts w:ascii="Arial" w:cs="Arial" w:eastAsia="Arial" w:hAnsi="Arial"/>
                <w:b/>
                <w:bCs/>
                <w:i w:val="false"/>
                <w:iCs w:val="false"/>
                <w:color w:val="7A2A14"/>
                <w:sz w:val="20"/>
                <w:szCs w:val="20"/>
              </w:rPr>
              <w:t xml:space="preserve">SCOPE LIMITATION</w:t>
            </w:r>
          </w:p>
          <w:p>
            <w:pPr>
              <w:spacing w:before="0" w:after="0"/>
              <w:jc w:val="both"/>
            </w:pPr>
            <w:r>
              <w:rPr>
                <w:rFonts w:ascii="Arial" w:cs="Arial" w:eastAsia="Arial" w:hAnsi="Arial"/>
                <w:b w:val="false"/>
                <w:bCs w:val="false"/>
                <w:i w:val="false"/>
                <w:iCs w:val="false"/>
                <w:color w:val="1A1A14"/>
                <w:sz w:val="20"/>
                <w:szCs w:val="20"/>
              </w:rPr>
              <w:t xml:space="preserve">The Community Deliberative Vote applies to deadlocked Full Board decisions only. It is not a general mechanism by which the community can initiate or direct the Body's actions beyond breaking tied votes. The community's primary governance input into the Social Fund remains the quarterly project polling system (PADU-TECH-03A). The Community Deliberative Vote is a safety valve, not a parallel governance channel.</w:t>
            </w:r>
          </w:p>
        </w:tc>
      </w:tr>
    </w:tbl>
    <w:p>
      <w:pPr>
        <w:spacing w:before="280" w:after="80"/>
      </w:pPr>
      <w:r>
        <w:rPr>
          <w:rFonts w:ascii="Arial" w:cs="Arial" w:eastAsia="Arial" w:hAnsi="Arial"/>
          <w:b/>
          <w:bCs/>
          <w:i w:val="false"/>
          <w:iCs w:val="false"/>
          <w:color w:val="6B1A2A"/>
          <w:sz w:val="22"/>
          <w:szCs w:val="22"/>
        </w:rPr>
        <w:t xml:space="preserve">Article 20. </w:t>
      </w:r>
      <w:r>
        <w:rPr>
          <w:rFonts w:ascii="Arial" w:cs="Arial" w:eastAsia="Arial" w:hAnsi="Arial"/>
          <w:b/>
          <w:bCs/>
          <w:i w:val="false"/>
          <w:iCs w:val="false"/>
          <w:color w:val="2A0A14"/>
          <w:sz w:val="22"/>
          <w:szCs w:val="22"/>
        </w:rPr>
        <w:t xml:space="preserve">Unamendable Provisions</w:t>
      </w:r>
    </w:p>
    <w:p>
      <w:pPr>
        <w:spacing w:before="60" w:after="120"/>
        <w:jc w:val="both"/>
      </w:pPr>
      <w:r>
        <w:rPr>
          <w:rFonts w:ascii="Arial" w:cs="Arial" w:eastAsia="Arial" w:hAnsi="Arial"/>
          <w:b w:val="false"/>
          <w:bCs w:val="false"/>
          <w:i w:val="false"/>
          <w:iCs w:val="false"/>
          <w:color w:val="1A1A14"/>
          <w:sz w:val="22"/>
          <w:szCs w:val="22"/>
        </w:rPr>
        <w:t xml:space="preserve">The following provisions of this framework are unamendable and cannot be altered by any decision of the Full Board, however large the majority: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Article 5 — the prohibition on Social Fund expenditure for the Body's operations.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Article 8 — the parity guarantee: the equal vote weight of both Colleges.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Article 19 — the Community Deliberative Vote as binding tiebreaker.</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This article itself — the list of unamendable provisions cannot be shortened by amendment.</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A proposed amendment that purports to modify an unamendable provision shall be ruled out of order by the Dual Presidency and shall not be put to a vote.</w:t>
      </w:r>
    </w:p>
    <w:p>
      <w:pPr>
        <w:pStyle w:val="Heading1"/>
        <w:spacing w:before="520" w:after="120"/>
      </w:pPr>
      <w:r>
        <w:rPr>
          <w:rFonts w:ascii="Arial" w:cs="Arial" w:eastAsia="Arial" w:hAnsi="Arial"/>
          <w:b/>
          <w:bCs/>
          <w:i w:val="false"/>
          <w:iCs w:val="false"/>
          <w:color w:val="2A0A14"/>
          <w:sz w:val="28"/>
          <w:szCs w:val="28"/>
        </w:rPr>
        <w:t xml:space="preserve">Chapter VI — Social Fund Stewardship Functions</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21. </w:t>
      </w:r>
      <w:r>
        <w:rPr>
          <w:rFonts w:ascii="Arial" w:cs="Arial" w:eastAsia="Arial" w:hAnsi="Arial"/>
          <w:b/>
          <w:bCs/>
          <w:i w:val="false"/>
          <w:iCs w:val="false"/>
          <w:color w:val="2A0A14"/>
          <w:sz w:val="22"/>
          <w:szCs w:val="22"/>
        </w:rPr>
        <w:t xml:space="preserve">Project Proposal Preparation</w:t>
      </w:r>
    </w:p>
    <w:p>
      <w:pPr>
        <w:spacing w:before="60" w:after="120"/>
        <w:jc w:val="both"/>
      </w:pPr>
      <w:r>
        <w:rPr>
          <w:rFonts w:ascii="Arial" w:cs="Arial" w:eastAsia="Arial" w:hAnsi="Arial"/>
          <w:b w:val="false"/>
          <w:bCs w:val="false"/>
          <w:i w:val="false"/>
          <w:iCs w:val="false"/>
          <w:color w:val="1A1A14"/>
          <w:sz w:val="22"/>
          <w:szCs w:val="22"/>
        </w:rPr>
        <w:t xml:space="preserve">The Body's most visible operational function is the preparation of project proposals for each quarterly Social Fund cycle. The Executive Committee is responsible for sourcing, evaluating, and selecting between 3 and 5 proposals per cycle to submit to the community polling system. This process shall be: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Open: the Body shall publish a call for project applications accessible to any eligible organisation or community group at least 45 days before the submission deadline. Applications may be submitted in any language in common use among PADU's target communities.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Transparent: the evaluation criteria used to shortlist proposals shall be published in advance and consistently applied. The Body shall publish brief explanations of why proposals were selected or not selected.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Diverse: the Body shall aim, over successive cycles, to cover a range of categories (education, health, infrastructure, digital inclusion, agriculture, and others), geographies, and beneficiary profiles. No single country, category, or beneficiary type shall dominate successive cycles without justification.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Accountable: the Board's pre-approval signature submitted with each proposal (per PADU-TECH-03A, Section 4.2, RULE-P4) constitutes a commitment that the Body has verified the beneficiary's identity, legal standing, and capacity to receive and deploy funds.</w:t>
      </w:r>
    </w:p>
    <w:p>
      <w:pPr>
        <w:spacing w:before="280" w:after="80"/>
      </w:pPr>
      <w:r>
        <w:rPr>
          <w:rFonts w:ascii="Arial" w:cs="Arial" w:eastAsia="Arial" w:hAnsi="Arial"/>
          <w:b/>
          <w:bCs/>
          <w:i w:val="false"/>
          <w:iCs w:val="false"/>
          <w:color w:val="6B1A2A"/>
          <w:sz w:val="22"/>
          <w:szCs w:val="22"/>
        </w:rPr>
        <w:t xml:space="preserve">Article 22. </w:t>
      </w:r>
      <w:r>
        <w:rPr>
          <w:rFonts w:ascii="Arial" w:cs="Arial" w:eastAsia="Arial" w:hAnsi="Arial"/>
          <w:b/>
          <w:bCs/>
          <w:i w:val="false"/>
          <w:iCs w:val="false"/>
          <w:color w:val="2A0A14"/>
          <w:sz w:val="22"/>
          <w:szCs w:val="22"/>
        </w:rPr>
        <w:t xml:space="preserve">Disbursement Authorisation</w:t>
      </w:r>
    </w:p>
    <w:p>
      <w:pPr>
        <w:spacing w:before="60" w:after="120"/>
        <w:jc w:val="both"/>
      </w:pPr>
      <w:r>
        <w:rPr>
          <w:rFonts w:ascii="Arial" w:cs="Arial" w:eastAsia="Arial" w:hAnsi="Arial"/>
          <w:b w:val="false"/>
          <w:bCs w:val="false"/>
          <w:i w:val="false"/>
          <w:iCs w:val="false"/>
          <w:color w:val="1A1A14"/>
          <w:sz w:val="22"/>
          <w:szCs w:val="22"/>
        </w:rPr>
        <w:t xml:space="preserve">Following a valid community poll result (per PADU-TECH-03A, Section 5.5), the Body must provide the NGO Board multisig approval that constitutes the second authorisation required for disbursement from the Social Fund Vault. This approval:</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Shall be provided within 14 days of poll finalisation, as required by the technical specification (PADU-TECH-03A, Section 6.2).</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Requires the co-signature of both Co-Presidents, acting as joint custodians of the multisig signing authority.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Is conditional on a final verification that the beneficiary wallet address is valid, the beneficiary has confirmed readiness to receive funds, and no material fact has emerged since the proposal was submitted that would make the disbursement inappropriate.</w:t>
      </w:r>
    </w:p>
    <w:p>
      <w:pPr>
        <w:spacing w:before="60" w:after="120"/>
        <w:jc w:val="both"/>
      </w:pPr>
      <w:r>
        <w:rPr>
          <w:rFonts w:ascii="Arial" w:cs="Arial" w:eastAsia="Arial" w:hAnsi="Arial"/>
          <w:b w:val="false"/>
          <w:bCs w:val="false"/>
          <w:i w:val="false"/>
          <w:iCs w:val="false"/>
          <w:color w:val="1A1A14"/>
          <w:sz w:val="22"/>
          <w:szCs w:val="22"/>
        </w:rPr>
        <w:t xml:space="preserve">If the Body determines that it cannot approve a disbursement despite a valid poll result — for example, because the beneficiary is no longer reachable or has become ineligible — the Co-Presidents must publish a detailed explanation to the Governance Ledger within the 14-day window. Failure to approve without explanation triggers the Board Default process defined in PADU-TECH-03A, Section 6.3.</w:t>
      </w:r>
    </w:p>
    <w:p>
      <w:pPr>
        <w:spacing w:before="280" w:after="80"/>
      </w:pPr>
      <w:r>
        <w:rPr>
          <w:rFonts w:ascii="Arial" w:cs="Arial" w:eastAsia="Arial" w:hAnsi="Arial"/>
          <w:b/>
          <w:bCs/>
          <w:i w:val="false"/>
          <w:iCs w:val="false"/>
          <w:color w:val="6B1A2A"/>
          <w:sz w:val="22"/>
          <w:szCs w:val="22"/>
        </w:rPr>
        <w:t xml:space="preserve">Article 23. </w:t>
      </w:r>
      <w:r>
        <w:rPr>
          <w:rFonts w:ascii="Arial" w:cs="Arial" w:eastAsia="Arial" w:hAnsi="Arial"/>
          <w:b/>
          <w:bCs/>
          <w:i w:val="false"/>
          <w:iCs w:val="false"/>
          <w:color w:val="2A0A14"/>
          <w:sz w:val="22"/>
          <w:szCs w:val="22"/>
        </w:rPr>
        <w:t xml:space="preserve">Post-Disbursement Stewardship</w:t>
      </w:r>
    </w:p>
    <w:p>
      <w:pPr>
        <w:spacing w:before="60" w:after="120"/>
        <w:jc w:val="both"/>
      </w:pPr>
      <w:r>
        <w:rPr>
          <w:rFonts w:ascii="Arial" w:cs="Arial" w:eastAsia="Arial" w:hAnsi="Arial"/>
          <w:b w:val="false"/>
          <w:bCs w:val="false"/>
          <w:i w:val="false"/>
          <w:iCs w:val="false"/>
          <w:color w:val="1A1A14"/>
          <w:sz w:val="22"/>
          <w:szCs w:val="22"/>
        </w:rPr>
        <w:t xml:space="preserve">The Body's responsibility does not end at disbursement. For each funded project, the Executive Committee designates one member as stewardship lead, responsible for:</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Maintaining communication with the beneficiary throughout the project execution period.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Publishing at least one interim progress report to the on-chain Governance Ledger within 90 days of disbursement.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Publishing a final outcome report within 30 days of project completion or at the project's scheduled end date, whichever comes first.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Escalating to the Full Board if the beneficiary fails to provide meaningful progress reports or if disbursed funds appear to have been misused.</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All stewardship reports are published on the PADU blockchain via the Governance Ledger contract (Article 26) and are permanently accessible to all PADU wallet holders.</w:t>
      </w:r>
    </w:p>
    <w:p>
      <w:pPr>
        <w:pStyle w:val="Heading1"/>
        <w:spacing w:before="520" w:after="120"/>
      </w:pPr>
      <w:r>
        <w:rPr>
          <w:rFonts w:ascii="Arial" w:cs="Arial" w:eastAsia="Arial" w:hAnsi="Arial"/>
          <w:b/>
          <w:bCs/>
          <w:i w:val="false"/>
          <w:iCs w:val="false"/>
          <w:color w:val="2A0A14"/>
          <w:sz w:val="28"/>
          <w:szCs w:val="28"/>
        </w:rPr>
        <w:t xml:space="preserve">Chapter VII — Finances, Infrastructure, and Transparency</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24. </w:t>
      </w:r>
      <w:r>
        <w:rPr>
          <w:rFonts w:ascii="Arial" w:cs="Arial" w:eastAsia="Arial" w:hAnsi="Arial"/>
          <w:b/>
          <w:bCs/>
          <w:i w:val="false"/>
          <w:iCs w:val="false"/>
          <w:color w:val="2A0A14"/>
          <w:sz w:val="22"/>
          <w:szCs w:val="22"/>
        </w:rPr>
        <w:t xml:space="preserve">Independent Operational Finances</w:t>
      </w:r>
    </w:p>
    <w:p>
      <w:pPr>
        <w:spacing w:before="60" w:after="120"/>
        <w:jc w:val="both"/>
      </w:pPr>
      <w:r>
        <w:rPr>
          <w:rFonts w:ascii="Arial" w:cs="Arial" w:eastAsia="Arial" w:hAnsi="Arial"/>
          <w:b w:val="false"/>
          <w:bCs w:val="false"/>
          <w:i w:val="false"/>
          <w:iCs w:val="false"/>
          <w:color w:val="1A1A14"/>
          <w:sz w:val="22"/>
          <w:szCs w:val="22"/>
        </w:rPr>
        <w:t xml:space="preserve">The Body shall maintain a separate treasury, entirely independent of the PADU Social Fund, to cover any operational costs that arise. This treasury is funded exclusively through donations, public subventions, and grants as described in Article 5.</w:t>
      </w:r>
    </w:p>
    <w:p>
      <w:pPr>
        <w:spacing w:before="60" w:after="120"/>
        <w:jc w:val="both"/>
      </w:pPr>
      <w:r>
        <w:rPr>
          <w:rFonts w:ascii="Arial" w:cs="Arial" w:eastAsia="Arial" w:hAnsi="Arial"/>
          <w:b w:val="false"/>
          <w:bCs w:val="false"/>
          <w:i w:val="false"/>
          <w:iCs w:val="false"/>
          <w:color w:val="1A1A14"/>
          <w:sz w:val="22"/>
          <w:szCs w:val="22"/>
        </w:rPr>
        <w:t xml:space="preserve">The Body's design is intentionally digital-first, which minimises operational costs: there is no physical office, no permanent staff, no routine printing or postage, and no mandatory travel. The expectation is that operational costs will remain low or zero in most periods. The independent treasury exists as a provision for exceptional costs — legal domicile maintenance fees, statutory auditing if required by the chosen jurisdiction, and similar administrative necessities.</w:t>
      </w:r>
    </w:p>
    <w:p>
      <w:pPr>
        <w:spacing w:before="60" w:after="120"/>
        <w:jc w:val="both"/>
      </w:pPr>
      <w:r>
        <w:rPr>
          <w:rFonts w:ascii="Arial" w:cs="Arial" w:eastAsia="Arial" w:hAnsi="Arial"/>
          <w:b w:val="false"/>
          <w:bCs w:val="false"/>
          <w:i w:val="false"/>
          <w:iCs w:val="false"/>
          <w:color w:val="1A1A14"/>
          <w:sz w:val="22"/>
          <w:szCs w:val="22"/>
        </w:rPr>
        <w:t xml:space="preserve">The Body shall publish an annual financial statement covering its independent treasury — receipts, expenditures, and closing balance — within the first quarter following each financial year end. This statement shall be published on the Governance Ledger and communicated to all members and to the PADU community.</w:t>
      </w:r>
    </w:p>
    <w:p>
      <w:pPr>
        <w:spacing w:before="280" w:after="80"/>
      </w:pPr>
      <w:r>
        <w:rPr>
          <w:rFonts w:ascii="Arial" w:cs="Arial" w:eastAsia="Arial" w:hAnsi="Arial"/>
          <w:b/>
          <w:bCs/>
          <w:i w:val="false"/>
          <w:iCs w:val="false"/>
          <w:color w:val="6B1A2A"/>
          <w:sz w:val="22"/>
          <w:szCs w:val="22"/>
        </w:rPr>
        <w:t xml:space="preserve">Article 25. </w:t>
      </w:r>
      <w:r>
        <w:rPr>
          <w:rFonts w:ascii="Arial" w:cs="Arial" w:eastAsia="Arial" w:hAnsi="Arial"/>
          <w:b/>
          <w:bCs/>
          <w:i w:val="false"/>
          <w:iCs w:val="false"/>
          <w:color w:val="2A0A14"/>
          <w:sz w:val="22"/>
          <w:szCs w:val="22"/>
        </w:rPr>
        <w:t xml:space="preserve">Digital-First Infrastructure</w:t>
      </w:r>
    </w:p>
    <w:p>
      <w:pPr>
        <w:spacing w:before="60" w:after="120"/>
        <w:jc w:val="both"/>
      </w:pPr>
      <w:r>
        <w:rPr>
          <w:rFonts w:ascii="Arial" w:cs="Arial" w:eastAsia="Arial" w:hAnsi="Arial"/>
          <w:b w:val="false"/>
          <w:bCs w:val="false"/>
          <w:i w:val="false"/>
          <w:iCs w:val="false"/>
          <w:color w:val="1A1A14"/>
          <w:sz w:val="22"/>
          <w:szCs w:val="22"/>
        </w:rPr>
        <w:t xml:space="preserve">All governance activities of the Body shall be conducted through digital means. No decision of the Body requires a physical meeting. This principle serves two purposes: it makes participation accessible to members regardless of their geographic location, and it eliminates travel costs as a structural expense.</w:t>
      </w:r>
    </w:p>
    <w:p>
      <w:pPr>
        <w:spacing w:before="60" w:after="120"/>
        <w:jc w:val="both"/>
      </w:pPr>
      <w:r>
        <w:rPr>
          <w:rFonts w:ascii="Arial" w:cs="Arial" w:eastAsia="Arial" w:hAnsi="Arial"/>
          <w:b w:val="false"/>
          <w:bCs w:val="false"/>
          <w:i w:val="false"/>
          <w:iCs w:val="false"/>
          <w:color w:val="1A1A14"/>
          <w:sz w:val="22"/>
          <w:szCs w:val="22"/>
        </w:rPr>
        <w:t xml:space="preserve">The Body's digital infrastructure shall include:</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 secure, asynchronous deliberation platform for internal College discussions and Full Board votes. The platform shall support document sharing, structured discussion threads, and recorded votes.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 video conferencing facility for synchronous meetings, available to all members at zero cost to individual participants.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 secure communication channel for the Executive Committee and the Dual Presidency.</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Integration with the PADU wallet notification system for community-facing communications.</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The choice of specific platforms shall be reviewed annually by the Executive Committee with attention to security, data privacy, accessibility, and cost. Preference shall be given to open-source or non-profit-operated platforms.</w:t>
      </w:r>
    </w:p>
    <w:p>
      <w:pPr>
        <w:spacing w:before="280" w:after="80"/>
      </w:pPr>
      <w:r>
        <w:rPr>
          <w:rFonts w:ascii="Arial" w:cs="Arial" w:eastAsia="Arial" w:hAnsi="Arial"/>
          <w:b/>
          <w:bCs/>
          <w:i w:val="false"/>
          <w:iCs w:val="false"/>
          <w:color w:val="6B1A2A"/>
          <w:sz w:val="22"/>
          <w:szCs w:val="22"/>
        </w:rPr>
        <w:t xml:space="preserve">Article 26. </w:t>
      </w:r>
      <w:r>
        <w:rPr>
          <w:rFonts w:ascii="Arial" w:cs="Arial" w:eastAsia="Arial" w:hAnsi="Arial"/>
          <w:b/>
          <w:bCs/>
          <w:i w:val="false"/>
          <w:iCs w:val="false"/>
          <w:color w:val="2A0A14"/>
          <w:sz w:val="22"/>
          <w:szCs w:val="22"/>
        </w:rPr>
        <w:t xml:space="preserve">The On-Chain Governance Ledger</w:t>
      </w:r>
    </w:p>
    <w:p>
      <w:pPr>
        <w:spacing w:before="60" w:after="120"/>
        <w:jc w:val="both"/>
      </w:pPr>
      <w:r>
        <w:rPr>
          <w:rFonts w:ascii="Arial" w:cs="Arial" w:eastAsia="Arial" w:hAnsi="Arial"/>
          <w:b w:val="false"/>
          <w:bCs w:val="false"/>
          <w:i w:val="false"/>
          <w:iCs w:val="false"/>
          <w:color w:val="1A1A14"/>
          <w:sz w:val="22"/>
          <w:szCs w:val="22"/>
        </w:rPr>
        <w:t xml:space="preserve">All formal decisions of the Body — Full Board resolutions, Community Deliberative Vote results, disbursement authorisations, project proposals submitted, and stewardship reports — shall be recorded on the PADU blockchain through a dedicated Governance Ledger contract. This contract is write-append only: records are permanent and cannot be altered.</w:t>
      </w:r>
    </w:p>
    <w:p>
      <w:pPr>
        <w:spacing w:before="60" w:after="120"/>
        <w:jc w:val="both"/>
      </w:pPr>
      <w:r>
        <w:rPr>
          <w:rFonts w:ascii="Arial" w:cs="Arial" w:eastAsia="Arial" w:hAnsi="Arial"/>
          <w:b w:val="false"/>
          <w:bCs w:val="false"/>
          <w:i w:val="false"/>
          <w:iCs w:val="false"/>
          <w:color w:val="1A1A14"/>
          <w:sz w:val="22"/>
          <w:szCs w:val="22"/>
        </w:rPr>
        <w:t xml:space="preserve">Each record on the Governance Ledger contains: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 unique sequential record identifier.</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record type (Resolution, Disbursement Authorisation, Proposal Submission, Stewardship Report, Community Vote Result, etc.).</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content hash: a keccak256 hash of the full document, which is stored on IPFS and linked from the record.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IPFS content identifier (CID) of the full document.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timestamp of on-chain recording.</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multisig signatures of the Co-Presidents as the authorising officers.</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This architecture means that the entire history of the Body's decisions is permanently, publicly, and independently verifiable by any PADU wallet holder and by any third party with access to the PADU blockchain — without requiring trust in the Body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20"/>
              <w:bottom w:val="single" w:color="1A5C2A" w:sz="1"/>
              <w:right w:val="single" w:color="C8C0B8" w:sz="1"/>
            </w:tcBorders>
            <w:shd w:fill="F0FFF4" w:val="clear"/>
            <w:tcMar>
              <w:top w:type="dxa" w:w="100"/>
              <w:left w:type="dxa" w:w="200"/>
              <w:bottom w:type="dxa" w:w="100"/>
              <w:right w:type="dxa" w:w="200"/>
            </w:tcMar>
          </w:tcPr>
          <w:p>
            <w:pPr>
              <w:spacing w:before="0" w:after="60"/>
            </w:pPr>
            <w:r>
              <w:rPr>
                <w:rFonts w:ascii="Arial" w:cs="Arial" w:eastAsia="Arial" w:hAnsi="Arial"/>
                <w:b/>
                <w:bCs/>
                <w:i w:val="false"/>
                <w:iCs w:val="false"/>
                <w:color w:val="1A5C2A"/>
                <w:sz w:val="20"/>
                <w:szCs w:val="20"/>
              </w:rPr>
              <w:t xml:space="preserve">TRANSPARENCY STANDARD</w:t>
            </w:r>
          </w:p>
          <w:p>
            <w:pPr>
              <w:spacing w:before="0" w:after="0"/>
              <w:jc w:val="both"/>
            </w:pPr>
            <w:r>
              <w:rPr>
                <w:rFonts w:ascii="Arial" w:cs="Arial" w:eastAsia="Arial" w:hAnsi="Arial"/>
                <w:b w:val="false"/>
                <w:bCs w:val="false"/>
                <w:i w:val="false"/>
                <w:iCs w:val="false"/>
                <w:color w:val="1A1A14"/>
                <w:sz w:val="20"/>
                <w:szCs w:val="20"/>
              </w:rPr>
              <w:t xml:space="preserve">The on-chain Governance Ledger is not a supplementary transparency measure — it is the official record of the Body's decisions. The physical or digital minutes of a meeting have legal value within the Body's internal governance. The on-chain record is the public-facing, auditable, and permanent account of what the Body decided and when. Any discrepancy between the two shall be resolved in favour of the on-chain record.</w:t>
            </w:r>
          </w:p>
        </w:tc>
      </w:tr>
    </w:tbl>
    <w:p>
      <w:pPr>
        <w:pStyle w:val="Heading1"/>
        <w:spacing w:before="520" w:after="120"/>
      </w:pPr>
      <w:r>
        <w:rPr>
          <w:rFonts w:ascii="Arial" w:cs="Arial" w:eastAsia="Arial" w:hAnsi="Arial"/>
          <w:b/>
          <w:bCs/>
          <w:i w:val="false"/>
          <w:iCs w:val="false"/>
          <w:color w:val="2A0A14"/>
          <w:sz w:val="28"/>
          <w:szCs w:val="28"/>
        </w:rPr>
        <w:t xml:space="preserve">Chapter VIII — Amendments, Standing Rules, and Dissolution</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27. </w:t>
      </w:r>
      <w:r>
        <w:rPr>
          <w:rFonts w:ascii="Arial" w:cs="Arial" w:eastAsia="Arial" w:hAnsi="Arial"/>
          <w:b/>
          <w:bCs/>
          <w:i w:val="false"/>
          <w:iCs w:val="false"/>
          <w:color w:val="2A0A14"/>
          <w:sz w:val="22"/>
          <w:szCs w:val="22"/>
        </w:rPr>
        <w:t xml:space="preserve">Amendments to this Framework</w:t>
      </w:r>
    </w:p>
    <w:p>
      <w:pPr>
        <w:spacing w:before="60" w:after="120"/>
        <w:jc w:val="both"/>
      </w:pPr>
      <w:r>
        <w:rPr>
          <w:rFonts w:ascii="Arial" w:cs="Arial" w:eastAsia="Arial" w:hAnsi="Arial"/>
          <w:b w:val="false"/>
          <w:bCs w:val="false"/>
          <w:i w:val="false"/>
          <w:iCs w:val="false"/>
          <w:color w:val="1A1A14"/>
          <w:sz w:val="22"/>
          <w:szCs w:val="22"/>
        </w:rPr>
        <w:t xml:space="preserve">This framework may be amended by a qualified majority of the Full Board as defined in Article 18 — that is, two-thirds of each College's members, reached independently in each College. No amendment may touch the provisions listed in Article 20.</w:t>
      </w:r>
    </w:p>
    <w:p>
      <w:pPr>
        <w:spacing w:before="60" w:after="120"/>
        <w:jc w:val="both"/>
      </w:pPr>
      <w:r>
        <w:rPr>
          <w:rFonts w:ascii="Arial" w:cs="Arial" w:eastAsia="Arial" w:hAnsi="Arial"/>
          <w:b w:val="false"/>
          <w:bCs w:val="false"/>
          <w:i w:val="false"/>
          <w:iCs w:val="false"/>
          <w:color w:val="1A1A14"/>
          <w:sz w:val="22"/>
          <w:szCs w:val="22"/>
        </w:rPr>
        <w:t xml:space="preserve">A proposed amendment must be circulated to all members of both Colleges at least 30 days before the vote. Members may submit written observations during this period. All observations shall be published on the Governance Ledger alongside the final vote record, whether or not the amendment is adopted.</w:t>
      </w:r>
    </w:p>
    <w:p>
      <w:pPr>
        <w:spacing w:before="280" w:after="80"/>
      </w:pPr>
      <w:r>
        <w:rPr>
          <w:rFonts w:ascii="Arial" w:cs="Arial" w:eastAsia="Arial" w:hAnsi="Arial"/>
          <w:b/>
          <w:bCs/>
          <w:i w:val="false"/>
          <w:iCs w:val="false"/>
          <w:color w:val="6B1A2A"/>
          <w:sz w:val="22"/>
          <w:szCs w:val="22"/>
        </w:rPr>
        <w:t xml:space="preserve">Article 28. </w:t>
      </w:r>
      <w:r>
        <w:rPr>
          <w:rFonts w:ascii="Arial" w:cs="Arial" w:eastAsia="Arial" w:hAnsi="Arial"/>
          <w:b/>
          <w:bCs/>
          <w:i w:val="false"/>
          <w:iCs w:val="false"/>
          <w:color w:val="2A0A14"/>
          <w:sz w:val="22"/>
          <w:szCs w:val="22"/>
        </w:rPr>
        <w:t xml:space="preserve">Standing Rules</w:t>
      </w:r>
    </w:p>
    <w:p>
      <w:pPr>
        <w:spacing w:before="60" w:after="120"/>
        <w:jc w:val="both"/>
      </w:pPr>
      <w:r>
        <w:rPr>
          <w:rFonts w:ascii="Arial" w:cs="Arial" w:eastAsia="Arial" w:hAnsi="Arial"/>
          <w:b w:val="false"/>
          <w:bCs w:val="false"/>
          <w:i w:val="false"/>
          <w:iCs w:val="false"/>
          <w:color w:val="1A1A14"/>
          <w:sz w:val="22"/>
          <w:szCs w:val="22"/>
        </w:rPr>
        <w:t xml:space="preserve">The Full Board may adopt Standing Rules to govern operational matters not specified in this framework — including but not limited to: the format and language of meetings, the procedure for project calls, member diversity targets, the detailed process for Public Authorities College admission reviews, and the protocol for Community Deliberative Vote question drafting.</w:t>
      </w:r>
    </w:p>
    <w:p>
      <w:pPr>
        <w:spacing w:before="60" w:after="120"/>
        <w:jc w:val="both"/>
      </w:pPr>
      <w:r>
        <w:rPr>
          <w:rFonts w:ascii="Arial" w:cs="Arial" w:eastAsia="Arial" w:hAnsi="Arial"/>
          <w:b w:val="false"/>
          <w:bCs w:val="false"/>
          <w:i w:val="false"/>
          <w:iCs w:val="false"/>
          <w:color w:val="1A1A14"/>
          <w:sz w:val="22"/>
          <w:szCs w:val="22"/>
        </w:rPr>
        <w:t xml:space="preserve">Standing Rules require an ordinary resolution of the Full Board. Standing Rules may not contradict this framework. In the event of any conflict between a Standing Rule and this framework, this framework prevails.</w:t>
      </w:r>
    </w:p>
    <w:p>
      <w:pPr>
        <w:spacing w:before="60" w:after="120"/>
        <w:jc w:val="both"/>
      </w:pPr>
      <w:r>
        <w:rPr>
          <w:rFonts w:ascii="Arial" w:cs="Arial" w:eastAsia="Arial" w:hAnsi="Arial"/>
          <w:b w:val="false"/>
          <w:bCs w:val="false"/>
          <w:i w:val="false"/>
          <w:iCs w:val="false"/>
          <w:color w:val="1A1A14"/>
          <w:sz w:val="22"/>
          <w:szCs w:val="22"/>
        </w:rPr>
        <w:t xml:space="preserve">The Body's first Full Board session shall prioritise the adoption of an initial set of Standing Rules covering at minimum: meeting procedures, the admission process, and the mandate for the Secretariat.</w:t>
      </w:r>
    </w:p>
    <w:p>
      <w:pPr>
        <w:spacing w:before="280" w:after="80"/>
      </w:pPr>
      <w:r>
        <w:rPr>
          <w:rFonts w:ascii="Arial" w:cs="Arial" w:eastAsia="Arial" w:hAnsi="Arial"/>
          <w:b/>
          <w:bCs/>
          <w:i w:val="false"/>
          <w:iCs w:val="false"/>
          <w:color w:val="6B1A2A"/>
          <w:sz w:val="22"/>
          <w:szCs w:val="22"/>
        </w:rPr>
        <w:t xml:space="preserve">Article 29. </w:t>
      </w:r>
      <w:r>
        <w:rPr>
          <w:rFonts w:ascii="Arial" w:cs="Arial" w:eastAsia="Arial" w:hAnsi="Arial"/>
          <w:b/>
          <w:bCs/>
          <w:i w:val="false"/>
          <w:iCs w:val="false"/>
          <w:color w:val="2A0A14"/>
          <w:sz w:val="22"/>
          <w:szCs w:val="22"/>
        </w:rPr>
        <w:t xml:space="preserve">Dissolution</w:t>
      </w:r>
    </w:p>
    <w:p>
      <w:pPr>
        <w:spacing w:before="60" w:after="120"/>
        <w:jc w:val="both"/>
      </w:pPr>
      <w:r>
        <w:rPr>
          <w:rFonts w:ascii="Arial" w:cs="Arial" w:eastAsia="Arial" w:hAnsi="Arial"/>
          <w:b w:val="false"/>
          <w:bCs w:val="false"/>
          <w:i w:val="false"/>
          <w:iCs w:val="false"/>
          <w:color w:val="1A1A14"/>
          <w:sz w:val="22"/>
          <w:szCs w:val="22"/>
        </w:rPr>
        <w:t xml:space="preserve">The Body may be dissolved by a qualified majority of the Full Board (two-thirds of each College). In the event of dissolution: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Body shall formally notify the PADU Protocol Chamber of its dissolution, since the Protocol Chamber is the governance entity with authority over the Social Fund's technical parameters.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Any independent treasury balance remaining after settlement of outstanding obligations shall be donated to one or more of the organisations represented in the Civil College, as determined by the Final Full Board resolution.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Social Fund Vault continues to accumulate fees and remains on-chain. The Protocol Chamber shall determine, through its standard governance process, how the Social Fund Vault shall be administered following the Body's dissolution — either by reconstituting a successor body or by amending the Social Fund's governance parameters.</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All Governance Ledger records remain permanently on-chain and accessible, regardless of the Body's dissolution.</w:t>
      </w:r>
    </w:p>
    <w:p>
      <w:pPr>
        <w:pStyle w:val="Heading1"/>
        <w:spacing w:before="520" w:after="120"/>
      </w:pPr>
      <w:r>
        <w:rPr>
          <w:rFonts w:ascii="Arial" w:cs="Arial" w:eastAsia="Arial" w:hAnsi="Arial"/>
          <w:b/>
          <w:bCs/>
          <w:i w:val="false"/>
          <w:iCs w:val="false"/>
          <w:color w:val="2A0A14"/>
          <w:sz w:val="28"/>
          <w:szCs w:val="28"/>
        </w:rPr>
        <w:t xml:space="preserve">Chapter IX — Transitional and Founding Provisions</w:t>
      </w:r>
    </w:p>
    <w:p>
      <w:pPr>
        <w:pBdr>
          <w:bottom w:val="single" w:color="C8922A" w:sz="8" w:space="1"/>
        </w:pBdr>
        <w:spacing w:before="0" w:after="160"/>
      </w:pPr>
    </w:p>
    <w:p>
      <w:pPr>
        <w:spacing w:before="280" w:after="80"/>
      </w:pPr>
      <w:r>
        <w:rPr>
          <w:rFonts w:ascii="Arial" w:cs="Arial" w:eastAsia="Arial" w:hAnsi="Arial"/>
          <w:b/>
          <w:bCs/>
          <w:i w:val="false"/>
          <w:iCs w:val="false"/>
          <w:color w:val="6B1A2A"/>
          <w:sz w:val="22"/>
          <w:szCs w:val="22"/>
        </w:rPr>
        <w:t xml:space="preserve">Article 30. </w:t>
      </w:r>
      <w:r>
        <w:rPr>
          <w:rFonts w:ascii="Arial" w:cs="Arial" w:eastAsia="Arial" w:hAnsi="Arial"/>
          <w:b/>
          <w:bCs/>
          <w:i w:val="false"/>
          <w:iCs w:val="false"/>
          <w:color w:val="2A0A14"/>
          <w:sz w:val="22"/>
          <w:szCs w:val="22"/>
        </w:rPr>
        <w:t xml:space="preserve">Constitutive Assembly</w:t>
      </w:r>
    </w:p>
    <w:p>
      <w:pPr>
        <w:spacing w:before="60" w:after="120"/>
        <w:jc w:val="both"/>
      </w:pPr>
      <w:r>
        <w:rPr>
          <w:rFonts w:ascii="Arial" w:cs="Arial" w:eastAsia="Arial" w:hAnsi="Arial"/>
          <w:b w:val="false"/>
          <w:bCs w:val="false"/>
          <w:i w:val="false"/>
          <w:iCs w:val="false"/>
          <w:color w:val="1A1A14"/>
          <w:sz w:val="22"/>
          <w:szCs w:val="22"/>
        </w:rPr>
        <w:t xml:space="preserve">This framework enters into force upon adoption by the constitutive assembly of the Body. The constitutive assembly is the founding event at which:</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framework is reviewed, discussed, and adopted by founding members — with the understanding that this document is a working draft submitted for collective discussion, not a finalised legal instrument.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Body's name is chosen.</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Founding members of the Civil College are admitted (minimum 5).</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first Dual Presidency is elected.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initial mandate staggering schedule is drawn by lot.</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first Standing Rules are adopted.</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legal domicile jurisdiction is confirmed (see PADU-GOV-02).</w:t>
      </w:r>
    </w:p>
    <w:p>
      <w:pPr>
        <w:pStyle w:val="ListParagraph"/>
        <w:numPr>
          <w:ilvl w:val="0"/>
          <w:numId w:val="2"/>
        </w:numPr>
        <w:spacing w:before="40" w:after="80"/>
      </w:pPr>
      <w:r>
        <w:rPr>
          <w:rFonts w:ascii="Arial" w:cs="Arial" w:eastAsia="Arial" w:hAnsi="Arial"/>
          <w:b w:val="false"/>
          <w:bCs w:val="false"/>
          <w:i w:val="false"/>
          <w:iCs w:val="false"/>
          <w:color w:val="1A1A14"/>
          <w:sz w:val="22"/>
          <w:szCs w:val="22"/>
        </w:rPr>
        <w:t xml:space="preserve">The on-chain Governance Ledger contract is formally activated and the constitutive assembly resolution is its first record.</w:t>
      </w:r>
    </w:p>
    <w:p>
      <w:pPr>
        <w:spacing w:before="0" w:after="60"/>
      </w:pPr>
    </w:p>
    <w:p>
      <w:pPr>
        <w:spacing w:before="60" w:after="120"/>
        <w:jc w:val="both"/>
      </w:pPr>
      <w:r>
        <w:rPr>
          <w:rFonts w:ascii="Arial" w:cs="Arial" w:eastAsia="Arial" w:hAnsi="Arial"/>
          <w:b w:val="false"/>
          <w:bCs w:val="false"/>
          <w:i w:val="false"/>
          <w:iCs w:val="false"/>
          <w:color w:val="1A1A14"/>
          <w:sz w:val="22"/>
          <w:szCs w:val="22"/>
        </w:rPr>
        <w:t xml:space="preserve">The constitutive assembly may be held as a digital event. It is convened by the PADU Core Working Group, which acts as facilitator of the founding process but has no authority over the Body's decisions once the Body is constituted.</w:t>
      </w:r>
    </w:p>
    <w:p>
      <w:pPr>
        <w:spacing w:before="280" w:after="80"/>
      </w:pPr>
      <w:r>
        <w:rPr>
          <w:rFonts w:ascii="Arial" w:cs="Arial" w:eastAsia="Arial" w:hAnsi="Arial"/>
          <w:b/>
          <w:bCs/>
          <w:i w:val="false"/>
          <w:iCs w:val="false"/>
          <w:color w:val="6B1A2A"/>
          <w:sz w:val="22"/>
          <w:szCs w:val="22"/>
        </w:rPr>
        <w:t xml:space="preserve">Article 31. </w:t>
      </w:r>
      <w:r>
        <w:rPr>
          <w:rFonts w:ascii="Arial" w:cs="Arial" w:eastAsia="Arial" w:hAnsi="Arial"/>
          <w:b/>
          <w:bCs/>
          <w:i w:val="false"/>
          <w:iCs w:val="false"/>
          <w:color w:val="2A0A14"/>
          <w:sz w:val="22"/>
          <w:szCs w:val="22"/>
        </w:rPr>
        <w:t xml:space="preserve">Status of the Public Authorities College at Founding</w:t>
      </w:r>
    </w:p>
    <w:p>
      <w:pPr>
        <w:spacing w:before="60" w:after="120"/>
        <w:jc w:val="both"/>
      </w:pPr>
      <w:r>
        <w:rPr>
          <w:rFonts w:ascii="Arial" w:cs="Arial" w:eastAsia="Arial" w:hAnsi="Arial"/>
          <w:b w:val="false"/>
          <w:bCs w:val="false"/>
          <w:i w:val="false"/>
          <w:iCs w:val="false"/>
          <w:color w:val="1A1A14"/>
          <w:sz w:val="22"/>
          <w:szCs w:val="22"/>
        </w:rPr>
        <w:t xml:space="preserve">The Public Authorities College does not exist at the moment of the constitutive assembly unless at least five governments have completed qualifying actions as described in Article 7 at the time of founding. If fewer than five qualifying governments exist at founding, the Body begins operating in single-college mode (Civil College only) and the Public Authorities College is activated when the fifth qualifying government joins.</w:t>
      </w:r>
    </w:p>
    <w:p>
      <w:pPr>
        <w:spacing w:before="60" w:after="120"/>
        <w:jc w:val="both"/>
      </w:pPr>
      <w:r>
        <w:rPr>
          <w:rFonts w:ascii="Arial" w:cs="Arial" w:eastAsia="Arial" w:hAnsi="Arial"/>
          <w:b w:val="false"/>
          <w:bCs w:val="false"/>
          <w:i w:val="false"/>
          <w:iCs w:val="false"/>
          <w:color w:val="1A1A14"/>
          <w:sz w:val="22"/>
          <w:szCs w:val="22"/>
        </w:rPr>
        <w:t xml:space="preserve">The PADU Core Working Group shall maintain a public register of governments that have initiated qualifying actions, to facilitate transparency about the College's formation process.</w:t>
      </w:r>
    </w:p>
    <w:p>
      <w:pPr>
        <w:spacing w:before="280" w:after="80"/>
      </w:pPr>
      <w:r>
        <w:rPr>
          <w:rFonts w:ascii="Arial" w:cs="Arial" w:eastAsia="Arial" w:hAnsi="Arial"/>
          <w:b/>
          <w:bCs/>
          <w:i w:val="false"/>
          <w:iCs w:val="false"/>
          <w:color w:val="6B1A2A"/>
          <w:sz w:val="22"/>
          <w:szCs w:val="22"/>
        </w:rPr>
        <w:t xml:space="preserve">Article 32. </w:t>
      </w:r>
      <w:r>
        <w:rPr>
          <w:rFonts w:ascii="Arial" w:cs="Arial" w:eastAsia="Arial" w:hAnsi="Arial"/>
          <w:b/>
          <w:bCs/>
          <w:i w:val="false"/>
          <w:iCs w:val="false"/>
          <w:color w:val="2A0A14"/>
          <w:sz w:val="22"/>
          <w:szCs w:val="22"/>
        </w:rPr>
        <w:t xml:space="preserve">Relationship with the PADU Core Working Group</w:t>
      </w:r>
    </w:p>
    <w:p>
      <w:pPr>
        <w:spacing w:before="60" w:after="120"/>
        <w:jc w:val="both"/>
      </w:pPr>
      <w:r>
        <w:rPr>
          <w:rFonts w:ascii="Arial" w:cs="Arial" w:eastAsia="Arial" w:hAnsi="Arial"/>
          <w:b w:val="false"/>
          <w:bCs w:val="false"/>
          <w:i w:val="false"/>
          <w:iCs w:val="false"/>
          <w:color w:val="1A1A14"/>
          <w:sz w:val="22"/>
          <w:szCs w:val="22"/>
        </w:rPr>
        <w:t xml:space="preserve">The PADU Core Working Group, as the entity currently developing the technical and governance architecture of the PADU project, has facilitated the drafting of this framework. Upon adoption of this framework and constitution of the Body, the Working Group's facilitation role ends. The Body is fully independent.</w:t>
      </w:r>
    </w:p>
    <w:p>
      <w:pPr>
        <w:spacing w:before="60" w:after="120"/>
        <w:jc w:val="both"/>
      </w:pPr>
      <w:r>
        <w:rPr>
          <w:rFonts w:ascii="Arial" w:cs="Arial" w:eastAsia="Arial" w:hAnsi="Arial"/>
          <w:b w:val="false"/>
          <w:bCs w:val="false"/>
          <w:i w:val="false"/>
          <w:iCs w:val="false"/>
          <w:color w:val="1A1A14"/>
          <w:sz w:val="22"/>
          <w:szCs w:val="22"/>
        </w:rPr>
        <w:t xml:space="preserve">The Working Group and the Body shall maintain a cooperative relationship — the Working Group providing technical integration support for the Body's interface with the PADU blockchain, and the Body providing community feedback on the Social Fund's operation. This cooperation is not a relationship of authority or dependency.</w:t>
      </w:r>
    </w:p>
    <w:p>
      <w:pPr>
        <w:spacing w:before="0" w:after="300"/>
      </w:pPr>
    </w:p>
    <w:p>
      <w:pPr>
        <w:pBdr>
          <w:bottom w:val="single" w:color="C8922A" w:sz="8" w:space="1"/>
        </w:pBdr>
        <w:spacing w:before="0" w:after="160"/>
      </w:pPr>
    </w:p>
    <w:p>
      <w:pPr>
        <w:spacing w:before="160" w:after="80"/>
        <w:jc w:val="center"/>
      </w:pPr>
      <w:r>
        <w:rPr>
          <w:rFonts w:ascii="Arial" w:cs="Arial" w:eastAsia="Arial" w:hAnsi="Arial"/>
          <w:b w:val="false"/>
          <w:bCs w:val="false"/>
          <w:i/>
          <w:iCs/>
          <w:color w:val="666666"/>
          <w:sz w:val="20"/>
          <w:szCs w:val="20"/>
        </w:rPr>
        <w:t xml:space="preserve">Adopted at the constitutive assembly of the Social Fund Administration Body</w:t>
      </w:r>
    </w:p>
    <w:p>
      <w:pPr>
        <w:spacing w:before="0" w:after="80"/>
        <w:jc w:val="center"/>
      </w:pPr>
      <w:r>
        <w:rPr>
          <w:rFonts w:ascii="Arial" w:cs="Arial" w:eastAsia="Arial" w:hAnsi="Arial"/>
          <w:b w:val="false"/>
          <w:bCs w:val="false"/>
          <w:i/>
          <w:iCs/>
          <w:color w:val="999999"/>
          <w:sz w:val="20"/>
          <w:szCs w:val="20"/>
        </w:rPr>
        <w:t xml:space="preserve">Date and place to be completed upon formal adoption</w:t>
      </w:r>
    </w:p>
    <w:p>
      <w:pPr>
        <w:spacing w:before="0" w:after="80"/>
      </w:pPr>
    </w:p>
    <w:p>
      <w:pPr>
        <w:spacing w:before="0" w:after="40"/>
        <w:jc w:val="center"/>
      </w:pPr>
      <w:r>
        <w:rPr>
          <w:rFonts w:ascii="Arial" w:cs="Arial" w:eastAsia="Arial" w:hAnsi="Arial"/>
          <w:b w:val="false"/>
          <w:bCs w:val="false"/>
          <w:i w:val="false"/>
          <w:iCs w:val="false"/>
          <w:color w:val="444444"/>
          <w:sz w:val="20"/>
          <w:szCs w:val="20"/>
        </w:rPr>
        <w:t xml:space="preserve">Co-President, College of Civil Representatives: _________________________</w:t>
      </w:r>
    </w:p>
    <w:p>
      <w:pPr>
        <w:spacing w:before="0" w:after="80"/>
        <w:jc w:val="center"/>
      </w:pPr>
      <w:r>
        <w:rPr>
          <w:rFonts w:ascii="Arial" w:cs="Arial" w:eastAsia="Arial" w:hAnsi="Arial"/>
          <w:b w:val="false"/>
          <w:bCs w:val="false"/>
          <w:i w:val="false"/>
          <w:iCs w:val="false"/>
          <w:color w:val="444444"/>
          <w:sz w:val="20"/>
          <w:szCs w:val="20"/>
        </w:rPr>
        <w:t xml:space="preserve">Co-President, College of Public Authorities: ___________________________</w:t>
      </w:r>
    </w:p>
    <w:p>
      <w:pPr>
        <w:spacing w:before="0" w:after="160"/>
      </w:pPr>
    </w:p>
    <w:p>
      <w:pPr>
        <w:pBdr>
          <w:bottom w:val="single" w:color="C8C0B8" w:sz="4" w:space="1"/>
        </w:pBdr>
        <w:spacing w:before="0" w:after="160"/>
      </w:pPr>
    </w:p>
    <w:p>
      <w:pPr>
        <w:spacing w:before="60" w:after="120"/>
        <w:jc w:val="both"/>
      </w:pPr>
      <w:r>
        <w:rPr>
          <w:rFonts w:ascii="Arial" w:cs="Arial" w:eastAsia="Arial" w:hAnsi="Arial"/>
          <w:b w:val="false"/>
          <w:bCs w:val="false"/>
          <w:i/>
          <w:iCs/>
          <w:color w:val="888888"/>
          <w:sz w:val="22"/>
          <w:szCs w:val="22"/>
        </w:rPr>
        <w:t xml:space="preserve">End of PADU-GOV-01. This document is submitted for collective review and adoption by the founding membership of the Body. It does not constitute a legally binding instrument until formally adopted. All provisions are subject to discussion and amendment at the constitutive assembly, except where marked as unamendable, which reflects the founding community's intent for those provisions to endure.</w:t>
      </w:r>
    </w:p>
    <w:p>
      <w:pPr>
        <w:spacing w:before="60" w:after="120"/>
        <w:jc w:val="both"/>
      </w:pPr>
      <w:r>
        <w:rPr>
          <w:rFonts w:ascii="Arial" w:cs="Arial" w:eastAsia="Arial" w:hAnsi="Arial"/>
          <w:b w:val="false"/>
          <w:bCs w:val="false"/>
          <w:i/>
          <w:iCs/>
          <w:color w:val="888888"/>
          <w:sz w:val="22"/>
          <w:szCs w:val="22"/>
        </w:rPr>
        <w:t xml:space="preserve">Companion document: PADU-GOV-02 — Legal Domicile, Regulatory Strategy, and Formal Registration (forthcoming).</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0B8" w:sz="4" w:space="1"/>
      </w:pBdr>
      <w:spacing w:before="80"/>
      <w:jc w:val="center"/>
    </w:pPr>
    <w:r>
      <w:rPr>
        <w:rFonts w:ascii="Arial" w:cs="Arial" w:eastAsia="Arial" w:hAnsi="Arial"/>
        <w:b w:val="false"/>
        <w:bCs w:val="false"/>
        <w:i w:val="false"/>
        <w:iCs w:val="false"/>
        <w:color w:val="888888"/>
        <w:sz w:val="16"/>
        <w:szCs w:val="16"/>
      </w:rPr>
      <w:t xml:space="preserve">PADU-GOV-01 — For Collective Review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0B8" w:sz="4" w:space="1"/>
      </w:pBdr>
      <w:spacing w:before="0" w:after="80"/>
    </w:pPr>
    <w:r>
      <w:rPr>
        <w:rFonts w:ascii="Arial" w:cs="Arial" w:eastAsia="Arial" w:hAnsi="Arial"/>
        <w:b w:val="false"/>
        <w:bCs w:val="false"/>
        <w:i w:val="false"/>
        <w:iCs w:val="false"/>
        <w:color w:val="888888"/>
        <w:sz w:val="16"/>
        <w:szCs w:val="16"/>
      </w:rPr>
      <w:t xml:space="preserve">PADU — Governance Document  |  </w:t>
    </w:r>
    <w:r>
      <w:rPr>
        <w:rFonts w:ascii="Arial" w:cs="Arial" w:eastAsia="Arial" w:hAnsi="Arial"/>
        <w:b w:val="false"/>
        <w:bCs w:val="false"/>
        <w:i/>
        <w:iCs/>
        <w:color w:val="888888"/>
        <w:sz w:val="16"/>
        <w:szCs w:val="16"/>
      </w:rPr>
      <w:t xml:space="preserve">PADU-GOV-01 — Social Fund NGO: Constitutional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20"/>
      <w:outlineLvl w:val="0"/>
    </w:pPr>
    <w:rPr>
      <w:rFonts w:ascii="Arial" w:cs="Arial" w:eastAsia="Arial" w:hAnsi="Arial"/>
      <w:b/>
      <w:bCs/>
      <w:color w:val="2A0A14"/>
      <w:sz w:val="28"/>
      <w:szCs w:val="28"/>
    </w:rPr>
  </w:style>
  <w:style w:type="paragraph" w:styleId="Heading2">
    <w:name w:val="Heading 2"/>
    <w:basedOn w:val="Normal"/>
    <w:next w:val="Normal"/>
    <w:qFormat/>
    <w:pPr>
      <w:spacing w:before="320" w:after="80"/>
      <w:outlineLvl w:val="1"/>
    </w:pPr>
    <w:rPr>
      <w:rFonts w:ascii="Arial" w:cs="Arial" w:eastAsia="Arial" w:hAnsi="Arial"/>
      <w:b/>
      <w:bCs/>
      <w:color w:val="6B1A2A"/>
      <w:sz w:val="23"/>
      <w:szCs w:val="23"/>
    </w:rPr>
  </w:style>
  <w:style w:type="paragraph" w:styleId="Heading3">
    <w:name w:val="Heading 3"/>
    <w:basedOn w:val="Normal"/>
    <w:next w:val="Normal"/>
    <w:qFormat/>
    <w:pPr>
      <w:spacing w:before="220" w:after="60"/>
      <w:outlineLvl w:val="2"/>
    </w:pPr>
    <w:rPr>
      <w:rFonts w:ascii="Arial" w:cs="Arial" w:eastAsia="Arial" w:hAnsi="Arial"/>
      <w:b/>
      <w:bCs/>
      <w:color w:val="1A203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2026-03-13T05:09:22.954Z</dcterms:created>
  <dcterms:modified xsi:type="dcterms:W3CDTF">2026-03-13T05:09:22.955Z</dcterms:modified>
</cp:coreProperties>
</file>

<file path=docProps/custom.xml><?xml version="1.0" encoding="utf-8"?>
<Properties xmlns="http://schemas.openxmlformats.org/officeDocument/2006/custom-properties" xmlns:vt="http://schemas.openxmlformats.org/officeDocument/2006/docPropsVTypes"/>
</file>