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22A" w:sz="24" w:space="1"/>
        </w:pBdr>
        <w:spacing w:before="200" w:after="0"/>
      </w:pPr>
    </w:p>
    <w:p>
      <w:pPr>
        <w:spacing w:before="0" w:after="240"/>
      </w:pPr>
    </w:p>
    <w:p>
      <w:pPr>
        <w:jc w:val="center"/>
      </w:pPr>
      <w:r>
        <w:rPr>
          <w:rFonts w:ascii="Arial" w:cs="Arial" w:eastAsia="Arial" w:hAnsi="Arial"/>
          <w:b/>
          <w:bCs/>
          <w:i w:val="false"/>
          <w:iCs w:val="false"/>
          <w:color w:val="C8922A"/>
          <w:sz w:val="20"/>
          <w:szCs w:val="20"/>
        </w:rPr>
        <w:t xml:space="preserve">TECHNICAL SPECIFICATION</w:t>
      </w:r>
    </w:p>
    <w:p>
      <w:pPr>
        <w:spacing w:before="0" w:after="60"/>
      </w:pPr>
    </w:p>
    <w:p>
      <w:pPr>
        <w:jc w:val="center"/>
      </w:pPr>
      <w:r>
        <w:rPr>
          <w:rFonts w:ascii="Arial" w:cs="Arial" w:eastAsia="Arial" w:hAnsi="Arial"/>
          <w:b/>
          <w:bCs/>
          <w:i w:val="false"/>
          <w:iCs w:val="false"/>
          <w:color w:val="0D2137"/>
          <w:sz w:val="44"/>
          <w:szCs w:val="44"/>
        </w:rPr>
        <w:t xml:space="preserve">Pan-African Digital Unit (PADU)</w:t>
      </w:r>
    </w:p>
    <w:p>
      <w:pPr>
        <w:spacing w:before="0" w:after="60"/>
      </w:pPr>
    </w:p>
    <w:p>
      <w:pPr>
        <w:jc w:val="center"/>
      </w:pPr>
      <w:r>
        <w:rPr>
          <w:rFonts w:ascii="Arial" w:cs="Arial" w:eastAsia="Arial" w:hAnsi="Arial"/>
          <w:b/>
          <w:bCs/>
          <w:i w:val="false"/>
          <w:iCs w:val="false"/>
          <w:color w:val="1A4A7A"/>
          <w:sz w:val="26"/>
          <w:szCs w:val="26"/>
        </w:rPr>
        <w:t xml:space="preserve">Module 01 — Wallet Architecture &amp; Tiered Identity Framework</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Document ID</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PADU-TECH-01</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Version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0.2 — Incorporates PADU-TECH-01-ERR-001 (Fee Architecture Correction)</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Status</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For Internal Review — Not for Public Distribution</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Audience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Core Protocol Engineers, Wallet Developers, Security Architects</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Changes vs v0.1</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Section 3 completely restructured to introduce three distinct transaction types (Mint, Transfer, Redeem). Fee model corrected throughout. Supersedes all fee-related content in v0.1. See revision history below.</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Dependencies</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None — this is the foundational module</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Next modules</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PADU-TECH-02 (Protocol Chamber), PADU-TECH-03A (Social Fund), PADU-TECH-03B (Remunerative Reserve)</w:t>
            </w:r>
          </w:p>
        </w:tc>
      </w:tr>
    </w:tbl>
    <w:p>
      <w:pPr>
        <w:spacing w:before="0" w:after="160"/>
      </w:pPr>
    </w:p>
    <w:p>
      <w:pPr>
        <w:pStyle w:val="Heading2"/>
        <w:spacing w:before="300" w:after="80"/>
      </w:pPr>
      <w:r>
        <w:rPr>
          <w:rFonts w:ascii="Arial" w:cs="Arial" w:eastAsia="Arial" w:hAnsi="Arial"/>
          <w:b/>
          <w:bCs/>
          <w:i w:val="false"/>
          <w:iCs w:val="false"/>
          <w:color w:val="1A4A7A"/>
          <w:sz w:val="25"/>
          <w:szCs w:val="25"/>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Version</w:t>
            </w:r>
          </w:p>
        </w:tc>
        <w:tc>
          <w:tcPr>
            <w:tcW w:type="dxa" w:w="1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Date</w:t>
            </w:r>
          </w:p>
        </w:tc>
        <w:tc>
          <w:tcPr>
            <w:tcW w:type="dxa" w:w="67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Summary of changes</w:t>
            </w:r>
          </w:p>
        </w:tc>
      </w:tr>
      <w:tr>
        <w:tc>
          <w:tcPr>
            <w:tcW w:type="dxa" w:w="1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0.1</w:t>
            </w:r>
          </w:p>
        </w:tc>
        <w:tc>
          <w:tcPr>
            <w:tcW w:type="dxa" w:w="1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Initial</w:t>
            </w:r>
          </w:p>
        </w:tc>
        <w:tc>
          <w:tcPr>
            <w:tcW w:type="dxa" w:w="6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Original specification. Fee model incorrectly applied 1.5% to all wallet-to-wallet transfers.</w:t>
            </w:r>
          </w:p>
        </w:tc>
      </w:tr>
      <w:tr>
        <w:tc>
          <w:tcPr>
            <w:tcW w:type="dxa" w:w="1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0.2</w:t>
            </w:r>
          </w:p>
        </w:tc>
        <w:tc>
          <w:tcPr>
            <w:tcW w:type="dxa" w:w="1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Current</w:t>
            </w:r>
          </w:p>
        </w:tc>
        <w:tc>
          <w:tcPr>
            <w:tcW w:type="dxa" w:w="6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 architecture fully corrected per PADU-TECH-01-ERR-001. Three transaction types introduced (Mint / Transfer / Redeem). Section 3 rewritten. Sections 4.1, 7.1, 8.2, 9 updated. All other sections unchanged from v0.1.</w:t>
            </w:r>
          </w:p>
        </w:tc>
      </w:tr>
    </w:tbl>
    <w:p>
      <w:pPr>
        <w:spacing w:before="0" w:after="300"/>
      </w:pPr>
    </w:p>
    <w:p>
      <w:pPr>
        <w:pBdr>
          <w:bottom w:val="single" w:color="C8922A" w:sz="24" w:space="1"/>
        </w:pBdr>
        <w:spacing w:before="0" w:after="0"/>
      </w:pPr>
    </w:p>
    <w:p>
      <w:pPr>
        <w:pStyle w:val="Heading1"/>
        <w:spacing w:before="480" w:after="120"/>
      </w:pPr>
      <w:r>
        <w:rPr>
          <w:rFonts w:ascii="Arial" w:cs="Arial" w:eastAsia="Arial" w:hAnsi="Arial"/>
          <w:b/>
          <w:bCs/>
          <w:i w:val="false"/>
          <w:iCs w:val="false"/>
          <w:color w:val="0D2137"/>
          <w:sz w:val="30"/>
          <w:szCs w:val="30"/>
        </w:rPr>
        <w:t xml:space="preserve">0. Purpose and Scope of this Document</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This document is the first of four technical specification modules for the PADU protocol. It covers the foundational layer of the system: how wallets are created, how addresses are structured, how the three categories of transaction are formed and broadcast, and how the system enforces tiered identity verification for high-value transfers.</w:t>
      </w:r>
    </w:p>
    <w:p>
      <w:pPr>
        <w:spacing w:before="60" w:after="120"/>
        <w:jc w:val="both"/>
      </w:pPr>
      <w:r>
        <w:rPr>
          <w:rFonts w:ascii="Arial" w:cs="Arial" w:eastAsia="Arial" w:hAnsi="Arial"/>
          <w:b w:val="false"/>
          <w:bCs w:val="false"/>
          <w:i w:val="false"/>
          <w:iCs w:val="false"/>
          <w:color w:val="1A1A2E"/>
          <w:sz w:val="22"/>
          <w:szCs w:val="22"/>
        </w:rPr>
        <w:t xml:space="preserve">This document does not cover smart contract internals, governance mechanics, reserve management, or the Social Chamber. Those are addressed in subsequent modules. Developers building the wallet layer should treat this document as authoritative and self-contained for its scope.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SCOPE BOUNDARY</w:t>
            </w:r>
          </w:p>
          <w:p>
            <w:pPr>
              <w:spacing w:before="0" w:after="0"/>
              <w:jc w:val="both"/>
            </w:pPr>
            <w:r>
              <w:rPr>
                <w:rFonts w:ascii="Arial" w:cs="Arial" w:eastAsia="Arial" w:hAnsi="Arial"/>
                <w:b w:val="false"/>
                <w:bCs w:val="false"/>
                <w:i w:val="false"/>
                <w:iCs w:val="false"/>
                <w:color w:val="1A1A2E"/>
                <w:sz w:val="20"/>
                <w:szCs w:val="20"/>
              </w:rPr>
              <w:t xml:space="preserve">This module defines the wallet and identity layer only. Smart contract interfaces are referenced here as external calls but not specified in detail. See PADU-TECH-02 for smart contract specifications. Mint and Redeem gateway contracts are specified in PADU-TECH-03B.</w:t>
            </w:r>
          </w:p>
        </w:tc>
      </w:tr>
    </w:tbl>
    <w:p>
      <w:pPr>
        <w:pStyle w:val="Heading1"/>
        <w:spacing w:before="480" w:after="120"/>
      </w:pPr>
      <w:r>
        <w:rPr>
          <w:rFonts w:ascii="Arial" w:cs="Arial" w:eastAsia="Arial" w:hAnsi="Arial"/>
          <w:b/>
          <w:bCs/>
          <w:i w:val="false"/>
          <w:iCs w:val="false"/>
          <w:color w:val="0D2137"/>
          <w:sz w:val="30"/>
          <w:szCs w:val="30"/>
        </w:rPr>
        <w:t xml:space="preserve">1. Architecture Overview</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PADU protocol is built on a public, permissionless blockchain with deterministic transaction execution. The identity layer is implemented as a protocol-level extension: it does not compromise the pseudonymous baseline for ordinary users, but it enforces verifiable identity anchoring for high-value transfers in a way that is tamper-proof, auditable, and decentralized.</w:t>
      </w:r>
    </w:p>
    <w:p>
      <w:pPr>
        <w:pStyle w:val="Heading2"/>
        <w:spacing w:before="300" w:after="80"/>
      </w:pPr>
      <w:r>
        <w:rPr>
          <w:rFonts w:ascii="Arial" w:cs="Arial" w:eastAsia="Arial" w:hAnsi="Arial"/>
          <w:b/>
          <w:bCs/>
          <w:i w:val="false"/>
          <w:iCs w:val="false"/>
          <w:color w:val="1A4A7A"/>
          <w:sz w:val="25"/>
          <w:szCs w:val="25"/>
        </w:rPr>
        <w:t xml:space="preserve">1.1 Design Principles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Pseudonymity by default: all wallets are identified by cryptographic addresses. No name, no document, no government ID is required to hold a wallet or conduct low-value transactions.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Zero-fee transfers: wallet-to-wallet PADU transfers are permanently free. This is a constitutional guarantee, not a policy — it is hardcoded at the node validation level and cannot be changed by any governance process.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Fees at ecosystem boundaries only: a 1.5% fee applies when purchasing PADU with external currency (Mint), and a 0.5% fee applies when converting PADU back to external currency (Redeem). No fee applies to transfers within the ecosystem.</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Threshold-enforced identity: above a transfer value threshold (the KYC Floor, defined by the Protocol Chamber), the transfer payload must embed a verified identity commitment. The chain enforces this rule; no node will relay a non-compliant high-value transfer.</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Self-custody: private keys are generated and held by the user. The protocol never has custody of keys. Loss of a key is loss of the wallet; there is no recovery backdoor.</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Decentralized identity anchoring: KYC data is never stored on-chain. Only a cryptographic hash commitment — a zero-knowledge proof of verified status — is included in the transfer and on the ledger.</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Auditability without surveillance: regulators and auditors with appropriate authorization can verify that a transaction was conducted by a verified identity, without being able to read the identity data from the chain by default.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Protocol Chamber governable: the KYC Floor amount, accepted verification providers, Mint fee rate, and Redeem fee rate are parameters stored in a governance registry contract and updated only by Protocol Chamber decision. The Transfer fee is not governable.</w:t>
      </w:r>
    </w:p>
    <w:p>
      <w:pPr>
        <w:pStyle w:val="Heading2"/>
        <w:spacing w:before="300" w:after="80"/>
      </w:pPr>
      <w:r>
        <w:rPr>
          <w:rFonts w:ascii="Arial" w:cs="Arial" w:eastAsia="Arial" w:hAnsi="Arial"/>
          <w:b/>
          <w:bCs/>
          <w:i w:val="false"/>
          <w:iCs w:val="false"/>
          <w:color w:val="1A4A7A"/>
          <w:sz w:val="25"/>
          <w:szCs w:val="25"/>
        </w:rPr>
        <w:t xml:space="preserve">1.2 Technology Stack Selection</w:t>
      </w:r>
    </w:p>
    <w:p>
      <w:pPr>
        <w:spacing w:before="60" w:after="120"/>
        <w:jc w:val="both"/>
      </w:pPr>
      <w:r>
        <w:rPr>
          <w:rFonts w:ascii="Arial" w:cs="Arial" w:eastAsia="Arial" w:hAnsi="Arial"/>
          <w:b w:val="false"/>
          <w:bCs w:val="false"/>
          <w:i w:val="false"/>
          <w:iCs w:val="false"/>
          <w:color w:val="1A1A2E"/>
          <w:sz w:val="22"/>
          <w:szCs w:val="22"/>
        </w:rPr>
        <w:t xml:space="preserve">PADU is built as a sovereign application chain, not deployed on an existing public chain such as Ethereum mainnet or Solana. This is mandatory for two reasons: it allows the Protocol Chamber to govern chain parameters directly, and it eliminates dependency on a third-party chain's governance, fees, and continuity decisions.</w:t>
      </w:r>
    </w:p>
    <w:p>
      <w:pPr>
        <w:spacing w:before="60" w:after="120"/>
        <w:jc w:val="both"/>
      </w:pPr>
      <w:r>
        <w:rPr>
          <w:rFonts w:ascii="Arial" w:cs="Arial" w:eastAsia="Arial" w:hAnsi="Arial"/>
          <w:b w:val="false"/>
          <w:bCs w:val="false"/>
          <w:i w:val="false"/>
          <w:iCs w:val="false"/>
          <w:color w:val="1A1A2E"/>
          <w:sz w:val="22"/>
          <w:szCs w:val="22"/>
        </w:rPr>
        <w:t xml:space="preserve">The recommended stack is an EVM-compatible sovereign chain, using one of the following frameworks: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Framework</w:t>
            </w:r>
          </w:p>
        </w:tc>
        <w:tc>
          <w:tcPr>
            <w:tcW w:type="dxa" w:w="2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Consensus</w:t>
            </w:r>
          </w:p>
        </w:tc>
        <w:tc>
          <w:tcPr>
            <w:tcW w:type="dxa" w:w="49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Rationale</w:t>
            </w:r>
          </w:p>
        </w:tc>
      </w:tr>
      <w:tr>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Polygon Edge / CDK</w:t>
            </w:r>
          </w:p>
        </w:tc>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Proof-of-Stake (PoS)</w:t>
            </w:r>
          </w:p>
        </w:tc>
        <w:tc>
          <w:tcPr>
            <w:tcW w:type="dxa" w:w="49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Mature, EVM-native, well-documented, active support for sovereign chain deployments</w:t>
            </w:r>
          </w:p>
        </w:tc>
      </w:tr>
      <w:tr>
        <w:tc>
          <w:tcPr>
            <w:tcW w:type="dxa" w:w="2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Cosmos SDK + EVM</w:t>
            </w:r>
          </w:p>
        </w:tc>
        <w:tc>
          <w:tcPr>
            <w:tcW w:type="dxa" w:w="2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Tendermint BFT</w:t>
            </w:r>
          </w:p>
        </w:tc>
        <w:tc>
          <w:tcPr>
            <w:tcW w:type="dxa" w:w="49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Strongest sovereignty guarantees, IBC interoperability for cross-chain reserve management — recommended long-term</w:t>
            </w:r>
          </w:p>
        </w:tc>
      </w:tr>
      <w:tr>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Substrate (Polkadot)</w:t>
            </w:r>
          </w:p>
        </w:tc>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GRANDPA + BABE</w:t>
            </w:r>
          </w:p>
        </w:tc>
        <w:tc>
          <w:tcPr>
            <w:tcW w:type="dxa" w:w="49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High flexibility, parachain option for shared security, steeper learning curve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0"/>
              <w:bottom w:val="single" w:color="1A7A4A" w:sz="1"/>
              <w:right w:val="single" w:color="C8D0DF" w:sz="1"/>
            </w:tcBorders>
            <w:shd w:fill="F0FFF4" w:val="clear"/>
            <w:tcMar>
              <w:top w:type="dxa" w:w="100"/>
              <w:left w:type="dxa" w:w="200"/>
              <w:bottom w:type="dxa" w:w="100"/>
              <w:right w:type="dxa" w:w="200"/>
            </w:tcMar>
          </w:tcPr>
          <w:p>
            <w:pPr>
              <w:spacing w:before="0" w:after="60"/>
            </w:pPr>
            <w:r>
              <w:rPr>
                <w:rFonts w:ascii="Arial" w:cs="Arial" w:eastAsia="Arial" w:hAnsi="Arial"/>
                <w:b/>
                <w:bCs/>
                <w:i w:val="false"/>
                <w:iCs w:val="false"/>
                <w:color w:val="1A7A4A"/>
                <w:sz w:val="20"/>
                <w:szCs w:val="20"/>
              </w:rPr>
              <w:t xml:space="preserve">RECOMMENDATION</w:t>
            </w:r>
          </w:p>
          <w:p>
            <w:pPr>
              <w:spacing w:before="0" w:after="0"/>
              <w:jc w:val="both"/>
            </w:pPr>
            <w:r>
              <w:rPr>
                <w:rFonts w:ascii="Arial" w:cs="Arial" w:eastAsia="Arial" w:hAnsi="Arial"/>
                <w:b w:val="false"/>
                <w:bCs w:val="false"/>
                <w:i w:val="false"/>
                <w:iCs w:val="false"/>
                <w:color w:val="1A1A2E"/>
                <w:sz w:val="20"/>
                <w:szCs w:val="20"/>
              </w:rPr>
              <w:t xml:space="preserve">Start with Polygon CDK for Phase 1 due to tooling maturity and EVM developer familiarity. Plan migration path to Cosmos SDK + EVM by Phase 2 for full sovereignty and IBC reserve management.</w:t>
            </w:r>
          </w:p>
        </w:tc>
      </w:tr>
    </w:tbl>
    <w:p>
      <w:pPr>
        <w:spacing w:before="0" w:after="80"/>
      </w:pPr>
    </w:p>
    <w:p>
      <w:pPr>
        <w:spacing w:before="60" w:after="120"/>
        <w:jc w:val="both"/>
      </w:pPr>
      <w:r>
        <w:rPr>
          <w:rFonts w:ascii="Arial" w:cs="Arial" w:eastAsia="Arial" w:hAnsi="Arial"/>
          <w:b w:val="false"/>
          <w:bCs w:val="false"/>
          <w:i w:val="false"/>
          <w:iCs w:val="false"/>
          <w:color w:val="1A1A2E"/>
          <w:sz w:val="22"/>
          <w:szCs w:val="22"/>
        </w:rPr>
        <w:t xml:space="preserve">All wallet, address, and signing specifications in this document are written against the EVM standard. They are directly portable to all three framework options above.</w:t>
      </w:r>
    </w:p>
    <w:p>
      <w:pPr>
        <w:pStyle w:val="Heading1"/>
        <w:spacing w:before="480" w:after="120"/>
      </w:pPr>
      <w:r>
        <w:rPr>
          <w:rFonts w:ascii="Arial" w:cs="Arial" w:eastAsia="Arial" w:hAnsi="Arial"/>
          <w:b/>
          <w:bCs/>
          <w:i w:val="false"/>
          <w:iCs w:val="false"/>
          <w:color w:val="0D2137"/>
          <w:sz w:val="30"/>
          <w:szCs w:val="30"/>
        </w:rPr>
        <w:t xml:space="preserve">2. Wallet and Address System</w:t>
      </w:r>
    </w:p>
    <w:p>
      <w:pPr>
        <w:pBdr>
          <w:bottom w:val="single" w:color="C8922A" w:sz="8" w:space="1"/>
        </w:pBdr>
        <w:spacing w:before="0" w:after="160"/>
      </w:pPr>
    </w:p>
    <w:p>
      <w:pPr>
        <w:pStyle w:val="Heading2"/>
        <w:spacing w:before="300" w:after="80"/>
      </w:pPr>
      <w:r>
        <w:rPr>
          <w:rFonts w:ascii="Arial" w:cs="Arial" w:eastAsia="Arial" w:hAnsi="Arial"/>
          <w:b/>
          <w:bCs/>
          <w:i w:val="false"/>
          <w:iCs w:val="false"/>
          <w:color w:val="1A4A7A"/>
          <w:sz w:val="25"/>
          <w:szCs w:val="25"/>
        </w:rPr>
        <w:t xml:space="preserve">2.1 Key Generation</w:t>
      </w:r>
    </w:p>
    <w:p>
      <w:pPr>
        <w:spacing w:before="60" w:after="120"/>
        <w:jc w:val="both"/>
      </w:pPr>
      <w:r>
        <w:rPr>
          <w:rFonts w:ascii="Arial" w:cs="Arial" w:eastAsia="Arial" w:hAnsi="Arial"/>
          <w:b w:val="false"/>
          <w:bCs w:val="false"/>
          <w:i w:val="false"/>
          <w:iCs w:val="false"/>
          <w:color w:val="1A1A2E"/>
          <w:sz w:val="22"/>
          <w:szCs w:val="22"/>
        </w:rPr>
        <w:t xml:space="preserve">PADU wallets follow the BIP-32 / BIP-39 / BIP-44 hierarchical deterministic (HD) wallet standard, extended with a PADU-specific derivation path. This ensures compatibility with existing hardware wallets and mobile wallet SDKs while maintaining a distinct namespace.</w:t>
      </w:r>
    </w:p>
    <w:p>
      <w:pPr>
        <w:pStyle w:val="Heading3"/>
        <w:spacing w:before="220" w:after="60"/>
      </w:pPr>
      <w:r>
        <w:rPr>
          <w:rFonts w:ascii="Arial" w:cs="Arial" w:eastAsia="Arial" w:hAnsi="Arial"/>
          <w:b/>
          <w:bCs/>
          <w:i w:val="false"/>
          <w:iCs w:val="false"/>
          <w:color w:val="1A7A4A"/>
          <w:sz w:val="22"/>
          <w:szCs w:val="22"/>
        </w:rPr>
        <w:t xml:space="preserve">2.1.1 Entropy and Mnemonic</w:t>
      </w:r>
    </w:p>
    <w:p>
      <w:pPr>
        <w:spacing w:before="60" w:after="120"/>
        <w:jc w:val="both"/>
      </w:pPr>
      <w:r>
        <w:rPr>
          <w:rFonts w:ascii="Arial" w:cs="Arial" w:eastAsia="Arial" w:hAnsi="Arial"/>
          <w:b w:val="false"/>
          <w:bCs w:val="false"/>
          <w:i w:val="false"/>
          <w:iCs w:val="false"/>
          <w:color w:val="1A1A2E"/>
          <w:sz w:val="22"/>
          <w:szCs w:val="22"/>
        </w:rPr>
        <w:t xml:space="preserve">Wallets are seeded from a 256-bit entropy source, producing a 24-word BIP-39 mnemonic phrase. The mnemonic is the only human-readable representation of the wallet. Applications must: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Generate entropy using a cryptographically secure pseudorandom number generator (CSPRNG). The platform's native CSPRNG is mandatory — Math.random() or equivalent must never be used.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Display the mnemonic exactly once during wallet creation, with explicit user confirmation.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Never transmit, log, or store the mnemonic in plaintext on any server, database, or analytics pipeline.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Encourage users to write it down physically. No cloud backup of the mnemonic should be offered by default in the reference implementation.</w:t>
      </w:r>
    </w:p>
    <w:p>
      <w:pPr>
        <w:spacing w:before="0" w:after="60"/>
      </w:pP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Key generation — reference implementation (TypeScript)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import { generateMnemonic, mnemonicToSeedSync } from 'bip39';</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import { HDKey } from '@scure/bip32';</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const PADU_COIN_TYPE = 7777;  // registered BIP-44 coin type for PADU</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function generateWallet(accountIndex: number = 0): PADUWallet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mnemonic = generateMnemonic(256);          // 24-word phrase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seed     = mnemonicToSeedSync(mnemonic);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root     = HDKey.fromMasterSeed(seed);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BIP-44 path: m / purpose' / coin_type' / account' / change / index</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path    = `m/44'/${PADU_COIN_TYPE}'/${accountIndex}'/0/0`;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child   = root.derive(path);</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privateKey = child.privateKey!;            // 32 bytes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publicKey  = child.publicKey!;             // 33 bytes compressed secp256k1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address    = publicKeyToAddress(publicKey);// see section 2.2</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 mnemonic, privateKey, publicKey, address, path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3"/>
        <w:spacing w:before="220" w:after="60"/>
      </w:pPr>
      <w:r>
        <w:rPr>
          <w:rFonts w:ascii="Arial" w:cs="Arial" w:eastAsia="Arial" w:hAnsi="Arial"/>
          <w:b/>
          <w:bCs/>
          <w:i w:val="false"/>
          <w:iCs w:val="false"/>
          <w:color w:val="1A7A4A"/>
          <w:sz w:val="22"/>
          <w:szCs w:val="22"/>
        </w:rPr>
        <w:t xml:space="preserve">2.1.2 Derivation Path</w:t>
      </w:r>
    </w:p>
    <w:p>
      <w:pPr>
        <w:spacing w:before="60" w:after="120"/>
        <w:jc w:val="both"/>
      </w:pPr>
      <w:r>
        <w:rPr>
          <w:rFonts w:ascii="Arial" w:cs="Arial" w:eastAsia="Arial" w:hAnsi="Arial"/>
          <w:b w:val="false"/>
          <w:bCs w:val="false"/>
          <w:i w:val="false"/>
          <w:iCs w:val="false"/>
          <w:color w:val="1A1A2E"/>
          <w:sz w:val="22"/>
          <w:szCs w:val="22"/>
        </w:rPr>
        <w:t xml:space="preserve">The PADU derivation path follows BIP-44 with a reserved coin type: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Path Segment</w:t>
            </w:r>
          </w:p>
        </w:tc>
        <w:tc>
          <w:tcPr>
            <w:tcW w:type="dxa" w:w="61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Value / Meaning</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purpose'</w:t>
            </w:r>
          </w:p>
        </w:tc>
        <w:tc>
          <w:tcPr>
            <w:tcW w:type="dxa" w:w="6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44' — standard BIP-44</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coin_type'</w:t>
            </w:r>
          </w:p>
        </w:tc>
        <w:tc>
          <w:tcPr>
            <w:tcW w:type="dxa" w:w="6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7777' — PADU registered coin type</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account'</w:t>
            </w:r>
          </w:p>
        </w:tc>
        <w:tc>
          <w:tcPr>
            <w:tcW w:type="dxa" w:w="6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 … n — one per user account (most wallets use 0)</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change</w:t>
            </w:r>
          </w:p>
        </w:tc>
        <w:tc>
          <w:tcPr>
            <w:tcW w:type="dxa" w:w="6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 — external chain (receiving addresses)</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address_index</w:t>
            </w:r>
          </w:p>
        </w:tc>
        <w:tc>
          <w:tcPr>
            <w:tcW w:type="dxa" w:w="6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 … n — sequential address derivation</w:t>
            </w:r>
          </w:p>
        </w:tc>
      </w:tr>
    </w:tbl>
    <w:p>
      <w:pPr>
        <w:pStyle w:val="Heading2"/>
        <w:spacing w:before="300" w:after="80"/>
      </w:pPr>
      <w:r>
        <w:rPr>
          <w:rFonts w:ascii="Arial" w:cs="Arial" w:eastAsia="Arial" w:hAnsi="Arial"/>
          <w:b/>
          <w:bCs/>
          <w:i w:val="false"/>
          <w:iCs w:val="false"/>
          <w:color w:val="1A4A7A"/>
          <w:sz w:val="25"/>
          <w:szCs w:val="25"/>
        </w:rPr>
        <w:t xml:space="preserve">2.2 Address Format</w:t>
      </w:r>
    </w:p>
    <w:p>
      <w:pPr>
        <w:spacing w:before="60" w:after="120"/>
        <w:jc w:val="both"/>
      </w:pPr>
      <w:r>
        <w:rPr>
          <w:rFonts w:ascii="Arial" w:cs="Arial" w:eastAsia="Arial" w:hAnsi="Arial"/>
          <w:b w:val="false"/>
          <w:bCs w:val="false"/>
          <w:i w:val="false"/>
          <w:iCs w:val="false"/>
          <w:color w:val="1A1A2E"/>
          <w:sz w:val="22"/>
          <w:szCs w:val="22"/>
        </w:rPr>
        <w:t xml:space="preserve">PADU addresses are EVM-compatible 20-byte Keccak-256 hashes of the uncompressed secp256k1 public key, encoded in EIP-55 checksummed hex, with a PADU-specific prefix to prevent cross-chain replay attacks.</w:t>
      </w:r>
    </w:p>
    <w:p>
      <w:pPr>
        <w:spacing w:before="0" w:after="60"/>
      </w:pP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derivation — reference implementation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import { keccak256 } from 'ethereum-cryptography/keccak';</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import { secp256k1 }  from 'ethereum-cryptography/secp256k1';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function publicKeyToAddress(compressedPubKey: Uint8Array): string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1. Decompress the 33-byte public key to 65 bytes (04 || x || 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uncompressed = secp256k1.ProjectivePoint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.fromHex(compressedPubKey).toRawBytes(false);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2. Hash the 64-byte body (drop the 04 prefix)</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hash = keccak256(uncompressed.slice(1));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3. Take the last 20 bytes as the address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raw  = hash.slice(-20);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4. Apply EIP-55 checksum and PADU prefix</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'PADU:' + toChecksumAddress(raw);</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Example output: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PADU:0x7Fc9A3B2E1D4C5F6A8B9E0D1C2F3A4B5E6D7C8F9</w:t>
            </w:r>
          </w:p>
        </w:tc>
      </w:tr>
    </w:tbl>
    <w:p>
      <w:pPr>
        <w:spacing w:before="0" w:after="80"/>
      </w:pPr>
    </w:p>
    <w:p>
      <w:pPr>
        <w:spacing w:before="60" w:after="120"/>
        <w:jc w:val="both"/>
      </w:pPr>
      <w:r>
        <w:rPr>
          <w:rFonts w:ascii="Arial" w:cs="Arial" w:eastAsia="Arial" w:hAnsi="Arial"/>
          <w:b w:val="false"/>
          <w:bCs w:val="false"/>
          <w:i w:val="false"/>
          <w:iCs w:val="false"/>
          <w:color w:val="1A1A2E"/>
          <w:sz w:val="22"/>
          <w:szCs w:val="22"/>
        </w:rPr>
        <w:t xml:space="preserve">The PADU: prefix is stripped before EVM-layer computation and restored in all UI representations. The underlying address is fully EVM-compatible for tooling purposes.</w:t>
      </w:r>
    </w:p>
    <w:p>
      <w:pPr>
        <w:pStyle w:val="Heading2"/>
        <w:spacing w:before="300" w:after="80"/>
      </w:pPr>
      <w:r>
        <w:rPr>
          <w:rFonts w:ascii="Arial" w:cs="Arial" w:eastAsia="Arial" w:hAnsi="Arial"/>
          <w:b/>
          <w:bCs/>
          <w:i w:val="false"/>
          <w:iCs w:val="false"/>
          <w:color w:val="1A4A7A"/>
          <w:sz w:val="25"/>
          <w:szCs w:val="25"/>
        </w:rPr>
        <w:t xml:space="preserve">2.3 Wallet Storage and Security Model</w:t>
      </w:r>
    </w:p>
    <w:p>
      <w:pPr>
        <w:spacing w:before="60" w:after="120"/>
        <w:jc w:val="both"/>
      </w:pPr>
      <w:r>
        <w:rPr>
          <w:rFonts w:ascii="Arial" w:cs="Arial" w:eastAsia="Arial" w:hAnsi="Arial"/>
          <w:b w:val="false"/>
          <w:bCs w:val="false"/>
          <w:i w:val="false"/>
          <w:iCs w:val="false"/>
          <w:color w:val="1A1A2E"/>
          <w:sz w:val="22"/>
          <w:szCs w:val="22"/>
        </w:rPr>
        <w:t xml:space="preserve">The reference wallet application operates as a mobile-first progressive web app (PWA) with an optional desktop companion. Key storage follows a three-tier model:</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Storage Tier</w:t>
            </w:r>
          </w:p>
        </w:tc>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Content</w:t>
            </w:r>
          </w:p>
        </w:tc>
        <w:tc>
          <w:tcPr>
            <w:tcW w:type="dxa" w:w="35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Encryption</w:t>
            </w:r>
          </w:p>
        </w:tc>
      </w:tr>
      <w:tr>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In-memory only</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Decrypted private key</w:t>
            </w:r>
          </w:p>
        </w:tc>
        <w:tc>
          <w:tcPr>
            <w:tcW w:type="dxa" w:w="3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None — exists only during active signing session, zeroed on lock</w:t>
            </w:r>
          </w:p>
        </w:tc>
      </w:tr>
      <w:tr>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Device secure enclave</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Encrypted key blob</w:t>
            </w:r>
          </w:p>
        </w:tc>
        <w:tc>
          <w:tcPr>
            <w:tcW w:type="dxa" w:w="3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AES-256-GCM, key derived via Argon2id from user PIN/biometric</w:t>
            </w:r>
          </w:p>
        </w:tc>
      </w:tr>
      <w:tr>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User-controlled backup</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Mnemonic phrase</w:t>
            </w:r>
          </w:p>
        </w:tc>
        <w:tc>
          <w:tcPr>
            <w:tcW w:type="dxa" w:w="3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Paper only — not stored digitally by the application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SECURITY REQUIREMENT</w:t>
            </w:r>
          </w:p>
          <w:p>
            <w:pPr>
              <w:spacing w:before="0" w:after="0"/>
              <w:jc w:val="both"/>
            </w:pPr>
            <w:r>
              <w:rPr>
                <w:rFonts w:ascii="Arial" w:cs="Arial" w:eastAsia="Arial" w:hAnsi="Arial"/>
                <w:b w:val="false"/>
                <w:bCs w:val="false"/>
                <w:i w:val="false"/>
                <w:iCs w:val="false"/>
                <w:color w:val="1A1A2E"/>
                <w:sz w:val="20"/>
                <w:szCs w:val="20"/>
              </w:rPr>
              <w:t xml:space="preserve">The private key must never be written to disk in plaintext, transmitted over any network, or included in application logs, crash reports, or analytics events. Violation of this rule constitutes a critical security defect.</w:t>
            </w:r>
          </w:p>
        </w:tc>
      </w:tr>
    </w:tbl>
    <w:p>
      <w:pPr>
        <w:pStyle w:val="Heading1"/>
        <w:spacing w:before="480" w:after="120"/>
      </w:pPr>
      <w:r>
        <w:rPr>
          <w:rFonts w:ascii="Arial" w:cs="Arial" w:eastAsia="Arial" w:hAnsi="Arial"/>
          <w:b/>
          <w:bCs/>
          <w:i w:val="false"/>
          <w:iCs w:val="false"/>
          <w:color w:val="0D2137"/>
          <w:sz w:val="30"/>
          <w:szCs w:val="30"/>
        </w:rPr>
        <w:t xml:space="preserve">3. Transaction Types and Fee Architecture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PADU defines three distinct transaction types. Each has a separate structure, separate fee logic, and separate validation path. Developers must not treat them as variants of a single transaction — they are fundamentally different operations with different purposes, different contract interactions, and different economic consequences.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1000"/>
        <w:gridCol w:w="3460"/>
      </w:tblGrid>
      <w:tr>
        <w:tc>
          <w:tcPr>
            <w:tcW w:type="dxa" w:w="9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Type</w:t>
            </w:r>
          </w:p>
        </w:tc>
        <w:tc>
          <w:tcPr>
            <w:tcW w:type="dxa" w:w="1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w:t>
            </w:r>
          </w:p>
        </w:tc>
        <w:tc>
          <w:tcPr>
            <w:tcW w:type="dxa" w:w="2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Direction</w:t>
            </w:r>
          </w:p>
        </w:tc>
        <w:tc>
          <w:tcPr>
            <w:tcW w:type="dxa" w:w="1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Fee</w:t>
            </w:r>
          </w:p>
        </w:tc>
        <w:tc>
          <w:tcPr>
            <w:tcW w:type="dxa" w:w="34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Fee destination</w:t>
            </w:r>
          </w:p>
        </w:tc>
      </w:tr>
      <w:tr>
        <w:tc>
          <w:tcPr>
            <w:tcW w:type="dxa" w:w="900"/>
            <w:tcBorders>
              <w:top w:val="single" w:color="C8D0DF" w:sz="1"/>
              <w:left w:val="single" w:color="C8D0DF" w:sz="1"/>
              <w:bottom w:val="single" w:color="C8D0DF" w:sz="1"/>
              <w:right w:val="single" w:color="C8D0DF" w:sz="1"/>
            </w:tcBorders>
            <w:shd w:fill="FFF8F0"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Type 1</w:t>
            </w:r>
          </w:p>
        </w:tc>
        <w:tc>
          <w:tcPr>
            <w:tcW w:type="dxa" w:w="1400"/>
            <w:tcBorders>
              <w:top w:val="single" w:color="C8D0DF" w:sz="1"/>
              <w:left w:val="single" w:color="C8D0DF" w:sz="1"/>
              <w:bottom w:val="single" w:color="C8D0DF" w:sz="1"/>
              <w:right w:val="single" w:color="C8D0DF" w:sz="1"/>
            </w:tcBorders>
            <w:shd w:fill="FFF8F0"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MINT</w:t>
            </w:r>
          </w:p>
        </w:tc>
        <w:tc>
          <w:tcPr>
            <w:tcW w:type="dxa" w:w="2600"/>
            <w:tcBorders>
              <w:top w:val="single" w:color="C8D0DF" w:sz="1"/>
              <w:left w:val="single" w:color="C8D0DF" w:sz="1"/>
              <w:bottom w:val="single" w:color="C8D0DF" w:sz="1"/>
              <w:right w:val="single" w:color="C8D0DF" w:sz="1"/>
            </w:tcBorders>
            <w:shd w:fill="FFF8F0"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External currency → PADU</w:t>
            </w:r>
          </w:p>
        </w:tc>
        <w:tc>
          <w:tcPr>
            <w:tcW w:type="dxa" w:w="1000"/>
            <w:tcBorders>
              <w:top w:val="single" w:color="C8D0DF" w:sz="1"/>
              <w:left w:val="single" w:color="C8D0DF" w:sz="1"/>
              <w:bottom w:val="single" w:color="C8D0DF" w:sz="1"/>
              <w:right w:val="single" w:color="C8D0DF" w:sz="1"/>
            </w:tcBorders>
            <w:shd w:fill="FFF8F0"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1.5%</w:t>
            </w:r>
          </w:p>
        </w:tc>
        <w:tc>
          <w:tcPr>
            <w:tcW w:type="dxa" w:w="3460"/>
            <w:tcBorders>
              <w:top w:val="single" w:color="C8D0DF" w:sz="1"/>
              <w:left w:val="single" w:color="C8D0DF" w:sz="1"/>
              <w:bottom w:val="single" w:color="C8D0DF" w:sz="1"/>
              <w:right w:val="single" w:color="C8D0DF" w:sz="1"/>
            </w:tcBorders>
            <w:shd w:fill="FFF8F0"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0.5% Operational Reserve / 0.5% Social Fund / 0.5% Remunerative Reserve</w:t>
            </w:r>
          </w:p>
        </w:tc>
      </w:tr>
      <w:tr>
        <w:tc>
          <w:tcPr>
            <w:tcW w:type="dxa" w:w="900"/>
            <w:tcBorders>
              <w:top w:val="single" w:color="C8D0DF" w:sz="1"/>
              <w:left w:val="single" w:color="C8D0DF" w:sz="1"/>
              <w:bottom w:val="single" w:color="C8D0DF" w:sz="1"/>
              <w:right w:val="single" w:color="C8D0DF" w:sz="1"/>
            </w:tcBorders>
            <w:shd w:fill="F0FFF4"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Type 2</w:t>
            </w:r>
          </w:p>
        </w:tc>
        <w:tc>
          <w:tcPr>
            <w:tcW w:type="dxa" w:w="1400"/>
            <w:tcBorders>
              <w:top w:val="single" w:color="C8D0DF" w:sz="1"/>
              <w:left w:val="single" w:color="C8D0DF" w:sz="1"/>
              <w:bottom w:val="single" w:color="C8D0DF" w:sz="1"/>
              <w:right w:val="single" w:color="C8D0DF" w:sz="1"/>
            </w:tcBorders>
            <w:shd w:fill="F0FFF4"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2600"/>
            <w:tcBorders>
              <w:top w:val="single" w:color="C8D0DF" w:sz="1"/>
              <w:left w:val="single" w:color="C8D0DF" w:sz="1"/>
              <w:bottom w:val="single" w:color="C8D0DF" w:sz="1"/>
              <w:right w:val="single" w:color="C8D0DF" w:sz="1"/>
            </w:tcBorders>
            <w:shd w:fill="F0FFF4"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PADU wallet → PADU wallet</w:t>
            </w:r>
          </w:p>
        </w:tc>
        <w:tc>
          <w:tcPr>
            <w:tcW w:type="dxa" w:w="1000"/>
            <w:tcBorders>
              <w:top w:val="single" w:color="C8D0DF" w:sz="1"/>
              <w:left w:val="single" w:color="C8D0DF" w:sz="1"/>
              <w:bottom w:val="single" w:color="C8D0DF" w:sz="1"/>
              <w:right w:val="single" w:color="C8D0DF" w:sz="1"/>
            </w:tcBorders>
            <w:shd w:fill="F0FFF4"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w:t>
            </w:r>
          </w:p>
        </w:tc>
        <w:tc>
          <w:tcPr>
            <w:tcW w:type="dxa" w:w="3460"/>
            <w:tcBorders>
              <w:top w:val="single" w:color="C8D0DF" w:sz="1"/>
              <w:left w:val="single" w:color="C8D0DF" w:sz="1"/>
              <w:bottom w:val="single" w:color="C8D0DF" w:sz="1"/>
              <w:right w:val="single" w:color="C8D0DF" w:sz="1"/>
            </w:tcBorders>
            <w:shd w:fill="F0FFF4"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None — permanently free</w:t>
            </w:r>
          </w:p>
        </w:tc>
      </w:tr>
      <w:tr>
        <w:tc>
          <w:tcPr>
            <w:tcW w:type="dxa" w:w="900"/>
            <w:tcBorders>
              <w:top w:val="single" w:color="C8D0DF" w:sz="1"/>
              <w:left w:val="single" w:color="C8D0DF" w:sz="1"/>
              <w:bottom w:val="single" w:color="C8D0DF" w:sz="1"/>
              <w:right w:val="single" w:color="C8D0DF" w:sz="1"/>
            </w:tcBorders>
            <w:shd w:fill="F8F0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Type 3</w:t>
            </w:r>
          </w:p>
        </w:tc>
        <w:tc>
          <w:tcPr>
            <w:tcW w:type="dxa" w:w="1400"/>
            <w:tcBorders>
              <w:top w:val="single" w:color="C8D0DF" w:sz="1"/>
              <w:left w:val="single" w:color="C8D0DF" w:sz="1"/>
              <w:bottom w:val="single" w:color="C8D0DF" w:sz="1"/>
              <w:right w:val="single" w:color="C8D0DF" w:sz="1"/>
            </w:tcBorders>
            <w:shd w:fill="F8F0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REDEEM</w:t>
            </w:r>
          </w:p>
        </w:tc>
        <w:tc>
          <w:tcPr>
            <w:tcW w:type="dxa" w:w="2600"/>
            <w:tcBorders>
              <w:top w:val="single" w:color="C8D0DF" w:sz="1"/>
              <w:left w:val="single" w:color="C8D0DF" w:sz="1"/>
              <w:bottom w:val="single" w:color="C8D0DF" w:sz="1"/>
              <w:right w:val="single" w:color="C8D0DF" w:sz="1"/>
            </w:tcBorders>
            <w:shd w:fill="F8F0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PADU → External currency</w:t>
            </w:r>
          </w:p>
        </w:tc>
        <w:tc>
          <w:tcPr>
            <w:tcW w:type="dxa" w:w="1000"/>
            <w:tcBorders>
              <w:top w:val="single" w:color="C8D0DF" w:sz="1"/>
              <w:left w:val="single" w:color="C8D0DF" w:sz="1"/>
              <w:bottom w:val="single" w:color="C8D0DF" w:sz="1"/>
              <w:right w:val="single" w:color="C8D0DF" w:sz="1"/>
            </w:tcBorders>
            <w:shd w:fill="F8F0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0.5%</w:t>
            </w:r>
          </w:p>
        </w:tc>
        <w:tc>
          <w:tcPr>
            <w:tcW w:type="dxa" w:w="3460"/>
            <w:tcBorders>
              <w:top w:val="single" w:color="C8D0DF" w:sz="1"/>
              <w:left w:val="single" w:color="C8D0DF" w:sz="1"/>
              <w:bottom w:val="single" w:color="C8D0DF" w:sz="1"/>
              <w:right w:val="single" w:color="C8D0DF" w:sz="1"/>
            </w:tcBorders>
            <w:shd w:fill="F8F0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100% Remunerative Reserve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ZERO-FEE TRANSFER IS NOT GOVERNABLE</w:t>
            </w:r>
          </w:p>
          <w:p>
            <w:pPr>
              <w:spacing w:before="0" w:after="0"/>
              <w:jc w:val="both"/>
            </w:pPr>
            <w:r>
              <w:rPr>
                <w:rFonts w:ascii="Arial" w:cs="Arial" w:eastAsia="Arial" w:hAnsi="Arial"/>
                <w:b w:val="false"/>
                <w:bCs w:val="false"/>
                <w:i w:val="false"/>
                <w:iCs w:val="false"/>
                <w:color w:val="1A1A2E"/>
                <w:sz w:val="20"/>
                <w:szCs w:val="20"/>
              </w:rPr>
              <w:t xml:space="preserve">The Type 2 Transfer fee is hardcoded at zero at the node validation level. It is not stored in the Parameter Registry and cannot be modified by any Protocol Chamber amendment. A proposal attempting to introduce a transfer fee must be rejected by the Proposal Registry's namespace validator before reaching wallets. This property is permanent and constitutional.</w:t>
            </w:r>
          </w:p>
        </w:tc>
      </w:tr>
    </w:tbl>
    <w:p>
      <w:pPr>
        <w:pStyle w:val="Heading2"/>
        <w:spacing w:before="300" w:after="80"/>
      </w:pPr>
      <w:r>
        <w:rPr>
          <w:rFonts w:ascii="Arial" w:cs="Arial" w:eastAsia="Arial" w:hAnsi="Arial"/>
          <w:b/>
          <w:bCs/>
          <w:i w:val="false"/>
          <w:iCs w:val="false"/>
          <w:color w:val="1A4A7A"/>
          <w:sz w:val="25"/>
          <w:szCs w:val="25"/>
        </w:rPr>
        <w:t xml:space="preserve">3.1 Type 1 — MINT Transaction</w:t>
      </w:r>
    </w:p>
    <w:p>
      <w:pPr>
        <w:spacing w:before="60" w:after="120"/>
        <w:jc w:val="both"/>
      </w:pPr>
      <w:r>
        <w:rPr>
          <w:rFonts w:ascii="Arial" w:cs="Arial" w:eastAsia="Arial" w:hAnsi="Arial"/>
          <w:b w:val="false"/>
          <w:bCs w:val="false"/>
          <w:i w:val="false"/>
          <w:iCs w:val="false"/>
          <w:color w:val="1A1A2E"/>
          <w:sz w:val="22"/>
          <w:szCs w:val="22"/>
        </w:rPr>
        <w:t xml:space="preserve">A Mint transaction is initiated when a user purchases PADU with an external asset (fiat currency or stablecoin). It is processed by the Mint Gateway Contract (MGC), which is specified in PADU-TECH-03B. The MGC is the sole entity authorised to create new PADU tokens.</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MintTransaction struct — processed by the Mint Gateway Contract (PADU-TECH-03B)</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MintTransaction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recipient;         // PADU wallet receiving newly minted PADU</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grossInputAmount;  // fiat/stable value deposited (in input currency units)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inputAsset;        // stablecoin contract address, or address(0) for fiat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paduMinted;        // grossInput - 1.5% fee, converted at peg rate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mintFeeTotal;      // 1.5% of grossInputAmount in PADU base units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FeeBreakdown feeBreakdown;  // three equal 0.5% slices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pegRateUsed;       // PADU/asset exchange rate at mint time (from Price Oracle)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oracleSignature;   // Price Oracle signed rate — prevents stale rate attacks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FeeBreakdown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operational;   // 0.5% → Operational 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social;        // 0.5% → Social Fund Vault (PADU-TECH-03A)</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remunerative;  // 0.5% → Remunerative Reserve (PADU-TECH-03B)</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Example: user deposits 100 EUR equivalent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mintFeeTotal    = 1.5 PADU (1.5%)</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feeBreakdown    = { operational: 0.5, social: 0.5, remunerative: 0.5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paduMinted      = 98.5 PADU credited to recipient</w:t>
            </w:r>
          </w:p>
        </w:tc>
      </w:tr>
    </w:tbl>
    <w:p>
      <w:pPr>
        <w:pStyle w:val="Heading2"/>
        <w:spacing w:before="300" w:after="80"/>
      </w:pPr>
      <w:r>
        <w:rPr>
          <w:rFonts w:ascii="Arial" w:cs="Arial" w:eastAsia="Arial" w:hAnsi="Arial"/>
          <w:b/>
          <w:bCs/>
          <w:i w:val="false"/>
          <w:iCs w:val="false"/>
          <w:color w:val="1A4A7A"/>
          <w:sz w:val="25"/>
          <w:szCs w:val="25"/>
        </w:rPr>
        <w:t xml:space="preserve">3.2 Type 2 — TRANSFER Transaction</w:t>
      </w:r>
    </w:p>
    <w:p>
      <w:pPr>
        <w:spacing w:before="60" w:after="120"/>
        <w:jc w:val="both"/>
      </w:pPr>
      <w:r>
        <w:rPr>
          <w:rFonts w:ascii="Arial" w:cs="Arial" w:eastAsia="Arial" w:hAnsi="Arial"/>
          <w:b w:val="false"/>
          <w:bCs w:val="false"/>
          <w:i w:val="false"/>
          <w:iCs w:val="false"/>
          <w:color w:val="1A1A2E"/>
          <w:sz w:val="22"/>
          <w:szCs w:val="22"/>
        </w:rPr>
        <w:t xml:space="preserve">A Transfer transaction moves PADU between two wallets within the ecosystem. It carries zero fee. The recipient receives exactly the amount the sender specifies — no deduction, no routing, no reservation. This is the everyday-use transaction type that makes PADU function as a genuine local currency.</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TransferTransaction struct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TransferTransaction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nonce;      // sender nonce — replay protection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from;       // sender PADU address (20 bytes)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to;         // recipient PADU address (20 bytes)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value;      // amount in PADU base units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(1 PADU = 10^18 base units, ERC-20 convention)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PADUExtension extension;  // version flag, optional memo, KYC commitment if</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value &gt;= KYC Floor (see Section 5)</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chainId;    // replay protection across networks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signature;  // ECDSA over keccak256(abi.encode(all above))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There are NO fee fields in a TransferTransaction.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 transaction that includes any fee field is malformed and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must be rejected with UNEXPECTED_FEE_FIELD (see Section 9).</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Recipient receives exactly `value` — no deduction.</w:t>
            </w:r>
          </w:p>
        </w:tc>
      </w:tr>
    </w:tbl>
    <w:p>
      <w:pPr>
        <w:pStyle w:val="Heading2"/>
        <w:spacing w:before="300" w:after="80"/>
      </w:pPr>
      <w:r>
        <w:rPr>
          <w:rFonts w:ascii="Arial" w:cs="Arial" w:eastAsia="Arial" w:hAnsi="Arial"/>
          <w:b/>
          <w:bCs/>
          <w:i w:val="false"/>
          <w:iCs w:val="false"/>
          <w:color w:val="1A4A7A"/>
          <w:sz w:val="25"/>
          <w:szCs w:val="25"/>
        </w:rPr>
        <w:t xml:space="preserve">3.3 Type 3 — REDEEM Transaction</w:t>
      </w:r>
    </w:p>
    <w:p>
      <w:pPr>
        <w:spacing w:before="60" w:after="120"/>
        <w:jc w:val="both"/>
      </w:pPr>
      <w:r>
        <w:rPr>
          <w:rFonts w:ascii="Arial" w:cs="Arial" w:eastAsia="Arial" w:hAnsi="Arial"/>
          <w:b w:val="false"/>
          <w:bCs w:val="false"/>
          <w:i w:val="false"/>
          <w:iCs w:val="false"/>
          <w:color w:val="1A1A2E"/>
          <w:sz w:val="22"/>
          <w:szCs w:val="22"/>
        </w:rPr>
        <w:t xml:space="preserve">A Redeem transaction converts PADU back to an external asset. A 0.5% fee applies on the gross PADU amount submitted. The entire fee goes to the Remunerative Reserve — rewarding long-term ecosystem holders. The Redeem flow is processed by the Redeem Gateway Contract (RGC), specified in PADU-TECH-03B.</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RedeemTransaction struct — processed by the Redeem Gateway Contract (PADU-TECH-03B)</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RedeemTransaction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sender;             // PADU wallet initiating the redemption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grossPaduAmount;    // total PADU submitted for redemption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redeemFee;          // 0.5% of grossPaduAmount → Remunerative 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netPaduRedeemed;    // grossPaduAmount - redeemFee (this amount is burned)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outputAsset;        // target stablecoin or fiat off-ramp identifier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outputAmount;       // netPaduRedeemed converted at peg rate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pegRateUsed;        // oracle-signed exchange rate at redeem time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oracleSignature;    // Price Oracle signed rate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Example: user redeems 100 PADU</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redeemFee       = 0.5 PADU (0.5%) → entirely to Remunerative 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netPaduRedeemed = 99.5 PADU burned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outputAmount    = 99.5 EUR equivalent released to user</w:t>
            </w:r>
          </w:p>
        </w:tc>
      </w:tr>
    </w:tbl>
    <w:p>
      <w:pPr>
        <w:pStyle w:val="Heading2"/>
        <w:spacing w:before="300" w:after="80"/>
      </w:pPr>
      <w:r>
        <w:rPr>
          <w:rFonts w:ascii="Arial" w:cs="Arial" w:eastAsia="Arial" w:hAnsi="Arial"/>
          <w:b/>
          <w:bCs/>
          <w:i w:val="false"/>
          <w:iCs w:val="false"/>
          <w:color w:val="1A4A7A"/>
          <w:sz w:val="25"/>
          <w:szCs w:val="25"/>
        </w:rPr>
        <w:t xml:space="preserve">3.4 The Extension Payload (Transfer only)</w:t>
      </w:r>
    </w:p>
    <w:p>
      <w:pPr>
        <w:spacing w:before="60" w:after="120"/>
        <w:jc w:val="both"/>
      </w:pPr>
      <w:r>
        <w:rPr>
          <w:rFonts w:ascii="Arial" w:cs="Arial" w:eastAsia="Arial" w:hAnsi="Arial"/>
          <w:b w:val="false"/>
          <w:bCs w:val="false"/>
          <w:i w:val="false"/>
          <w:iCs w:val="false"/>
          <w:color w:val="1A1A2E"/>
          <w:sz w:val="22"/>
          <w:szCs w:val="22"/>
        </w:rPr>
        <w:t xml:space="preserve">The extension payload is a mandatory field in all Transfer transactions. For transfers below the KYC Floor, it contains only a version flag and an optional memo. For transfers at or above the KYC Floor, it additionally contains a KYC commitment structure. The extension payload does not exist in Mint or Redeem transactions — those are governed by the gateway contracts.</w:t>
      </w:r>
    </w:p>
    <w:p>
      <w:pPr>
        <w:spacing w:before="0" w:after="60"/>
      </w:pP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PADUExtension — included in every TransferTransaction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PADUExtension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uint8          version;     // currently 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memo;        // optional UTF-8 memo, zero-padded (visible on chain)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bool           kycRequired; // set by client based on value vs KYC Floor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KYCCommitment  kyc;         // populated only if kycRequired == true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KYCCommitment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proofHash;        // keccak256 of the ZK proof blob</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verifierAddress;  // accredited KYC oracle that issued the proof</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uint64   issuedAt;         // Unix timestamp of proof issuance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uint64   expiresAt;        // Unix timestamp of proof expiry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uint8    tierLevel;        // 1 = basic, 2 = full KYC, 3 = corporate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zkProofBlob;      // Groth16 ZK proof — verified by nodes on inclusion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00" w:after="80"/>
      </w:pPr>
      <w:r>
        <w:rPr>
          <w:rFonts w:ascii="Arial" w:cs="Arial" w:eastAsia="Arial" w:hAnsi="Arial"/>
          <w:b/>
          <w:bCs/>
          <w:i w:val="false"/>
          <w:iCs w:val="false"/>
          <w:color w:val="1A4A7A"/>
          <w:sz w:val="25"/>
          <w:szCs w:val="25"/>
        </w:rPr>
        <w:t xml:space="preserve">3.5 Transfer Lifecycle</w:t>
      </w:r>
    </w:p>
    <w:p>
      <w:pPr>
        <w:spacing w:before="60" w:after="120"/>
        <w:jc w:val="both"/>
      </w:pPr>
      <w:r>
        <w:rPr>
          <w:rFonts w:ascii="Arial" w:cs="Arial" w:eastAsia="Arial" w:hAnsi="Arial"/>
          <w:b w:val="false"/>
          <w:bCs w:val="false"/>
          <w:i w:val="false"/>
          <w:iCs w:val="false"/>
          <w:color w:val="1A1A2E"/>
          <w:sz w:val="22"/>
          <w:szCs w:val="22"/>
        </w:rPr>
        <w:t xml:space="preserve">The following describes the complete lifecycle of a PADU Transfer, from construction in the wallet client to finality on chain. Mint and Redeem lifecycles are defined in PADU-TECH-03B.</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Step</w:t>
            </w:r>
          </w:p>
        </w:tc>
        <w:tc>
          <w:tcPr>
            <w:tcW w:type="dxa" w:w="2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Stage</w:t>
            </w:r>
          </w:p>
        </w:tc>
        <w:tc>
          <w:tcPr>
            <w:tcW w:type="dxa" w:w="63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Actions and checks</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initiates transfer</w:t>
            </w:r>
          </w:p>
        </w:tc>
        <w:tc>
          <w:tcPr>
            <w:tcW w:type="dxa" w:w="6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Wallet UI collects: recipient address, amount, optional memo. Client validates address format and checksum.</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2</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 display</w:t>
            </w:r>
          </w:p>
        </w:tc>
        <w:tc>
          <w:tcPr>
            <w:tcW w:type="dxa" w:w="6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Client displays: amount to send, fee: ZERO (explicitly shown as '0 PADU — transfers are free'), recipient receives: exactly the entered amount. No fee computation needed.</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threshold check</w:t>
            </w:r>
          </w:p>
        </w:tc>
        <w:tc>
          <w:tcPr>
            <w:tcW w:type="dxa" w:w="6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Client queries the KYC Floor Registry contract. If value &gt;= KYC Floor, triggers KYC commitment flow (see Section 5). If below, extension.kycRequired is set to false.</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4</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Transaction construction</w:t>
            </w:r>
          </w:p>
        </w:tc>
        <w:tc>
          <w:tcPr>
            <w:tcW w:type="dxa" w:w="6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Client assembles the TransferTransaction struct including the extension payload. No fee fields. Computes EIP-712 typed-data hash for signing.</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authorization</w:t>
            </w:r>
          </w:p>
        </w:tc>
        <w:tc>
          <w:tcPr>
            <w:tcW w:type="dxa" w:w="6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approves the transaction. Private key is retrieved from secure enclave into memory. Transaction is signed. Key is immediately zeroed from memory.</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Broadcast</w:t>
            </w:r>
          </w:p>
        </w:tc>
        <w:tc>
          <w:tcPr>
            <w:tcW w:type="dxa" w:w="6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Signed transaction is submitted to one or more PADU RPC nodes via JSON-RPC. Client monitors inclusion.</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7</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Mempool validation</w:t>
            </w:r>
          </w:p>
        </w:tc>
        <w:tc>
          <w:tcPr>
            <w:tcW w:type="dxa" w:w="6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Nodes perform pre-inclusion checks: signature validity, nonce, sufficient balance (value only — no fee), absence of fee fields, KYC commitment validity if required.</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8</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Block inclusion</w:t>
            </w:r>
          </w:p>
        </w:tc>
        <w:tc>
          <w:tcPr>
            <w:tcW w:type="dxa" w:w="6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 validator node includes the transfer in a block. The block-level validator contract verifies the KYC proof on-chain if present.</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9</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Finality</w:t>
            </w:r>
          </w:p>
        </w:tc>
        <w:tc>
          <w:tcPr>
            <w:tcW w:type="dxa" w:w="6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After the chain's finality threshold (2/3 validator confirmation for BFT chains), the transfer is irreversible. Both wallets update their balance. Recipient receives exactly value — no deduction.</w:t>
            </w:r>
          </w:p>
        </w:tc>
      </w:tr>
    </w:tbl>
    <w:p>
      <w:pPr>
        <w:pStyle w:val="Heading1"/>
        <w:spacing w:before="480" w:after="120"/>
      </w:pPr>
      <w:r>
        <w:rPr>
          <w:rFonts w:ascii="Arial" w:cs="Arial" w:eastAsia="Arial" w:hAnsi="Arial"/>
          <w:b/>
          <w:bCs/>
          <w:i w:val="false"/>
          <w:iCs w:val="false"/>
          <w:color w:val="0D2137"/>
          <w:sz w:val="30"/>
          <w:szCs w:val="30"/>
        </w:rPr>
        <w:t xml:space="preserve">4. Node Validation Rules</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Every full node and validator in the PADU network must implement the following validation rules. Transactions failing any rule are rejected and not relayed. This is enforced at the protocol level — it is not optional for nodes that wish to remain in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SCOPE NOTE</w:t>
            </w:r>
          </w:p>
          <w:p>
            <w:pPr>
              <w:spacing w:before="0" w:after="0"/>
              <w:jc w:val="both"/>
            </w:pPr>
            <w:r>
              <w:rPr>
                <w:rFonts w:ascii="Arial" w:cs="Arial" w:eastAsia="Arial" w:hAnsi="Arial"/>
                <w:b w:val="false"/>
                <w:bCs w:val="false"/>
                <w:i w:val="false"/>
                <w:iCs w:val="false"/>
                <w:color w:val="1A1A2E"/>
                <w:sz w:val="20"/>
                <w:szCs w:val="20"/>
              </w:rPr>
              <w:t xml:space="preserve">The validation rules in this section apply to Type 2 Transfer transactions only. Mint (Type 1) and Redeem (Type 3) validation is handled internally by the Mint Gateway Contract and Redeem Gateway Contract respectively, as specified in PADU-TECH-03B.</w:t>
            </w:r>
          </w:p>
        </w:tc>
      </w:tr>
    </w:tbl>
    <w:p>
      <w:pPr>
        <w:pStyle w:val="Heading2"/>
        <w:spacing w:before="300" w:after="80"/>
      </w:pPr>
      <w:r>
        <w:rPr>
          <w:rFonts w:ascii="Arial" w:cs="Arial" w:eastAsia="Arial" w:hAnsi="Arial"/>
          <w:b/>
          <w:bCs/>
          <w:i w:val="false"/>
          <w:iCs w:val="false"/>
          <w:color w:val="1A4A7A"/>
          <w:sz w:val="25"/>
          <w:szCs w:val="25"/>
        </w:rPr>
        <w:t xml:space="preserve">4.1 Transfer Validation — Universal Rules</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Signature check: recover the signer address from the transaction signature. It must equal the from field. Reject with INVALID_SIGNATURE if mismatch.</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Nonce check: transaction nonce must equal the sender's current on-chain nonce. Reject with INVALID_NONCE if incorrect.</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Balance check: sender balance must be &gt;= value. No fee is deducted. Reject with INSUFFICIENT_BALANCE if balance &lt; value.</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Fee field absence check: a TransferTransaction must contain no fee fields. If any fee-related field is present in the transaction payload, reject with UNEXPECTED_FEE_FIELD. This detects malformed or potentially malicious transactions attempting to divert value through a spurious fee mechanism.</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Chain ID check: transaction chainId must match the network's registered chain ID. Reject with INVALID_CHAIN_ID if mismatch.</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Extension version check: extension.version must be a value supported by the current protocol version. Reject with UNKNOWN_EXTENSION_VERSION if unknown.</w:t>
      </w:r>
    </w:p>
    <w:p>
      <w:pPr>
        <w:pStyle w:val="Heading2"/>
        <w:spacing w:before="300" w:after="80"/>
      </w:pPr>
      <w:r>
        <w:rPr>
          <w:rFonts w:ascii="Arial" w:cs="Arial" w:eastAsia="Arial" w:hAnsi="Arial"/>
          <w:b/>
          <w:bCs/>
          <w:i w:val="false"/>
          <w:iCs w:val="false"/>
          <w:color w:val="1A4A7A"/>
          <w:sz w:val="25"/>
          <w:szCs w:val="25"/>
        </w:rPr>
        <w:t xml:space="preserve">4.2 KYC Threshold Validation (High-Value Transfers)</w:t>
      </w:r>
    </w:p>
    <w:p>
      <w:pPr>
        <w:spacing w:before="60" w:after="120"/>
        <w:jc w:val="both"/>
      </w:pPr>
      <w:r>
        <w:rPr>
          <w:rFonts w:ascii="Arial" w:cs="Arial" w:eastAsia="Arial" w:hAnsi="Arial"/>
          <w:b w:val="false"/>
          <w:bCs w:val="false"/>
          <w:i w:val="false"/>
          <w:iCs w:val="false"/>
          <w:color w:val="1A1A2E"/>
          <w:sz w:val="22"/>
          <w:szCs w:val="22"/>
        </w:rPr>
        <w:t xml:space="preserve">These checks apply when extension.kycRequired is true, OR when value &gt;= KYC Floor. Nodes re-derive this independently and do not trust the client-supplied flag.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CRITICAL</w:t>
            </w:r>
          </w:p>
          <w:p>
            <w:pPr>
              <w:spacing w:before="0" w:after="0"/>
              <w:jc w:val="both"/>
            </w:pPr>
            <w:r>
              <w:rPr>
                <w:rFonts w:ascii="Arial" w:cs="Arial" w:eastAsia="Arial" w:hAnsi="Arial"/>
                <w:b w:val="false"/>
                <w:bCs w:val="false"/>
                <w:i w:val="false"/>
                <w:iCs w:val="false"/>
                <w:color w:val="1A1A2E"/>
                <w:sz w:val="20"/>
                <w:szCs w:val="20"/>
              </w:rPr>
              <w:t xml:space="preserve">A node must independently check whether the transfer value meets or exceeds the KYC Floor — it must not rely solely on the client-supplied kycRequired flag. A malicious client could set kycRequired = false on a high-value transfer to evade verification.</w:t>
            </w:r>
          </w:p>
        </w:tc>
      </w:tr>
    </w:tbl>
    <w:p>
      <w:pPr>
        <w:spacing w:before="0" w:after="80"/>
      </w:pP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KYC Floor check: query the KYC Floor Registry contract. If value &gt;= floor and kycRequired = false, reject with KYC_REQUIRED.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Verifier accreditation: kyc.verifierAddress must appear in the Accredited Verifier Registry. Reject with KYC_VERIFIER_NOT_ACCREDITED if not found or if accreditation is expired or revoked.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Proof expiry: kyc.expiresAt must be &gt;= current block timestamp. Reject with KYC_PROOF_EXPIRED if stale.</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Proof hash integrity: recompute keccak256(kyc.zkProofBlob). It must equal kyc.proofHash. Reject if mismatch.</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ZK proof verification: execute the proof verifier circuit for kyc.tierLevel. The proof must verify against the verifier's public inputs. Reject with KYC_PROOF_INVALID if proof is invalid.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Tier sufficiency: kyc.tierLevel must meet the minimum tier required for the transfer value range (see Section 5.3). Reject with KYC_TIER_INSUFFICIENT if tier is below requirement.</w:t>
      </w:r>
    </w:p>
    <w:p>
      <w:pPr>
        <w:pStyle w:val="Heading1"/>
        <w:spacing w:before="480" w:after="120"/>
      </w:pPr>
      <w:r>
        <w:rPr>
          <w:rFonts w:ascii="Arial" w:cs="Arial" w:eastAsia="Arial" w:hAnsi="Arial"/>
          <w:b/>
          <w:bCs/>
          <w:i w:val="false"/>
          <w:iCs w:val="false"/>
          <w:color w:val="0D2137"/>
          <w:sz w:val="30"/>
          <w:szCs w:val="30"/>
        </w:rPr>
        <w:t xml:space="preserve">5. Tiered Identity Verification Framework</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PADU identity framework is built on the principle of minimum necessary disclosure. Users provide the minimum identity information required for their transfer category. That information is processed by an accredited, off-chain verifier that issues a zero-knowledge proof. The proof — not the raw identity data — is what goes on-chain.</w:t>
      </w:r>
    </w:p>
    <w:p>
      <w:pPr>
        <w:spacing w:before="60" w:after="120"/>
        <w:jc w:val="both"/>
      </w:pPr>
      <w:r>
        <w:rPr>
          <w:rFonts w:ascii="Arial" w:cs="Arial" w:eastAsia="Arial" w:hAnsi="Arial"/>
          <w:b w:val="false"/>
          <w:bCs w:val="false"/>
          <w:i w:val="false"/>
          <w:iCs w:val="false"/>
          <w:color w:val="1A1A2E"/>
          <w:sz w:val="22"/>
          <w:szCs w:val="22"/>
        </w:rPr>
        <w:t xml:space="preserve">Identity verification applies to Transfer transactions only. Mint and Redeem operations have their own verification requirements managed by the gateway contracts, as the relevant regulatory obligations apply at those fiat boundary points.</w:t>
      </w:r>
    </w:p>
    <w:p>
      <w:pPr>
        <w:pStyle w:val="Heading2"/>
        <w:spacing w:before="300" w:after="80"/>
      </w:pPr>
      <w:r>
        <w:rPr>
          <w:rFonts w:ascii="Arial" w:cs="Arial" w:eastAsia="Arial" w:hAnsi="Arial"/>
          <w:b/>
          <w:bCs/>
          <w:i w:val="false"/>
          <w:iCs w:val="false"/>
          <w:color w:val="1A4A7A"/>
          <w:sz w:val="25"/>
          <w:szCs w:val="25"/>
        </w:rPr>
        <w:t xml:space="preserve">5.1 Identity Tiers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Tier</w:t>
            </w:r>
          </w:p>
        </w:tc>
        <w:tc>
          <w:tcPr>
            <w:tcW w:type="dxa" w:w="1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w:t>
            </w:r>
          </w:p>
        </w:tc>
        <w:tc>
          <w:tcPr>
            <w:tcW w:type="dxa" w:w="2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Threshold</w:t>
            </w:r>
          </w:p>
        </w:tc>
        <w:tc>
          <w:tcPr>
            <w:tcW w:type="dxa" w:w="41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Requirements</w:t>
            </w:r>
          </w:p>
        </w:tc>
      </w:tr>
      <w:tr>
        <w:tc>
          <w:tcPr>
            <w:tcW w:type="dxa" w:w="1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0</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Pseudonymous</w:t>
            </w:r>
          </w:p>
        </w:tc>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&lt; KYC Floor</w:t>
            </w:r>
          </w:p>
        </w:tc>
        <w:tc>
          <w:tcPr>
            <w:tcW w:type="dxa" w:w="4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 identity information required. Wallet address only.</w:t>
            </w:r>
          </w:p>
        </w:tc>
      </w:tr>
      <w:tr>
        <w:tc>
          <w:tcPr>
            <w:tcW w:type="dxa" w:w="1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1</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Basic Verified</w:t>
            </w:r>
          </w:p>
        </w:tc>
        <w:tc>
          <w:tcPr>
            <w:tcW w:type="dxa" w:w="2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&gt;= KYC Floor, &lt; 10x Floor</w:t>
            </w:r>
          </w:p>
        </w:tc>
        <w:tc>
          <w:tcPr>
            <w:tcW w:type="dxa" w:w="4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Phone number verification OR national ID hash (no data on-chain). Proof attests: age &gt;= 18, jurisdiction residency flag, not on AML watchlist.</w:t>
            </w:r>
          </w:p>
        </w:tc>
      </w:tr>
      <w:tr>
        <w:tc>
          <w:tcPr>
            <w:tcW w:type="dxa" w:w="1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2</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Full KYC</w:t>
            </w:r>
          </w:p>
        </w:tc>
        <w:tc>
          <w:tcPr>
            <w:tcW w:type="dxa" w:w="2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&gt;= 10x KYC Floor</w:t>
            </w:r>
          </w:p>
        </w:tc>
        <w:tc>
          <w:tcPr>
            <w:tcW w:type="dxa" w:w="4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Government-issued ID + liveness check via accredited verifier. Proof attests: full AML/KYC compliance status. No raw data on-chain.</w:t>
            </w:r>
          </w:p>
        </w:tc>
      </w:tr>
      <w:tr>
        <w:tc>
          <w:tcPr>
            <w:tcW w:type="dxa" w:w="1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3</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Corporate</w:t>
            </w:r>
          </w:p>
        </w:tc>
        <w:tc>
          <w:tcPr>
            <w:tcW w:type="dxa" w:w="2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Any corporate wallet</w:t>
            </w:r>
          </w:p>
        </w:tc>
        <w:tc>
          <w:tcPr>
            <w:tcW w:type="dxa" w:w="4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Business registration, beneficial ownership declaration, local regulatory compliance. Proof: corporate compliance certificate hash.</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NOTE ON KYC FLOOR</w:t>
            </w:r>
          </w:p>
          <w:p>
            <w:pPr>
              <w:spacing w:before="0" w:after="0"/>
              <w:jc w:val="both"/>
            </w:pPr>
            <w:r>
              <w:rPr>
                <w:rFonts w:ascii="Arial" w:cs="Arial" w:eastAsia="Arial" w:hAnsi="Arial"/>
                <w:b w:val="false"/>
                <w:bCs w:val="false"/>
                <w:i w:val="false"/>
                <w:iCs w:val="false"/>
                <w:color w:val="1A1A2E"/>
                <w:sz w:val="20"/>
                <w:szCs w:val="20"/>
              </w:rPr>
              <w:t xml:space="preserve">The KYC Floor is a governance parameter — not hardcoded. It is stored in the KYC Floor Registry contract and may only be changed by a Protocol Chamber vote. The reference value during Phase 1 pilot is 500 PADU (approximately 500 EUR equivalent at peg). This value will be revised before mainnet launch.</w:t>
            </w:r>
          </w:p>
        </w:tc>
      </w:tr>
    </w:tbl>
    <w:p>
      <w:pPr>
        <w:pStyle w:val="Heading2"/>
        <w:spacing w:before="300" w:after="80"/>
      </w:pPr>
      <w:r>
        <w:rPr>
          <w:rFonts w:ascii="Arial" w:cs="Arial" w:eastAsia="Arial" w:hAnsi="Arial"/>
          <w:b/>
          <w:bCs/>
          <w:i w:val="false"/>
          <w:iCs w:val="false"/>
          <w:color w:val="1A4A7A"/>
          <w:sz w:val="25"/>
          <w:szCs w:val="25"/>
        </w:rPr>
        <w:t xml:space="preserve">5.2 Zero-Knowledge Proof Architecture</w:t>
      </w:r>
    </w:p>
    <w:p>
      <w:pPr>
        <w:spacing w:before="60" w:after="120"/>
        <w:jc w:val="both"/>
      </w:pPr>
      <w:r>
        <w:rPr>
          <w:rFonts w:ascii="Arial" w:cs="Arial" w:eastAsia="Arial" w:hAnsi="Arial"/>
          <w:b w:val="false"/>
          <w:bCs w:val="false"/>
          <w:i w:val="false"/>
          <w:iCs w:val="false"/>
          <w:color w:val="1A1A2E"/>
          <w:sz w:val="22"/>
          <w:szCs w:val="22"/>
        </w:rPr>
        <w:t xml:space="preserve">PADU uses a Groth16 zk-SNARK proof system for KYC commitments. The circuit is compiled and deployed by the Protocol Chamber; accredited verifiers run the prover off-chain and submit proofs on behalf of users. The verifier contract on-chain holds the compiled verification key and executes verification during block inclusion.</w:t>
      </w:r>
    </w:p>
    <w:p>
      <w:pPr>
        <w:pStyle w:val="Heading3"/>
        <w:spacing w:before="220" w:after="60"/>
      </w:pPr>
      <w:r>
        <w:rPr>
          <w:rFonts w:ascii="Arial" w:cs="Arial" w:eastAsia="Arial" w:hAnsi="Arial"/>
          <w:b/>
          <w:bCs/>
          <w:i w:val="false"/>
          <w:iCs w:val="false"/>
          <w:color w:val="1A7A4A"/>
          <w:sz w:val="22"/>
          <w:szCs w:val="22"/>
        </w:rPr>
        <w:t xml:space="preserve">5.2.1 What the Proof Attests (Tier 1)</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prover (KYC oracle) has verified the user's identity document.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user's age is &gt;= 18 years.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user's country of residence is in one of the allowed jurisdictions.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user is not on any of the Protocol Chamber's disqualification lists (AML watchlists, sanctions).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All of the above is true without revealing any specific personal data on-chain.</w:t>
      </w:r>
    </w:p>
    <w:p>
      <w:pPr>
        <w:pStyle w:val="Heading3"/>
        <w:spacing w:before="220" w:after="60"/>
      </w:pPr>
      <w:r>
        <w:rPr>
          <w:rFonts w:ascii="Arial" w:cs="Arial" w:eastAsia="Arial" w:hAnsi="Arial"/>
          <w:b/>
          <w:bCs/>
          <w:i w:val="false"/>
          <w:iCs w:val="false"/>
          <w:color w:val="1A7A4A"/>
          <w:sz w:val="22"/>
          <w:szCs w:val="22"/>
        </w:rPr>
        <w:t xml:space="preserve">5.2.2 Proof Issuance Flow</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KYC Proof Request — wallet client to KYC oracle API</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POST /v1/proof/request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Authorization: Bearer &lt;signed_wallet_challenge&gt;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Content-Type: application/json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"walletAddress": "PADU:0x7Fc9A3B2E1D4...",</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"tierRequested":  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"documentType":   "NATIONAL_ID | PASSPORT | RESIDENCE_PERMIT",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"sessionToken":   "&lt;liveness_session_id from verifier SDK&gt;"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Response from KYC oracle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"status":          "APPROVED",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"tierGranted":     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"verifierAddress": "0xAccredited...",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"issuedAt":        1741824000,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"expiresAt":       1773360000,   // 1 year validity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"zkProofBlob":     "&lt;base64-encoded Groth16 proof&gt;",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"proofHash":       "0xabc123..."</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3"/>
        <w:spacing w:before="220" w:after="60"/>
      </w:pPr>
      <w:r>
        <w:rPr>
          <w:rFonts w:ascii="Arial" w:cs="Arial" w:eastAsia="Arial" w:hAnsi="Arial"/>
          <w:b/>
          <w:bCs/>
          <w:i w:val="false"/>
          <w:iCs w:val="false"/>
          <w:color w:val="1A7A4A"/>
          <w:sz w:val="22"/>
          <w:szCs w:val="22"/>
        </w:rPr>
        <w:t xml:space="preserve">5.2.3 Identity Data Handling by KYC Oracle</w:t>
      </w:r>
    </w:p>
    <w:p>
      <w:pPr>
        <w:spacing w:before="60" w:after="120"/>
        <w:jc w:val="both"/>
      </w:pPr>
      <w:r>
        <w:rPr>
          <w:rFonts w:ascii="Arial" w:cs="Arial" w:eastAsia="Arial" w:hAnsi="Arial"/>
          <w:b w:val="false"/>
          <w:bCs w:val="false"/>
          <w:i w:val="false"/>
          <w:iCs w:val="false"/>
          <w:color w:val="1A1A2E"/>
          <w:sz w:val="22"/>
          <w:szCs w:val="22"/>
        </w:rPr>
        <w:t xml:space="preserve">The KYC oracle is an accredited off-chain service. The following rules are mandatory for accreditation and are audited by the Protocol Chamber annually: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Raw identity documents must be deleted from oracle storage within 24 hours of proof issuance.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oracle retains only: wallet address, tier granted, proof hash, and issuance/expiry timestamps.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Oracle data retention records are subject to annual third-party audit.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Oracles must be domiciled in a jurisdiction with data protection laws compatible with the standards set by the Protocol Chamber. Initial approved jurisdictions: EU (GDPR), South Africa (POPIA), Kenya (Data Protection Act 2019).</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All oracle communications use TLS 1.3 minimum. API access requires wallet challenge-response authentication.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Multiple competing oracles are accredited. The user may choose their preferred oracle. This prevents any single oracle from becoming a systemic dependency.</w:t>
      </w:r>
    </w:p>
    <w:p>
      <w:pPr>
        <w:pStyle w:val="Heading2"/>
        <w:spacing w:before="300" w:after="80"/>
      </w:pPr>
      <w:r>
        <w:rPr>
          <w:rFonts w:ascii="Arial" w:cs="Arial" w:eastAsia="Arial" w:hAnsi="Arial"/>
          <w:b/>
          <w:bCs/>
          <w:i w:val="false"/>
          <w:iCs w:val="false"/>
          <w:color w:val="1A4A7A"/>
          <w:sz w:val="25"/>
          <w:szCs w:val="25"/>
        </w:rPr>
        <w:t xml:space="preserve">5.3 Tier Sufficiency Matrix</w:t>
      </w:r>
    </w:p>
    <w:p>
      <w:pPr>
        <w:spacing w:before="60" w:after="120"/>
        <w:jc w:val="both"/>
      </w:pPr>
      <w:r>
        <w:rPr>
          <w:rFonts w:ascii="Arial" w:cs="Arial" w:eastAsia="Arial" w:hAnsi="Arial"/>
          <w:b w:val="false"/>
          <w:bCs w:val="false"/>
          <w:i w:val="false"/>
          <w:iCs w:val="false"/>
          <w:color w:val="1A1A2E"/>
          <w:sz w:val="22"/>
          <w:szCs w:val="22"/>
        </w:rPr>
        <w:t xml:space="preserve">The following matrix defines the minimum tier required for transfers in each value range. Both the KYC Floor and the multipliers are governance parameters; the matrix below reflects Phase 1 proposed defaults.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000"/>
        <w:gridCol w:w="3260"/>
      </w:tblGrid>
      <w:tr>
        <w:tc>
          <w:tcPr>
            <w:tcW w:type="dxa" w:w="27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Value Range</w:t>
            </w:r>
          </w:p>
        </w:tc>
        <w:tc>
          <w:tcPr>
            <w:tcW w:type="dxa" w:w="1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Min Tier</w:t>
            </w:r>
          </w:p>
        </w:tc>
        <w:tc>
          <w:tcPr>
            <w:tcW w:type="dxa" w:w="2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Proof Type</w:t>
            </w:r>
          </w:p>
        </w:tc>
        <w:tc>
          <w:tcPr>
            <w:tcW w:type="dxa" w:w="32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On-Chain Data</w:t>
            </w:r>
          </w:p>
        </w:tc>
      </w:tr>
      <w:tr>
        <w:tc>
          <w:tcPr>
            <w:tcW w:type="dxa" w:w="27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 — KYC Floor</w:t>
            </w:r>
          </w:p>
        </w:tc>
        <w:tc>
          <w:tcPr>
            <w:tcW w:type="dxa" w:w="1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0</w:t>
            </w:r>
          </w:p>
        </w:tc>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None</w:t>
            </w:r>
          </w:p>
        </w:tc>
        <w:tc>
          <w:tcPr>
            <w:tcW w:type="dxa" w:w="3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None</w:t>
            </w:r>
          </w:p>
        </w:tc>
      </w:tr>
      <w:tr>
        <w:tc>
          <w:tcPr>
            <w:tcW w:type="dxa" w:w="27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Floor — 10x Floor</w:t>
            </w:r>
          </w:p>
        </w:tc>
        <w:tc>
          <w:tcPr>
            <w:tcW w:type="dxa" w:w="1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1</w:t>
            </w:r>
          </w:p>
        </w:tc>
        <w:tc>
          <w:tcPr>
            <w:tcW w:type="dxa" w:w="2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ZK (Groth16)</w:t>
            </w:r>
          </w:p>
        </w:tc>
        <w:tc>
          <w:tcPr>
            <w:tcW w:type="dxa" w:w="32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 hash + verifier address + expiry</w:t>
            </w:r>
          </w:p>
        </w:tc>
      </w:tr>
      <w:tr>
        <w:tc>
          <w:tcPr>
            <w:tcW w:type="dxa" w:w="27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10x Floor — Corporate limit</w:t>
            </w:r>
          </w:p>
        </w:tc>
        <w:tc>
          <w:tcPr>
            <w:tcW w:type="dxa" w:w="1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2</w:t>
            </w:r>
          </w:p>
        </w:tc>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ZK (Groth16)</w:t>
            </w:r>
          </w:p>
        </w:tc>
        <w:tc>
          <w:tcPr>
            <w:tcW w:type="dxa" w:w="3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 hash + verifier address + expiry</w:t>
            </w:r>
          </w:p>
        </w:tc>
      </w:tr>
      <w:tr>
        <w:tc>
          <w:tcPr>
            <w:tcW w:type="dxa" w:w="27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Any corporate wallet tx</w:t>
            </w:r>
          </w:p>
        </w:tc>
        <w:tc>
          <w:tcPr>
            <w:tcW w:type="dxa" w:w="1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Tier 3</w:t>
            </w:r>
          </w:p>
        </w:tc>
        <w:tc>
          <w:tcPr>
            <w:tcW w:type="dxa" w:w="2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ZK + cert hash</w:t>
            </w:r>
          </w:p>
        </w:tc>
        <w:tc>
          <w:tcPr>
            <w:tcW w:type="dxa" w:w="32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Compliance cert hash + verifier + expiry</w:t>
            </w:r>
          </w:p>
        </w:tc>
      </w:tr>
    </w:tbl>
    <w:p>
      <w:pPr>
        <w:pStyle w:val="Heading2"/>
        <w:spacing w:before="300" w:after="80"/>
      </w:pPr>
      <w:r>
        <w:rPr>
          <w:rFonts w:ascii="Arial" w:cs="Arial" w:eastAsia="Arial" w:hAnsi="Arial"/>
          <w:b/>
          <w:bCs/>
          <w:i w:val="false"/>
          <w:iCs w:val="false"/>
          <w:color w:val="1A4A7A"/>
          <w:sz w:val="25"/>
          <w:szCs w:val="25"/>
        </w:rPr>
        <w:t xml:space="preserve">5.4 Proof Lifecycle and Caching</w:t>
      </w:r>
    </w:p>
    <w:p>
      <w:pPr>
        <w:spacing w:before="60" w:after="120"/>
        <w:jc w:val="both"/>
      </w:pPr>
      <w:r>
        <w:rPr>
          <w:rFonts w:ascii="Arial" w:cs="Arial" w:eastAsia="Arial" w:hAnsi="Arial"/>
          <w:b w:val="false"/>
          <w:bCs w:val="false"/>
          <w:i w:val="false"/>
          <w:iCs w:val="false"/>
          <w:color w:val="1A1A2E"/>
          <w:sz w:val="22"/>
          <w:szCs w:val="22"/>
        </w:rPr>
        <w:t xml:space="preserve">A KYC proof is valid for 12 months from issuance (configurable by Protocol Chamber). The wallet client caches the proof locally and reuses it for all subsequent transfers above the KYC Floor during the validity period. Users are not required to re-verify for every high-value transfer.</w:t>
      </w:r>
    </w:p>
    <w:p>
      <w:pPr>
        <w:spacing w:before="0" w:after="60"/>
      </w:pP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Proof caching logic — wallet client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CachedKYCProof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proof:           KYCCommitment;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cachedAt:        number;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walletAddress:   string;</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function getValidProof(address: string, tier: number): KYCCommitment | null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cached = localSecureStore.get(`kyc_proof_${address}`);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(!cached) return null;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 now = Math.floor(Date.now() / 1000);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(cached.proof.expiresAt &lt; now)         return null; // expired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(cached.proof.tierLevel &lt; tier)         return null; // insufficient tier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cached.proof;</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getValidProof returns null, initiate KYC oracle flow</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before allowing the transfer to proceed.</w:t>
            </w:r>
          </w:p>
        </w:tc>
      </w:tr>
    </w:tbl>
    <w:p>
      <w:pPr>
        <w:pStyle w:val="Heading1"/>
        <w:spacing w:before="480" w:after="120"/>
      </w:pPr>
      <w:r>
        <w:rPr>
          <w:rFonts w:ascii="Arial" w:cs="Arial" w:eastAsia="Arial" w:hAnsi="Arial"/>
          <w:b/>
          <w:bCs/>
          <w:i w:val="false"/>
          <w:iCs w:val="false"/>
          <w:color w:val="0D2137"/>
          <w:sz w:val="30"/>
          <w:szCs w:val="30"/>
        </w:rPr>
        <w:t xml:space="preserve">6. Registry Contracts — Interface Reference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Three on-chain registry contracts underpin the identity and threshold system. Full specifications are in PADU-TECH-02. The wallet layer interacts with them as read-only clients; this section provides the minimum interface definition required for wallet implementation.</w:t>
      </w:r>
    </w:p>
    <w:p>
      <w:pPr>
        <w:pStyle w:val="Heading2"/>
        <w:spacing w:before="300" w:after="80"/>
      </w:pPr>
      <w:r>
        <w:rPr>
          <w:rFonts w:ascii="Arial" w:cs="Arial" w:eastAsia="Arial" w:hAnsi="Arial"/>
          <w:b/>
          <w:bCs/>
          <w:i w:val="false"/>
          <w:iCs w:val="false"/>
          <w:color w:val="1A4A7A"/>
          <w:sz w:val="25"/>
          <w:szCs w:val="25"/>
        </w:rPr>
        <w:t xml:space="preserve">6.1 KYC Floor Registry</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IKYCFloorRegistry.sol — minimal read interface for wallet and node use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IKYCFloorRegistry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the current KYC Floor in PADU base units.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@dev Updated only by Protocol Chamber governance vote.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getKYCFloor() external view returns (uint256 floor);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the minimum KYC tier required for a given transfer value.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getRequiredTier(uint256 value) external view returns (uint8 tier);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the current KYC Floor parameters.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getThresholdParams() external view returns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tier1Floor,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tier2Floor,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corporateFlag,</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lastUpdated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00" w:after="80"/>
      </w:pPr>
      <w:r>
        <w:rPr>
          <w:rFonts w:ascii="Arial" w:cs="Arial" w:eastAsia="Arial" w:hAnsi="Arial"/>
          <w:b/>
          <w:bCs/>
          <w:i w:val="false"/>
          <w:iCs w:val="false"/>
          <w:color w:val="1A4A7A"/>
          <w:sz w:val="25"/>
          <w:szCs w:val="25"/>
        </w:rPr>
        <w:t xml:space="preserve">6.2 Accredited Verifier Registry</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IVerifierRegistry.sol — minimal read interface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IVerifierRegistry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whether an address is a currently accredited KYC oracle.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isAccredited(address verifier) external view returns (bool);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oracle metadata for display in wallet UI.</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getVerifierInfo(address verifier) external view returns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string memory name,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string memory jurisdiction,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accreditedSince,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accreditedUntil,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uint8         maxTierSupported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all currently accredited verifiers.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listAccreditedVerifiers() external view</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returns (address[] memory verifiers);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00" w:after="80"/>
      </w:pPr>
      <w:r>
        <w:rPr>
          <w:rFonts w:ascii="Arial" w:cs="Arial" w:eastAsia="Arial" w:hAnsi="Arial"/>
          <w:b/>
          <w:bCs/>
          <w:i w:val="false"/>
          <w:iCs w:val="false"/>
          <w:color w:val="1A4A7A"/>
          <w:sz w:val="25"/>
          <w:szCs w:val="25"/>
        </w:rPr>
        <w:t xml:space="preserve">6.3 ZK Proof Verifier</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IZKVerifier.sol — called by nodes during block validation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IZKVerifier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Verifies a Groth16 KYC proof on-chain.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@param proofBlob   The raw Groth16 proof (a, b, c points + public inputs).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@param tierLevel   The tier being claimed (1 or 2).</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@param verifier    The oracle that issued the proof.</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@return valid      True if the proof is cryptographically valid.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verifyKYCProof(</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calldata proofBlob,</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uint8           tierLevel,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verifier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external view returns (bool valid);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1"/>
        <w:spacing w:before="480" w:after="120"/>
      </w:pPr>
      <w:r>
        <w:rPr>
          <w:rFonts w:ascii="Arial" w:cs="Arial" w:eastAsia="Arial" w:hAnsi="Arial"/>
          <w:b/>
          <w:bCs/>
          <w:i w:val="false"/>
          <w:iCs w:val="false"/>
          <w:color w:val="0D2137"/>
          <w:sz w:val="30"/>
          <w:szCs w:val="30"/>
        </w:rPr>
        <w:t xml:space="preserve">7. Wallet Application — Functional Requirements</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following requirements apply to any wallet application claiming compatibility with the PADU protocol. Third-party wallets must satisfy all requirements in sections 7.1–7.3 to be listed in the official compatibility registry.</w:t>
      </w:r>
    </w:p>
    <w:p>
      <w:pPr>
        <w:pStyle w:val="Heading2"/>
        <w:spacing w:before="300" w:after="80"/>
      </w:pPr>
      <w:r>
        <w:rPr>
          <w:rFonts w:ascii="Arial" w:cs="Arial" w:eastAsia="Arial" w:hAnsi="Arial"/>
          <w:b/>
          <w:bCs/>
          <w:i w:val="false"/>
          <w:iCs w:val="false"/>
          <w:color w:val="1A4A7A"/>
          <w:sz w:val="25"/>
          <w:szCs w:val="25"/>
        </w:rPr>
        <w:t xml:space="preserve">7.1 Core Wallet Functions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WLT-01: Generate BIP-39 mnemonic and derive PADU HD key using the PADU derivation path.</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WLT-02: Display, import, and restore wallets from 24-word mnemonic.</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WLT-03: Display PADU balance in both PADU units and local fiat equivalent (via on-chain price oracle).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WLT-04: Construct, sign, and broadcast well-formed Transfer, Mint, and Redeem transactions. Each is a distinct flow with a distinct confirmation screen.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WLT-05: Display the correct fee information on every confirmation screen, specific to the transaction type: Transfer — display 'Fee: 0 PADU — transfers are free' explicitly. Mint — display the 1.5% fee with breakdown (0.5% operational / 0.5% social fund / 0.5% remunerative reserve). Redeem — display the 0.5% redemption fee and note it goes to the long-term holder reward pool.</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WLT-06: Display the correct recipient amount on every confirmation screen: Transfer — recipient receives exactly the entered amount, no deduction. Mint — display net PADU after 1.5% fee. Redeem — display net fiat output after 0.5% fee.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WLT-07: Generate and display QR codes for PADU addresses and payment requests.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WLT-08: Scan QR codes to populate recipient address and amount fields.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WLT-09: Maintain a local transaction history with block confirmation status, clearly distinguishing between Transfer, Mint, and Redeem entries.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WLT-10: Support address book with human-readable labels for saved contacts.</w:t>
      </w:r>
    </w:p>
    <w:p>
      <w:pPr>
        <w:pStyle w:val="Heading2"/>
        <w:spacing w:before="300" w:after="80"/>
      </w:pPr>
      <w:r>
        <w:rPr>
          <w:rFonts w:ascii="Arial" w:cs="Arial" w:eastAsia="Arial" w:hAnsi="Arial"/>
          <w:b/>
          <w:bCs/>
          <w:i w:val="false"/>
          <w:iCs w:val="false"/>
          <w:color w:val="1A4A7A"/>
          <w:sz w:val="25"/>
          <w:szCs w:val="25"/>
        </w:rPr>
        <w:t xml:space="preserve">7.2 KYC Integration Requirements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KYC-01: Before constructing any Transfer, query the KYC Floor Registry to determine whether the transfer value requires identity verification.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KYC-02: If verification is required and no valid cached proof exists, initiate the KYC oracle flow before allowing the transfer to proceed. The oracle flow must be embedded in the wallet UX — the user must not be redirected to an external browser for the core verification step.</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KYC-03: Display to the user which verifier they are using, its accreditation status, and the jurisdiction in which it operates.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KYC-04: Display the expiry date of a cached proof and warn the user at least 30 days before expiry.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KYC-05: Cache proof data in encrypted local storage only. Never transmit proof data to any server other than the accredited oracle that issued it.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KYC-06: Allow users to select their preferred oracle from the Accredited Verifier Registry.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KYC-07: Provide clear, plain-language explanation of what information the oracle will collect and how long it will be retained, before the user initiates verification.</w:t>
      </w:r>
    </w:p>
    <w:p>
      <w:pPr>
        <w:pStyle w:val="Heading2"/>
        <w:spacing w:before="300" w:after="80"/>
      </w:pPr>
      <w:r>
        <w:rPr>
          <w:rFonts w:ascii="Arial" w:cs="Arial" w:eastAsia="Arial" w:hAnsi="Arial"/>
          <w:b/>
          <w:bCs/>
          <w:i w:val="false"/>
          <w:iCs w:val="false"/>
          <w:color w:val="1A4A7A"/>
          <w:sz w:val="25"/>
          <w:szCs w:val="25"/>
        </w:rPr>
        <w:t xml:space="preserve">7.3 Security Requirements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SEC-01: Private key must be encrypted at rest using AES-256-GCM with a key derived from user biometric or PIN via Argon2id (memory &gt;= 64MB, iterations &gt;= 3, parallelism &gt;= 1).</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SEC-02: Application must lock automatically after a configurable inactivity timeout (default: 2 minutes). After lock, private key must be zeroed from memory.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SEC-03: Application must implement certificate pinning for all connections to PADU RPC nodes and KYC oracle APIs.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SEC-04: Screen capture and screen recording must be blocked on all screens that display the mnemonic phrase or private key.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SEC-05: Application must not use any third-party analytics or crash reporting SDK that could capture key material, transaction data, or KYC session data.</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SEC-06: On first install, the application must pass a device security check. Rooted or jailbroken devices must display a prominent warning. Operation on rooted devices may be disabled by Protocol Chamber policy.</w:t>
      </w:r>
    </w:p>
    <w:p>
      <w:pPr>
        <w:pStyle w:val="Heading1"/>
        <w:spacing w:before="480" w:after="120"/>
      </w:pPr>
      <w:r>
        <w:rPr>
          <w:rFonts w:ascii="Arial" w:cs="Arial" w:eastAsia="Arial" w:hAnsi="Arial"/>
          <w:b/>
          <w:bCs/>
          <w:i w:val="false"/>
          <w:iCs w:val="false"/>
          <w:color w:val="0D2137"/>
          <w:sz w:val="30"/>
          <w:szCs w:val="30"/>
        </w:rPr>
        <w:t xml:space="preserve">8. Network and Node Architecture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PADU network for Phase 1 (pilot corridor) operates with a federated validator set, transitioning to a fully permissionless validator set in Phase 2. This staged approach ensures stability during early operation while building toward full decentralization.</w:t>
      </w:r>
    </w:p>
    <w:p>
      <w:pPr>
        <w:pStyle w:val="Heading2"/>
        <w:spacing w:before="300" w:after="80"/>
      </w:pPr>
      <w:r>
        <w:rPr>
          <w:rFonts w:ascii="Arial" w:cs="Arial" w:eastAsia="Arial" w:hAnsi="Arial"/>
          <w:b/>
          <w:bCs/>
          <w:i w:val="false"/>
          <w:iCs w:val="false"/>
          <w:color w:val="1A4A7A"/>
          <w:sz w:val="25"/>
          <w:szCs w:val="25"/>
        </w:rPr>
        <w:t xml:space="preserve">8.1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Node Type</w:t>
            </w:r>
          </w:p>
        </w:tc>
        <w:tc>
          <w:tcPr>
            <w:tcW w:type="dxa" w:w="43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Function</w:t>
            </w:r>
          </w:p>
        </w:tc>
        <w:tc>
          <w:tcPr>
            <w:tcW w:type="dxa" w:w="3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Who Operates</w:t>
            </w:r>
          </w:p>
        </w:tc>
      </w:tr>
      <w:tr>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Validator Node</w:t>
            </w:r>
          </w:p>
        </w:tc>
        <w:tc>
          <w:tcPr>
            <w:tcW w:type="dxa" w:w="4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Produces and finalises blocks. Holds stake.</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Phase 1: founding council members. Phase 2: open staking.</w:t>
            </w:r>
          </w:p>
        </w:tc>
      </w:tr>
      <w:tr>
        <w:tc>
          <w:tcPr>
            <w:tcW w:type="dxa" w:w="2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Full Node</w:t>
            </w:r>
          </w:p>
        </w:tc>
        <w:tc>
          <w:tcPr>
            <w:tcW w:type="dxa" w:w="4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Holds full chain state. Validates all transactions. Serves RPC.</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Any participant. Required for KYC Floor Registry and Verifier Registry queries.</w:t>
            </w:r>
          </w:p>
        </w:tc>
      </w:tr>
      <w:tr>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Light Node</w:t>
            </w:r>
          </w:p>
        </w:tc>
        <w:tc>
          <w:tcPr>
            <w:tcW w:type="dxa" w:w="43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Holds block headers only. Relies on full nodes for state queries.</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Mobile wallet clients.</w:t>
            </w:r>
          </w:p>
        </w:tc>
      </w:tr>
      <w:tr>
        <w:tc>
          <w:tcPr>
            <w:tcW w:type="dxa" w:w="2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Oracle Node</w:t>
            </w:r>
          </w:p>
        </w:tc>
        <w:tc>
          <w:tcPr>
            <w:tcW w:type="dxa" w:w="43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Off-chain KYC verification. Issues ZK proofs. Accredited by Protocol Chamber.</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Approved KYC service providers.</w:t>
            </w:r>
          </w:p>
        </w:tc>
      </w:tr>
    </w:tbl>
    <w:p>
      <w:pPr>
        <w:pStyle w:val="Heading2"/>
        <w:spacing w:before="300" w:after="80"/>
      </w:pPr>
      <w:r>
        <w:rPr>
          <w:rFonts w:ascii="Arial" w:cs="Arial" w:eastAsia="Arial" w:hAnsi="Arial"/>
          <w:b/>
          <w:bCs/>
          <w:i w:val="false"/>
          <w:iCs w:val="false"/>
          <w:color w:val="1A4A7A"/>
          <w:sz w:val="25"/>
          <w:szCs w:val="25"/>
        </w:rPr>
        <w:t xml:space="preserve">8.2 RPC API — Required Endpoints</w:t>
      </w:r>
    </w:p>
    <w:p>
      <w:pPr>
        <w:spacing w:before="60" w:after="120"/>
        <w:jc w:val="both"/>
      </w:pPr>
      <w:r>
        <w:rPr>
          <w:rFonts w:ascii="Arial" w:cs="Arial" w:eastAsia="Arial" w:hAnsi="Arial"/>
          <w:b w:val="false"/>
          <w:bCs w:val="false"/>
          <w:i w:val="false"/>
          <w:iCs w:val="false"/>
          <w:color w:val="1A1A2E"/>
          <w:sz w:val="22"/>
          <w:szCs w:val="22"/>
        </w:rPr>
        <w:t xml:space="preserve">All full nodes must expose the following JSON-RPC endpoints for wallet and oracle compatibility:</w:t>
      </w:r>
    </w:p>
    <w:p>
      <w:pPr>
        <w:spacing w:before="0" w:after="60"/>
      </w:pP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Core RPC methods — JSON-RPC 2.0 over HTTPS and WSS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padu_getBalance(address, blockTag)              // returns PADU balance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padu_getNonce(address)                          // returns current nonce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padu_sendRawTransaction(signedTxHex)            // broadcast signed transaction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padu_getTransactionByHash(txHash)               // retrieve transaction details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padu_getTransactionReceipt(txHash)              // retrieve inclusion receipt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padu_getBlockByNumber(blockNumber, fullTx)      // retrieve block</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Fee estimation — txType must be specified: 'TRANSFER' | 'MINT' | 'REDEEM'</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padu_estimateFee(txObject, txType)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TRANSFER: always returns { fee: 0, breakdown: null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MINT:     returns { fee: 1.5%, breakdown: { ops: 0.5%, social: 0.5%, rem: 0.5% }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REDEEM:   returns { fee: 0.5%, breakdown: { remunerative: 0.5% }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padu_getKYCFloor()                              // convenience wrapper for registry query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padu_listAccreditedVerifiers()                  // convenience wrapper for registry query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padu_chainId()                                  // returns the PADU chain identifier</w:t>
            </w:r>
          </w:p>
        </w:tc>
      </w:tr>
    </w:tbl>
    <w:p>
      <w:pPr>
        <w:pStyle w:val="Heading1"/>
        <w:spacing w:before="480" w:after="120"/>
      </w:pPr>
      <w:r>
        <w:rPr>
          <w:rFonts w:ascii="Arial" w:cs="Arial" w:eastAsia="Arial" w:hAnsi="Arial"/>
          <w:b/>
          <w:bCs/>
          <w:i w:val="false"/>
          <w:iCs w:val="false"/>
          <w:color w:val="0D2137"/>
          <w:sz w:val="30"/>
          <w:szCs w:val="30"/>
        </w:rPr>
        <w:t xml:space="preserve">9. Error and Rejection Code Reference</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following error codes are returned by nodes when rejecting Transfer transactions, and by the gateway contracts when rejecting Mint or Redeem operations. Wallet clients must handle all codes with appropriate user-facing messages.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160"/>
        <w:gridCol w:w="1800"/>
      </w:tblGrid>
      <w:tr>
        <w:tc>
          <w:tcPr>
            <w:tcW w:type="dxa" w:w="2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Code</w:t>
            </w:r>
          </w:p>
        </w:tc>
        <w:tc>
          <w:tcPr>
            <w:tcW w:type="dxa" w:w="1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Applies to</w:t>
            </w:r>
          </w:p>
        </w:tc>
        <w:tc>
          <w:tcPr>
            <w:tcW w:type="dxa" w:w="31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Meaning</w:t>
            </w:r>
          </w:p>
        </w:tc>
        <w:tc>
          <w:tcPr>
            <w:tcW w:type="dxa" w:w="1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Client Action</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INVALID_SIGNATURE</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types</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Signature does not match sender address.</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Re-sign the transaction. Check key derivation.</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INVALID_NONCE</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Nonce is out of sequence.</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Refresh nonce from chain and re-build transaction.</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INSUFFICIENT_BALANCE</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types</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Sender balance too low.</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Display updated balance. Prompt user to reduce amount.</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UNEXPECTED_FEE_FIELD</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 transaction includes a fee field — malformed or potentially malicious payload.</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Do not retry. Log and flag for security review. Transfer fees do not exist.</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INVALID_FEE</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Mint / Redeem</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 arithmetic in a Mint or Redeem transaction does not match the expected rate.</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Recompute fee. Client-side bug if reached. Gateway contract enforces correct fee.</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INVALID_CHAIN_ID</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types</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Transaction targets wrong network.</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Check RPC endpoint. Confirm mainnet vs testnet.</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KYC_REQUIRED</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 value &gt;= KYC Floor but no proof attached.</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Initiate KYC oracle flow before retrying.</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KYC_PROOF_EXPIRED</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proof has passed its expiry timestamp.</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must re-verify with an accredited oracle.</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KYC_VERIFIER_NOT_ACCREDITED</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 issued by a non-accredited oracle.</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must re-verify with an accredited oracle.</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KYC_PROOF_INVALID</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ZK proof did not verify on-chain.</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Oracle-level error. Contact oracle provider.</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KYC_TIER_INSUFFICIENT</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 tier is too low for this transfer value.</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must complete higher-tier KYC verification.</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UNKNOWN_EXTENSION_VERSION</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Transfer</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Extension payload version not recognised.</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Update wallet client to latest version.</w:t>
            </w:r>
          </w:p>
        </w:tc>
      </w:tr>
      <w:tr>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ORACLE_RATE_STALE</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Mint / Redeem</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Price Oracle rate is outdated — gateway cannot proceed.</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Wait for oracle to refresh. Retry after a few minutes.</w:t>
            </w:r>
          </w:p>
        </w:tc>
      </w:tr>
      <w:tr>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SLIPPAGE_EXCEEDED</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Mint / Redeem</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Exchange rate moved beyond user's accepted slippage.</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Increase slippage tolerance or retry when rate stabilises.</w:t>
            </w:r>
          </w:p>
        </w:tc>
      </w:tr>
    </w:tbl>
    <w:p>
      <w:pPr>
        <w:pStyle w:val="Heading1"/>
        <w:spacing w:before="480" w:after="120"/>
      </w:pPr>
      <w:r>
        <w:rPr>
          <w:rFonts w:ascii="Arial" w:cs="Arial" w:eastAsia="Arial" w:hAnsi="Arial"/>
          <w:b/>
          <w:bCs/>
          <w:i w:val="false"/>
          <w:iCs w:val="false"/>
          <w:color w:val="0D2137"/>
          <w:sz w:val="30"/>
          <w:szCs w:val="30"/>
        </w:rPr>
        <w:t xml:space="preserve">10. Open Items and Dependencies on Protocol Chamber</w:t>
      </w:r>
    </w:p>
    <w:p>
      <w:pPr>
        <w:pBdr>
          <w:bottom w:val="single" w:color="C8922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following parameters and decisions are explicitly deferred to the Protocol Chamber and must be resolved before testnet launch. This list is exhaustive for Module 01.</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760"/>
        <w:gridCol w:w="3200"/>
      </w:tblGrid>
      <w:tr>
        <w:tc>
          <w:tcPr>
            <w:tcW w:type="dxa" w:w="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t>
            </w:r>
          </w:p>
        </w:tc>
        <w:tc>
          <w:tcPr>
            <w:tcW w:type="dxa" w:w="3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Parameter</w:t>
            </w:r>
          </w:p>
        </w:tc>
        <w:tc>
          <w:tcPr>
            <w:tcW w:type="dxa" w:w="27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Current Placeholder</w:t>
            </w:r>
          </w:p>
        </w:tc>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Required Action</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Floor (Tier 1 threshold)</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500 PADU (~500 EUR)</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vote. Must precede testnet.</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2</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Tier 2 threshold multiplier</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10x Tier 1 Floor</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vote.</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Proof validity period</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12 months</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vote.</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4</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PADU BIP-44 coin type</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7777 (placeholder)</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Register with BIP-44 repository.</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PADU Chain ID</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TBD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Assign and register to prevent replay conflicts.</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Initial accredited oracle set</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None confirmed</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to issue accreditation RFP.</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7</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Groth16 circuit parameter ceremony</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Not started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Requires trusted setup ceremony (Phase 1 priority).</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8</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Pilot corridor RPC node operators</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TBD</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Identify 5–7 founding full node operators.</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9</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Validator set composition (Phase 1)</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TBD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founding member selection.</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disqualification list sources</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TBD</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to define AML/sanctions list feeds.</w:t>
            </w:r>
          </w:p>
        </w:tc>
      </w:tr>
      <w:tr>
        <w:tc>
          <w:tcPr>
            <w:tcW w:type="dxa" w:w="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11</w:t>
            </w:r>
          </w:p>
        </w:tc>
        <w:tc>
          <w:tcPr>
            <w:tcW w:type="dxa" w:w="3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Mint fee rate (basis points)</w:t>
            </w:r>
          </w:p>
        </w:tc>
        <w:tc>
          <w:tcPr>
            <w:tcW w:type="dxa" w:w="2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150 bps (1.5%)</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vote before mainnet.</w:t>
            </w:r>
          </w:p>
        </w:tc>
      </w:tr>
      <w:tr>
        <w:tc>
          <w:tcPr>
            <w:tcW w:type="dxa" w:w="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12</w:t>
            </w:r>
          </w:p>
        </w:tc>
        <w:tc>
          <w:tcPr>
            <w:tcW w:type="dxa" w:w="3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Redeem fee rate (basis points)</w:t>
            </w:r>
          </w:p>
        </w:tc>
        <w:tc>
          <w:tcPr>
            <w:tcW w:type="dxa" w:w="2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 bps (0.5%)</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 vote before mainnet.</w:t>
            </w:r>
          </w:p>
        </w:tc>
      </w:tr>
    </w:tbl>
    <w:p>
      <w:pPr>
        <w:spacing w:before="0" w:after="300"/>
      </w:pPr>
    </w:p>
    <w:p>
      <w:pPr>
        <w:pBdr>
          <w:bottom w:val="single" w:color="C8922A" w:sz="8" w:space="1"/>
        </w:pBdr>
        <w:spacing w:before="0" w:after="160"/>
      </w:pPr>
    </w:p>
    <w:p>
      <w:pPr>
        <w:spacing w:before="60" w:after="120"/>
        <w:jc w:val="both"/>
      </w:pPr>
      <w:r>
        <w:rPr>
          <w:rFonts w:ascii="Arial" w:cs="Arial" w:eastAsia="Arial" w:hAnsi="Arial"/>
          <w:b w:val="false"/>
          <w:bCs w:val="false"/>
          <w:i/>
          <w:iCs/>
          <w:color w:val="888888"/>
          <w:sz w:val="22"/>
          <w:szCs w:val="22"/>
        </w:rPr>
        <w:t xml:space="preserve">End of PADU-TECH-01 v0.2. Next document: PADU-TECH-02 — Protocol Chamber Architecture and Smart Contract Specifications.</w:t>
      </w:r>
    </w:p>
    <w:p>
      <w:pPr>
        <w:spacing w:before="60" w:after="120"/>
        <w:jc w:val="both"/>
      </w:pPr>
      <w:r>
        <w:rPr>
          <w:rFonts w:ascii="Arial" w:cs="Arial" w:eastAsia="Arial" w:hAnsi="Arial"/>
          <w:b w:val="false"/>
          <w:bCs w:val="false"/>
          <w:i/>
          <w:iCs/>
          <w:color w:val="888888"/>
          <w:sz w:val="22"/>
          <w:szCs w:val="22"/>
        </w:rPr>
        <w:t xml:space="preserve">Document maintained by the PADU Core Engineering Working Group. v0.2 incorporates corrections from PADU-TECH-01-ERR-001. The errata document remains in the archive for traceability.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F" w:sz="4" w:space="1"/>
      </w:pBdr>
      <w:spacing w:before="80"/>
      <w:jc w:val="center"/>
    </w:pPr>
    <w:r>
      <w:rPr>
        <w:rFonts w:ascii="Arial" w:cs="Arial" w:eastAsia="Arial" w:hAnsi="Arial"/>
        <w:b w:val="false"/>
        <w:bCs w:val="false"/>
        <w:i w:val="false"/>
        <w:iCs w:val="false"/>
        <w:color w:val="888888"/>
        <w:sz w:val="16"/>
        <w:szCs w:val="16"/>
      </w:rPr>
      <w:t xml:space="preserve">PADU-TECH-01 v0.2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F" w:sz="4" w:space="1"/>
      </w:pBdr>
      <w:spacing w:before="0" w:after="80"/>
    </w:pPr>
    <w:r>
      <w:rPr>
        <w:rFonts w:ascii="Arial" w:cs="Arial" w:eastAsia="Arial" w:hAnsi="Arial"/>
        <w:b w:val="false"/>
        <w:bCs w:val="false"/>
        <w:i w:val="false"/>
        <w:iCs w:val="false"/>
        <w:color w:val="888888"/>
        <w:sz w:val="16"/>
        <w:szCs w:val="16"/>
      </w:rPr>
      <w:t xml:space="preserve">PADU — Technical Specification v0.2  |  </w:t>
    </w:r>
    <w:r>
      <w:rPr>
        <w:rFonts w:ascii="Arial" w:cs="Arial" w:eastAsia="Arial" w:hAnsi="Arial"/>
        <w:b w:val="false"/>
        <w:bCs w:val="false"/>
        <w:i/>
        <w:iCs/>
        <w:color w:val="888888"/>
        <w:sz w:val="16"/>
        <w:szCs w:val="16"/>
      </w:rPr>
      <w:t xml:space="preserve">Module 01 — Wallet Architecture &amp; Tiered Identity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D2137"/>
      <w:sz w:val="30"/>
      <w:szCs w:val="30"/>
    </w:rPr>
  </w:style>
  <w:style w:type="paragraph" w:styleId="Heading2">
    <w:name w:val="Heading 2"/>
    <w:basedOn w:val="Normal"/>
    <w:next w:val="Normal"/>
    <w:qFormat/>
    <w:pPr>
      <w:spacing w:before="300" w:after="80"/>
      <w:outlineLvl w:val="1"/>
    </w:pPr>
    <w:rPr>
      <w:rFonts w:ascii="Arial" w:cs="Arial" w:eastAsia="Arial" w:hAnsi="Arial"/>
      <w:b/>
      <w:bCs/>
      <w:color w:val="1A4A7A"/>
      <w:sz w:val="25"/>
      <w:szCs w:val="25"/>
    </w:rPr>
  </w:style>
  <w:style w:type="paragraph" w:styleId="Heading3">
    <w:name w:val="Heading 3"/>
    <w:basedOn w:val="Normal"/>
    <w:next w:val="Normal"/>
    <w:qFormat/>
    <w:pPr>
      <w:spacing w:before="220" w:after="6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2026-03-13T04:22:55.813Z</dcterms:created>
  <dcterms:modified xsi:type="dcterms:W3CDTF">2026-03-13T04:22:55.814Z</dcterms:modified>
</cp:coreProperties>
</file>

<file path=docProps/custom.xml><?xml version="1.0" encoding="utf-8"?>
<Properties xmlns="http://schemas.openxmlformats.org/officeDocument/2006/custom-properties" xmlns:vt="http://schemas.openxmlformats.org/officeDocument/2006/docPropsVTypes"/>
</file>