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922A" w:sz="24" w:space="1"/>
        </w:pBdr>
        <w:spacing w:before="200" w:after="0"/>
      </w:pPr>
    </w:p>
    <w:p>
      <w:pPr>
        <w:spacing w:before="0" w:after="240"/>
      </w:pPr>
    </w:p>
    <w:p>
      <w:pPr>
        <w:jc w:val="center"/>
      </w:pPr>
      <w:r>
        <w:rPr>
          <w:rFonts w:ascii="Arial" w:cs="Arial" w:eastAsia="Arial" w:hAnsi="Arial"/>
          <w:b/>
          <w:bCs/>
          <w:i w:val="false"/>
          <w:iCs w:val="false"/>
          <w:color w:val="C8922A"/>
          <w:sz w:val="20"/>
          <w:szCs w:val="20"/>
        </w:rPr>
        <w:t xml:space="preserve">TECHNICAL SPECIFICATION</w:t>
      </w:r>
    </w:p>
    <w:p>
      <w:pPr>
        <w:spacing w:before="0" w:after="60"/>
      </w:pPr>
    </w:p>
    <w:p>
      <w:pPr>
        <w:jc w:val="center"/>
      </w:pPr>
      <w:r>
        <w:rPr>
          <w:rFonts w:ascii="Arial" w:cs="Arial" w:eastAsia="Arial" w:hAnsi="Arial"/>
          <w:b/>
          <w:bCs/>
          <w:i w:val="false"/>
          <w:iCs w:val="false"/>
          <w:color w:val="3A2800"/>
          <w:sz w:val="44"/>
          <w:szCs w:val="44"/>
        </w:rPr>
        <w:t xml:space="preserve">Pan-African Digital Unit (PADU)</w:t>
      </w:r>
    </w:p>
    <w:p>
      <w:pPr>
        <w:spacing w:before="0" w:after="60"/>
      </w:pPr>
    </w:p>
    <w:p>
      <w:pPr>
        <w:jc w:val="center"/>
      </w:pPr>
      <w:r>
        <w:rPr>
          <w:rFonts w:ascii="Arial" w:cs="Arial" w:eastAsia="Arial" w:hAnsi="Arial"/>
          <w:b/>
          <w:bCs/>
          <w:i w:val="false"/>
          <w:iCs w:val="false"/>
          <w:color w:val="7A5500"/>
          <w:sz w:val="28"/>
          <w:szCs w:val="28"/>
        </w:rPr>
        <w:t xml:space="preserve">Module 03-B — Remunerative Reserve</w:t>
      </w:r>
    </w:p>
    <w:p>
      <w:pPr>
        <w:spacing w:before="0" w:after="30"/>
      </w:pPr>
    </w:p>
    <w:p>
      <w:pPr>
        <w:jc w:val="center"/>
      </w:pPr>
      <w:r>
        <w:rPr>
          <w:rFonts w:ascii="Arial" w:cs="Arial" w:eastAsia="Arial" w:hAnsi="Arial"/>
          <w:b w:val="false"/>
          <w:bCs w:val="false"/>
          <w:i/>
          <w:iCs/>
          <w:color w:val="1A5C5C"/>
          <w:sz w:val="22"/>
          <w:szCs w:val="22"/>
        </w:rPr>
        <w:t xml:space="preserve">Mint &amp; Redeem Gateways, Solidarity Dividend Engine &amp; Contribution Certificate System</w:t>
      </w:r>
    </w:p>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FFFFFF" w:sz="1"/>
              <w:left w:val="single" w:color="FFFFFF" w:sz="1"/>
              <w:bottom w:val="single" w:color="FFFFFF" w:sz="1"/>
              <w:right w:val="single" w:color="FFFFFF" w:sz="1"/>
            </w:tcBorders>
            <w:shd w:fill="0D1F35"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Document ID</w:t>
            </w:r>
          </w:p>
        </w:tc>
        <w:tc>
          <w:tcPr>
            <w:tcW w:type="dxa" w:w="7360"/>
            <w:tcBorders>
              <w:top w:val="single" w:color="FFFFFF" w:sz="1"/>
              <w:left w:val="single" w:color="FFFFFF" w:sz="1"/>
              <w:bottom w:val="single" w:color="FFFFFF" w:sz="1"/>
              <w:right w:val="single" w:color="FFFFFF" w:sz="1"/>
            </w:tcBorders>
            <w:shd w:fill="F6F6F0" w:val="clear"/>
            <w:tcMar>
              <w:top w:type="dxa" w:w="80"/>
              <w:left w:type="dxa" w:w="140"/>
              <w:bottom w:type="dxa" w:w="80"/>
              <w:right w:type="dxa" w:w="140"/>
            </w:tcMar>
          </w:tcPr>
          <w:p>
            <w:r>
              <w:rPr>
                <w:rFonts w:ascii="Arial" w:cs="Arial" w:eastAsia="Arial" w:hAnsi="Arial"/>
                <w:b w:val="false"/>
                <w:bCs w:val="false"/>
                <w:i w:val="false"/>
                <w:iCs w:val="false"/>
                <w:color w:val="1A1A0A"/>
                <w:sz w:val="19"/>
                <w:szCs w:val="19"/>
              </w:rPr>
              <w:t xml:space="preserve">PADU-TECH-03B</w:t>
            </w:r>
          </w:p>
        </w:tc>
      </w:tr>
      <w:tr>
        <w:tc>
          <w:tcPr>
            <w:tcW w:type="dxa" w:w="2000"/>
            <w:tcBorders>
              <w:top w:val="single" w:color="FFFFFF" w:sz="1"/>
              <w:left w:val="single" w:color="FFFFFF" w:sz="1"/>
              <w:bottom w:val="single" w:color="FFFFFF" w:sz="1"/>
              <w:right w:val="single" w:color="FFFFFF" w:sz="1"/>
            </w:tcBorders>
            <w:shd w:fill="0D1F35"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Version</w:t>
            </w:r>
          </w:p>
        </w:tc>
        <w:tc>
          <w:tcPr>
            <w:tcW w:type="dxa" w:w="7360"/>
            <w:tcBorders>
              <w:top w:val="single" w:color="FFFFFF" w:sz="1"/>
              <w:left w:val="single" w:color="FFFFFF" w:sz="1"/>
              <w:bottom w:val="single" w:color="FFFFFF" w:sz="1"/>
              <w:right w:val="single" w:color="FFFFF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A1A0A"/>
                <w:sz w:val="19"/>
                <w:szCs w:val="19"/>
              </w:rPr>
              <w:t xml:space="preserve">0.1 — Initial Draft</w:t>
            </w:r>
          </w:p>
        </w:tc>
      </w:tr>
      <w:tr>
        <w:tc>
          <w:tcPr>
            <w:tcW w:type="dxa" w:w="2000"/>
            <w:tcBorders>
              <w:top w:val="single" w:color="FFFFFF" w:sz="1"/>
              <w:left w:val="single" w:color="FFFFFF" w:sz="1"/>
              <w:bottom w:val="single" w:color="FFFFFF" w:sz="1"/>
              <w:right w:val="single" w:color="FFFFFF" w:sz="1"/>
            </w:tcBorders>
            <w:shd w:fill="0D1F35"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Status</w:t>
            </w:r>
          </w:p>
        </w:tc>
        <w:tc>
          <w:tcPr>
            <w:tcW w:type="dxa" w:w="7360"/>
            <w:tcBorders>
              <w:top w:val="single" w:color="FFFFFF" w:sz="1"/>
              <w:left w:val="single" w:color="FFFFFF" w:sz="1"/>
              <w:bottom w:val="single" w:color="FFFFFF" w:sz="1"/>
              <w:right w:val="single" w:color="FFFFFF" w:sz="1"/>
            </w:tcBorders>
            <w:shd w:fill="F6F6F0" w:val="clear"/>
            <w:tcMar>
              <w:top w:type="dxa" w:w="80"/>
              <w:left w:type="dxa" w:w="140"/>
              <w:bottom w:type="dxa" w:w="80"/>
              <w:right w:type="dxa" w:w="140"/>
            </w:tcMar>
          </w:tcPr>
          <w:p>
            <w:r>
              <w:rPr>
                <w:rFonts w:ascii="Arial" w:cs="Arial" w:eastAsia="Arial" w:hAnsi="Arial"/>
                <w:b w:val="false"/>
                <w:bCs w:val="false"/>
                <w:i w:val="false"/>
                <w:iCs w:val="false"/>
                <w:color w:val="1A1A0A"/>
                <w:sz w:val="19"/>
                <w:szCs w:val="19"/>
              </w:rPr>
              <w:t xml:space="preserve">For Internal Review — Not for Public Distribution</w:t>
            </w:r>
          </w:p>
        </w:tc>
      </w:tr>
      <w:tr>
        <w:tc>
          <w:tcPr>
            <w:tcW w:type="dxa" w:w="2000"/>
            <w:tcBorders>
              <w:top w:val="single" w:color="FFFFFF" w:sz="1"/>
              <w:left w:val="single" w:color="FFFFFF" w:sz="1"/>
              <w:bottom w:val="single" w:color="FFFFFF" w:sz="1"/>
              <w:right w:val="single" w:color="FFFFFF" w:sz="1"/>
            </w:tcBorders>
            <w:shd w:fill="0D1F35"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Audience</w:t>
            </w:r>
          </w:p>
        </w:tc>
        <w:tc>
          <w:tcPr>
            <w:tcW w:type="dxa" w:w="7360"/>
            <w:tcBorders>
              <w:top w:val="single" w:color="FFFFFF" w:sz="1"/>
              <w:left w:val="single" w:color="FFFFFF" w:sz="1"/>
              <w:bottom w:val="single" w:color="FFFFFF" w:sz="1"/>
              <w:right w:val="single" w:color="FFFFF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A1A0A"/>
                <w:sz w:val="19"/>
                <w:szCs w:val="19"/>
              </w:rPr>
              <w:t xml:space="preserve">Protocol Engineers, Smart Contract Developers, Financial Systems Architects</w:t>
            </w:r>
          </w:p>
        </w:tc>
      </w:tr>
      <w:tr>
        <w:tc>
          <w:tcPr>
            <w:tcW w:type="dxa" w:w="2000"/>
            <w:tcBorders>
              <w:top w:val="single" w:color="FFFFFF" w:sz="1"/>
              <w:left w:val="single" w:color="FFFFFF" w:sz="1"/>
              <w:bottom w:val="single" w:color="FFFFFF" w:sz="1"/>
              <w:right w:val="single" w:color="FFFFFF" w:sz="1"/>
            </w:tcBorders>
            <w:shd w:fill="0D1F35"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Depends on</w:t>
            </w:r>
          </w:p>
        </w:tc>
        <w:tc>
          <w:tcPr>
            <w:tcW w:type="dxa" w:w="7360"/>
            <w:tcBorders>
              <w:top w:val="single" w:color="FFFFFF" w:sz="1"/>
              <w:left w:val="single" w:color="FFFFFF" w:sz="1"/>
              <w:bottom w:val="single" w:color="FFFFFF" w:sz="1"/>
              <w:right w:val="single" w:color="FFFFFF" w:sz="1"/>
            </w:tcBorders>
            <w:shd w:fill="F6F6F0" w:val="clear"/>
            <w:tcMar>
              <w:top w:type="dxa" w:w="80"/>
              <w:left w:type="dxa" w:w="140"/>
              <w:bottom w:type="dxa" w:w="80"/>
              <w:right w:type="dxa" w:w="140"/>
            </w:tcMar>
          </w:tcPr>
          <w:p>
            <w:r>
              <w:rPr>
                <w:rFonts w:ascii="Arial" w:cs="Arial" w:eastAsia="Arial" w:hAnsi="Arial"/>
                <w:b w:val="false"/>
                <w:bCs w:val="false"/>
                <w:i w:val="false"/>
                <w:iCs w:val="false"/>
                <w:color w:val="1A1A0A"/>
                <w:sz w:val="19"/>
                <w:szCs w:val="19"/>
              </w:rPr>
              <w:t xml:space="preserve">PADU-TECH-01-ERR-001 (fee architecture correction — must be read first), PADU-TECH-02 (Protocol Chamber), PADU-TECH-03A (Social Fund)</w:t>
            </w:r>
          </w:p>
        </w:tc>
      </w:tr>
      <w:tr>
        <w:tc>
          <w:tcPr>
            <w:tcW w:type="dxa" w:w="2000"/>
            <w:tcBorders>
              <w:top w:val="single" w:color="FFFFFF" w:sz="1"/>
              <w:left w:val="single" w:color="FFFFFF" w:sz="1"/>
              <w:bottom w:val="single" w:color="FFFFFF" w:sz="1"/>
              <w:right w:val="single" w:color="FFFFFF" w:sz="1"/>
            </w:tcBorders>
            <w:shd w:fill="0D1F35"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Scope</w:t>
            </w:r>
          </w:p>
        </w:tc>
        <w:tc>
          <w:tcPr>
            <w:tcW w:type="dxa" w:w="7360"/>
            <w:tcBorders>
              <w:top w:val="single" w:color="FFFFFF" w:sz="1"/>
              <w:left w:val="single" w:color="FFFFFF" w:sz="1"/>
              <w:bottom w:val="single" w:color="FFFFFF" w:sz="1"/>
              <w:right w:val="single" w:color="FFFFF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A1A0A"/>
                <w:sz w:val="19"/>
                <w:szCs w:val="19"/>
              </w:rPr>
              <w:t xml:space="preserve">Mint Gateway, Redeem Gateway, Remunerative Reserve Vault, Contribution Certificate NFT, Solidarity Dividend distribution engine, Price Oracle interface.</w:t>
            </w:r>
          </w:p>
        </w:tc>
      </w:tr>
      <w:tr>
        <w:tc>
          <w:tcPr>
            <w:tcW w:type="dxa" w:w="2000"/>
            <w:tcBorders>
              <w:top w:val="single" w:color="FFFFFF" w:sz="1"/>
              <w:left w:val="single" w:color="FFFFFF" w:sz="1"/>
              <w:bottom w:val="single" w:color="FFFFFF" w:sz="1"/>
              <w:right w:val="single" w:color="FFFFFF" w:sz="1"/>
            </w:tcBorders>
            <w:shd w:fill="0D1F35"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Key parameters</w:t>
            </w:r>
          </w:p>
        </w:tc>
        <w:tc>
          <w:tcPr>
            <w:tcW w:type="dxa" w:w="7360"/>
            <w:tcBorders>
              <w:top w:val="single" w:color="FFFFFF" w:sz="1"/>
              <w:left w:val="single" w:color="FFFFFF" w:sz="1"/>
              <w:bottom w:val="single" w:color="FFFFFF" w:sz="1"/>
              <w:right w:val="single" w:color="FFFFFF" w:sz="1"/>
            </w:tcBorders>
            <w:shd w:fill="F6F6F0" w:val="clear"/>
            <w:tcMar>
              <w:top w:type="dxa" w:w="80"/>
              <w:left w:type="dxa" w:w="140"/>
              <w:bottom w:type="dxa" w:w="80"/>
              <w:right w:type="dxa" w:w="140"/>
            </w:tcMar>
          </w:tcPr>
          <w:p>
            <w:r>
              <w:rPr>
                <w:rFonts w:ascii="Arial" w:cs="Arial" w:eastAsia="Arial" w:hAnsi="Arial"/>
                <w:b w:val="false"/>
                <w:bCs w:val="false"/>
                <w:i w:val="false"/>
                <w:iCs w:val="false"/>
                <w:color w:val="1A1A0A"/>
                <w:sz w:val="19"/>
                <w:szCs w:val="19"/>
              </w:rPr>
              <w:t xml:space="preserve">Mint fee: 1.5% (0.5% ops / 0.5% social / 0.5% remunerative). Redeem fee: 0.5% (100% remunerative). Transfer fee: 0% (hardcoded, not governable). Dividend vesting: 5 years minimum.</w:t>
            </w:r>
          </w:p>
        </w:tc>
      </w:tr>
    </w:tbl>
    <w:p>
      <w:pPr>
        <w:spacing w:before="0" w:after="300"/>
      </w:pPr>
    </w:p>
    <w:p>
      <w:pPr>
        <w:pBdr>
          <w:bottom w:val="single" w:color="C8922A" w:sz="24" w:space="1"/>
        </w:pBdr>
        <w:spacing w:before="0" w:after="0"/>
      </w:pPr>
    </w:p>
    <w:p>
      <w:pPr>
        <w:pStyle w:val="Heading1"/>
        <w:spacing w:before="520" w:after="120"/>
      </w:pPr>
      <w:r>
        <w:rPr>
          <w:rFonts w:ascii="Arial" w:cs="Arial" w:eastAsia="Arial" w:hAnsi="Arial"/>
          <w:b/>
          <w:bCs/>
          <w:i w:val="false"/>
          <w:iCs w:val="false"/>
          <w:color w:val="3A2800"/>
          <w:sz w:val="30"/>
          <w:szCs w:val="30"/>
        </w:rPr>
        <w:t xml:space="preserve">0. System Overview and Economic Model</w:t>
      </w:r>
    </w:p>
    <w:p>
      <w:pPr>
        <w:pBdr>
          <w:bottom w:val="single" w:color="C8922A" w:sz="8" w:space="1"/>
        </w:pBdr>
        <w:spacing w:before="0" w:after="160"/>
      </w:pPr>
    </w:p>
    <w:p>
      <w:pPr>
        <w:spacing w:before="60" w:after="120"/>
        <w:jc w:val="both"/>
      </w:pPr>
      <w:r>
        <w:rPr>
          <w:rFonts w:ascii="Arial" w:cs="Arial" w:eastAsia="Arial" w:hAnsi="Arial"/>
          <w:b w:val="false"/>
          <w:bCs w:val="false"/>
          <w:i w:val="false"/>
          <w:iCs w:val="false"/>
          <w:color w:val="1A1A0A"/>
          <w:sz w:val="22"/>
          <w:szCs w:val="22"/>
        </w:rPr>
        <w:t xml:space="preserve">The Remunerative Reserve is the financial engine that converts early ecosystem participation into long-term reward. It accumulates from two distinct sources: 0.5% of every Mint operation (entry into the PADU ecosystem) and 0.5% of every Redeem operation (exit from the PADU ecosystem). It distributes its accumulated balance to Contribution Certificate holders on a defined schedule — the Solidarity Dividend.</w:t>
      </w:r>
    </w:p>
    <w:p>
      <w:pPr>
        <w:spacing w:before="60" w:after="120"/>
        <w:jc w:val="both"/>
      </w:pPr>
      <w:r>
        <w:rPr>
          <w:rFonts w:ascii="Arial" w:cs="Arial" w:eastAsia="Arial" w:hAnsi="Arial"/>
          <w:b w:val="false"/>
          <w:bCs w:val="false"/>
          <w:i w:val="false"/>
          <w:iCs w:val="false"/>
          <w:color w:val="1A1A0A"/>
          <w:sz w:val="22"/>
          <w:szCs w:val="22"/>
        </w:rPr>
        <w:t xml:space="preserve">This module also specifies the two gateway contracts that are the sole authorised entry and exit points for the PADU ecosystem. Every unit of PADU in existence was minted by the Mint Gateway. Every unit converted back to fiat passes through the Redeem Gateway. There are no other paths.</w:t>
      </w:r>
    </w:p>
    <w:p>
      <w:pPr>
        <w:pStyle w:val="Heading2"/>
        <w:spacing w:before="320" w:after="80"/>
      </w:pPr>
      <w:r>
        <w:rPr>
          <w:rFonts w:ascii="Arial" w:cs="Arial" w:eastAsia="Arial" w:hAnsi="Arial"/>
          <w:b/>
          <w:bCs/>
          <w:i w:val="false"/>
          <w:iCs w:val="false"/>
          <w:color w:val="7A5500"/>
          <w:sz w:val="25"/>
          <w:szCs w:val="25"/>
        </w:rPr>
        <w:t xml:space="preserve">0.1 Complete Fee Flow Diagram</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3360"/>
        <w:gridCol w:w="2800"/>
      </w:tblGrid>
      <w:tr>
        <w:tc>
          <w:tcPr>
            <w:tcW w:type="dxa" w:w="2200"/>
            <w:tcBorders>
              <w:top w:val="single" w:color="C8C4B0" w:sz="1"/>
              <w:left w:val="single" w:color="C8C4B0" w:sz="1"/>
              <w:bottom w:val="single" w:color="C8C4B0" w:sz="1"/>
              <w:right w:val="single" w:color="C8C4B0" w:sz="1"/>
            </w:tcBorders>
            <w:shd w:fill="0D1F35"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Event</w:t>
            </w:r>
          </w:p>
        </w:tc>
        <w:tc>
          <w:tcPr>
            <w:tcW w:type="dxa" w:w="1800"/>
            <w:tcBorders>
              <w:top w:val="single" w:color="C8C4B0" w:sz="1"/>
              <w:left w:val="single" w:color="C8C4B0" w:sz="1"/>
              <w:bottom w:val="single" w:color="C8C4B0" w:sz="1"/>
              <w:right w:val="single" w:color="C8C4B0" w:sz="1"/>
            </w:tcBorders>
            <w:shd w:fill="0D1F35"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Gross amount</w:t>
            </w:r>
          </w:p>
        </w:tc>
        <w:tc>
          <w:tcPr>
            <w:tcW w:type="dxa" w:w="1200"/>
            <w:tcBorders>
              <w:top w:val="single" w:color="C8C4B0" w:sz="1"/>
              <w:left w:val="single" w:color="C8C4B0" w:sz="1"/>
              <w:bottom w:val="single" w:color="C8C4B0" w:sz="1"/>
              <w:right w:val="single" w:color="C8C4B0" w:sz="1"/>
            </w:tcBorders>
            <w:shd w:fill="0D1F35"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Fee</w:t>
            </w:r>
          </w:p>
        </w:tc>
        <w:tc>
          <w:tcPr>
            <w:tcW w:type="dxa" w:w="3360"/>
            <w:tcBorders>
              <w:top w:val="single" w:color="C8C4B0" w:sz="1"/>
              <w:left w:val="single" w:color="C8C4B0" w:sz="1"/>
              <w:bottom w:val="single" w:color="C8C4B0" w:sz="1"/>
              <w:right w:val="single" w:color="C8C4B0" w:sz="1"/>
            </w:tcBorders>
            <w:shd w:fill="0D1F35"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Fee routing</w:t>
            </w:r>
          </w:p>
        </w:tc>
        <w:tc>
          <w:tcPr>
            <w:tcW w:type="dxa" w:w="2800"/>
            <w:tcBorders>
              <w:top w:val="single" w:color="C8C4B0" w:sz="1"/>
              <w:left w:val="single" w:color="C8C4B0" w:sz="1"/>
              <w:bottom w:val="single" w:color="C8C4B0" w:sz="1"/>
              <w:right w:val="single" w:color="C8C4B0" w:sz="1"/>
            </w:tcBorders>
            <w:shd w:fill="0D1F35"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Net to user / ecosystem</w:t>
            </w:r>
          </w:p>
        </w:tc>
      </w:tr>
      <w:tr>
        <w:tc>
          <w:tcPr>
            <w:tcW w:type="dxa" w:w="22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User MINTS PADU</w:t>
            </w:r>
          </w:p>
        </w:tc>
        <w:tc>
          <w:tcPr>
            <w:tcW w:type="dxa" w:w="18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100 EUR deposited</w:t>
            </w:r>
          </w:p>
        </w:tc>
        <w:tc>
          <w:tcPr>
            <w:tcW w:type="dxa" w:w="12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1.5 EUR</w:t>
            </w:r>
          </w:p>
        </w:tc>
        <w:tc>
          <w:tcPr>
            <w:tcW w:type="dxa" w:w="336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0.5 EUR → Operational Reserve  |  0.5 EUR → Social Fund Vault  |  0.5 EUR → Remunerative Reserve</w:t>
            </w:r>
          </w:p>
        </w:tc>
        <w:tc>
          <w:tcPr>
            <w:tcW w:type="dxa" w:w="28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98.5 PADU credited to user wallet</w:t>
            </w:r>
          </w:p>
        </w:tc>
      </w:tr>
      <w:tr>
        <w:tc>
          <w:tcPr>
            <w:tcW w:type="dxa" w:w="22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User TRANSFERS PADU</w:t>
            </w:r>
          </w:p>
        </w:tc>
        <w:tc>
          <w:tcPr>
            <w:tcW w:type="dxa" w:w="18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100 PADU sent</w:t>
            </w:r>
          </w:p>
        </w:tc>
        <w:tc>
          <w:tcPr>
            <w:tcW w:type="dxa" w:w="12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0 EUR</w:t>
            </w:r>
          </w:p>
        </w:tc>
        <w:tc>
          <w:tcPr>
            <w:tcW w:type="dxa" w:w="336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None</w:t>
            </w:r>
          </w:p>
        </w:tc>
        <w:tc>
          <w:tcPr>
            <w:tcW w:type="dxa" w:w="28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100 PADU credited to recipient. Exactly.</w:t>
            </w:r>
          </w:p>
        </w:tc>
      </w:tr>
      <w:tr>
        <w:tc>
          <w:tcPr>
            <w:tcW w:type="dxa" w:w="22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User REDEEMS PADU</w:t>
            </w:r>
          </w:p>
        </w:tc>
        <w:tc>
          <w:tcPr>
            <w:tcW w:type="dxa" w:w="18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100 PADU submitted</w:t>
            </w:r>
          </w:p>
        </w:tc>
        <w:tc>
          <w:tcPr>
            <w:tcW w:type="dxa" w:w="12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0.5 PADU</w:t>
            </w:r>
          </w:p>
        </w:tc>
        <w:tc>
          <w:tcPr>
            <w:tcW w:type="dxa" w:w="336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0.5 PADU → Remunerative Reserve (100% of fee)</w:t>
            </w:r>
          </w:p>
        </w:tc>
        <w:tc>
          <w:tcPr>
            <w:tcW w:type="dxa" w:w="28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99.5 PADU equivalent paid out in fiat</w:t>
            </w:r>
          </w:p>
        </w:tc>
      </w:tr>
      <w:tr>
        <w:tc>
          <w:tcPr>
            <w:tcW w:type="dxa" w:w="22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DIVIDEND paid out</w:t>
            </w:r>
          </w:p>
        </w:tc>
        <w:tc>
          <w:tcPr>
            <w:tcW w:type="dxa" w:w="18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Reserve balance</w:t>
            </w:r>
          </w:p>
        </w:tc>
        <w:tc>
          <w:tcPr>
            <w:tcW w:type="dxa" w:w="12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n/a</w:t>
            </w:r>
          </w:p>
        </w:tc>
        <w:tc>
          <w:tcPr>
            <w:tcW w:type="dxa" w:w="336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Reserve → Certificate holders proportionally</w:t>
            </w:r>
          </w:p>
        </w:tc>
        <w:tc>
          <w:tcPr>
            <w:tcW w:type="dxa" w:w="28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Holders receive PADU proportional to their Contribution Weight</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5A00" w:sz="1"/>
              <w:left w:val="single" w:color="5A5A00" w:sz="20"/>
              <w:bottom w:val="single" w:color="5A5A00" w:sz="1"/>
              <w:right w:val="single" w:color="C8C4B0" w:sz="1"/>
            </w:tcBorders>
            <w:shd w:fill="FFFFF0" w:val="clear"/>
            <w:tcMar>
              <w:top w:type="dxa" w:w="100"/>
              <w:left w:type="dxa" w:w="200"/>
              <w:bottom w:type="dxa" w:w="100"/>
              <w:right w:type="dxa" w:w="200"/>
            </w:tcMar>
          </w:tcPr>
          <w:p>
            <w:pPr>
              <w:spacing w:before="0" w:after="60"/>
            </w:pPr>
            <w:r>
              <w:rPr>
                <w:rFonts w:ascii="Arial" w:cs="Arial" w:eastAsia="Arial" w:hAnsi="Arial"/>
                <w:b/>
                <w:bCs/>
                <w:i w:val="false"/>
                <w:iCs w:val="false"/>
                <w:color w:val="5A5A00"/>
                <w:sz w:val="20"/>
                <w:szCs w:val="20"/>
              </w:rPr>
              <w:t xml:space="preserve">ON ZERO-FEE TRANSFERS</w:t>
            </w:r>
          </w:p>
          <w:p>
            <w:pPr>
              <w:spacing w:before="0" w:after="0"/>
              <w:jc w:val="both"/>
            </w:pPr>
            <w:r>
              <w:rPr>
                <w:rFonts w:ascii="Arial" w:cs="Arial" w:eastAsia="Arial" w:hAnsi="Arial"/>
                <w:b w:val="false"/>
                <w:bCs w:val="false"/>
                <w:i w:val="false"/>
                <w:iCs w:val="false"/>
                <w:color w:val="1A1A0A"/>
                <w:sz w:val="20"/>
                <w:szCs w:val="20"/>
              </w:rPr>
              <w:t xml:space="preserve">PADU wallet-to-wallet transfers are completely free by architectural design — not by current policy. The zero-fee property is hardcoded at the node validation level and is not a governable parameter. This is the property that makes PADU suitable as a daily-use currency within African communities, not merely a transfer mechanism. It must be prominently communicated in all user-facing materials.</w:t>
            </w:r>
          </w:p>
        </w:tc>
      </w:tr>
    </w:tbl>
    <w:p>
      <w:pPr>
        <w:pStyle w:val="Heading2"/>
        <w:spacing w:before="320" w:after="80"/>
      </w:pPr>
      <w:r>
        <w:rPr>
          <w:rFonts w:ascii="Arial" w:cs="Arial" w:eastAsia="Arial" w:hAnsi="Arial"/>
          <w:b/>
          <w:bCs/>
          <w:i w:val="false"/>
          <w:iCs w:val="false"/>
          <w:color w:val="7A5500"/>
          <w:sz w:val="25"/>
          <w:szCs w:val="25"/>
        </w:rPr>
        <w:t xml:space="preserve">0.2 Remunerative Reserve Growth Dynamics</w:t>
      </w:r>
    </w:p>
    <w:p>
      <w:pPr>
        <w:spacing w:before="60" w:after="120"/>
        <w:jc w:val="both"/>
      </w:pPr>
      <w:r>
        <w:rPr>
          <w:rFonts w:ascii="Arial" w:cs="Arial" w:eastAsia="Arial" w:hAnsi="Arial"/>
          <w:b w:val="false"/>
          <w:bCs w:val="false"/>
          <w:i w:val="false"/>
          <w:iCs w:val="false"/>
          <w:color w:val="1A1A0A"/>
          <w:sz w:val="22"/>
          <w:szCs w:val="22"/>
        </w:rPr>
        <w:t xml:space="preserve">The reserve grows from two complementary sources that create natural alignment between the ecosystem's interests and contributors' interests:</w:t>
      </w:r>
    </w:p>
    <w:p>
      <w:pPr>
        <w:pStyle w:val="ListParagraph"/>
        <w:numPr>
          <w:ilvl w:val="0"/>
          <w:numId w:val="2"/>
        </w:numPr>
        <w:spacing w:before="40" w:after="80"/>
      </w:pPr>
      <w:r>
        <w:rPr>
          <w:rFonts w:ascii="Arial" w:cs="Arial" w:eastAsia="Arial" w:hAnsi="Arial"/>
          <w:b w:val="false"/>
          <w:bCs w:val="false"/>
          <w:i w:val="false"/>
          <w:iCs w:val="false"/>
          <w:color w:val="1A1A0A"/>
          <w:sz w:val="22"/>
          <w:szCs w:val="22"/>
        </w:rPr>
        <w:t xml:space="preserve">Mint-side accumulation (0.5% per Mint): as ecosystem adoption grows and more users purchase PADU, the reserve grows. Early contributors benefit from late adopters — rewarding those who trusted the system first.</w:t>
      </w:r>
    </w:p>
    <w:p>
      <w:pPr>
        <w:pStyle w:val="ListParagraph"/>
        <w:numPr>
          <w:ilvl w:val="0"/>
          <w:numId w:val="2"/>
        </w:numPr>
        <w:spacing w:before="40" w:after="80"/>
      </w:pPr>
      <w:r>
        <w:rPr>
          <w:rFonts w:ascii="Arial" w:cs="Arial" w:eastAsia="Arial" w:hAnsi="Arial"/>
          <w:b w:val="false"/>
          <w:bCs w:val="false"/>
          <w:i w:val="false"/>
          <w:iCs w:val="false"/>
          <w:color w:val="1A1A0A"/>
          <w:sz w:val="22"/>
          <w:szCs w:val="22"/>
        </w:rPr>
        <w:t xml:space="preserve">Redeem-side accumulation (0.5% per Redeem): as users exit the ecosystem, a small fraction of their exit value remains in the reserve. Users who stay benefit when others leave. This creates a gentle retention incentive without making exit prohibitively expensive.</w:t>
      </w:r>
    </w:p>
    <w:p>
      <w:pPr>
        <w:spacing w:before="60" w:after="120"/>
        <w:jc w:val="both"/>
      </w:pPr>
      <w:r>
        <w:rPr>
          <w:rFonts w:ascii="Arial" w:cs="Arial" w:eastAsia="Arial" w:hAnsi="Arial"/>
          <w:b w:val="false"/>
          <w:bCs w:val="false"/>
          <w:i w:val="false"/>
          <w:iCs w:val="false"/>
          <w:color w:val="1A1A0A"/>
          <w:sz w:val="22"/>
          <w:szCs w:val="22"/>
        </w:rPr>
        <w:t xml:space="preserve">The combined effect: the Remunerative Reserve is a lagging indicator of cumulative ecosystem activity. It cannot be manipulated by a single actor, grows monotonically, and distributes its gains to those who contributed to early ecosystem growth — precisely the diaspora senders whose participation was the founding act of the ecosystem.</w:t>
      </w:r>
    </w:p>
    <w:p>
      <w:pPr>
        <w:pStyle w:val="Heading1"/>
        <w:spacing w:before="520" w:after="120"/>
      </w:pPr>
      <w:r>
        <w:rPr>
          <w:rFonts w:ascii="Arial" w:cs="Arial" w:eastAsia="Arial" w:hAnsi="Arial"/>
          <w:b/>
          <w:bCs/>
          <w:i w:val="false"/>
          <w:iCs w:val="false"/>
          <w:color w:val="3A2800"/>
          <w:sz w:val="30"/>
          <w:szCs w:val="30"/>
        </w:rPr>
        <w:t xml:space="preserve">1. System Components</w:t>
      </w:r>
    </w:p>
    <w:p>
      <w:pPr>
        <w:pBdr>
          <w:bottom w:val="single" w:color="C8922A" w:sz="8" w:space="1"/>
        </w:pBdr>
        <w:spacing w:before="0" w:after="160"/>
      </w:pP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560"/>
        <w:gridCol w:w="4000"/>
      </w:tblGrid>
      <w:tr>
        <w:tc>
          <w:tcPr>
            <w:tcW w:type="dxa" w:w="2800"/>
            <w:tcBorders>
              <w:top w:val="single" w:color="C8C4B0" w:sz="1"/>
              <w:left w:val="single" w:color="C8C4B0" w:sz="1"/>
              <w:bottom w:val="single" w:color="C8C4B0" w:sz="1"/>
              <w:right w:val="single" w:color="C8C4B0" w:sz="1"/>
            </w:tcBorders>
            <w:shd w:fill="0D1F35"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Component</w:t>
            </w:r>
          </w:p>
        </w:tc>
        <w:tc>
          <w:tcPr>
            <w:tcW w:type="dxa" w:w="1000"/>
            <w:tcBorders>
              <w:top w:val="single" w:color="C8C4B0" w:sz="1"/>
              <w:left w:val="single" w:color="C8C4B0" w:sz="1"/>
              <w:bottom w:val="single" w:color="C8C4B0" w:sz="1"/>
              <w:right w:val="single" w:color="C8C4B0" w:sz="1"/>
            </w:tcBorders>
            <w:shd w:fill="0D1F35"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Symbol</w:t>
            </w:r>
          </w:p>
        </w:tc>
        <w:tc>
          <w:tcPr>
            <w:tcW w:type="dxa" w:w="1560"/>
            <w:tcBorders>
              <w:top w:val="single" w:color="C8C4B0" w:sz="1"/>
              <w:left w:val="single" w:color="C8C4B0" w:sz="1"/>
              <w:bottom w:val="single" w:color="C8C4B0" w:sz="1"/>
              <w:right w:val="single" w:color="C8C4B0" w:sz="1"/>
            </w:tcBorders>
            <w:shd w:fill="0D1F35"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Type</w:t>
            </w:r>
          </w:p>
        </w:tc>
        <w:tc>
          <w:tcPr>
            <w:tcW w:type="dxa" w:w="4000"/>
            <w:tcBorders>
              <w:top w:val="single" w:color="C8C4B0" w:sz="1"/>
              <w:left w:val="single" w:color="C8C4B0" w:sz="1"/>
              <w:bottom w:val="single" w:color="C8C4B0" w:sz="1"/>
              <w:right w:val="single" w:color="C8C4B0" w:sz="1"/>
            </w:tcBorders>
            <w:shd w:fill="0D1F35"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Role</w:t>
            </w:r>
          </w:p>
        </w:tc>
      </w:tr>
      <w:tr>
        <w:tc>
          <w:tcPr>
            <w:tcW w:type="dxa" w:w="28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Mint Gateway Contract</w:t>
            </w:r>
          </w:p>
        </w:tc>
        <w:tc>
          <w:tcPr>
            <w:tcW w:type="dxa" w:w="10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MGC</w:t>
            </w:r>
          </w:p>
        </w:tc>
        <w:tc>
          <w:tcPr>
            <w:tcW w:type="dxa" w:w="156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Contract</w:t>
            </w:r>
          </w:p>
        </w:tc>
        <w:tc>
          <w:tcPr>
            <w:tcW w:type="dxa" w:w="40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Sole authorised PADU minting point. Accepts external asset deposits, validates peg rate, computes fee split, mints PADU to recipient, routes fees to three reserves.</w:t>
            </w:r>
          </w:p>
        </w:tc>
      </w:tr>
      <w:tr>
        <w:tc>
          <w:tcPr>
            <w:tcW w:type="dxa" w:w="28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Redeem Gateway Contract</w:t>
            </w:r>
          </w:p>
        </w:tc>
        <w:tc>
          <w:tcPr>
            <w:tcW w:type="dxa" w:w="10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RGC</w:t>
            </w:r>
          </w:p>
        </w:tc>
        <w:tc>
          <w:tcPr>
            <w:tcW w:type="dxa" w:w="156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Contract</w:t>
            </w:r>
          </w:p>
        </w:tc>
        <w:tc>
          <w:tcPr>
            <w:tcW w:type="dxa" w:w="40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Sole authorised PADU redemption point. Burns submitted PADU, computes redeem fee, routes fee to Remunerative Reserve, releases net fiat/stable to redeemer.</w:t>
            </w:r>
          </w:p>
        </w:tc>
      </w:tr>
      <w:tr>
        <w:tc>
          <w:tcPr>
            <w:tcW w:type="dxa" w:w="28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Remunerative Reserve Vault</w:t>
            </w:r>
          </w:p>
        </w:tc>
        <w:tc>
          <w:tcPr>
            <w:tcW w:type="dxa" w:w="10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RRV</w:t>
            </w:r>
          </w:p>
        </w:tc>
        <w:tc>
          <w:tcPr>
            <w:tcW w:type="dxa" w:w="156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Contract</w:t>
            </w:r>
          </w:p>
        </w:tc>
        <w:tc>
          <w:tcPr>
            <w:tcW w:type="dxa" w:w="40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Accumulates mint and redeem fee inflows. Non-custodial — no admin key. Distributes dividends only to registered Contribution Certificate holders via the Dividend Engine.</w:t>
            </w:r>
          </w:p>
        </w:tc>
      </w:tr>
      <w:tr>
        <w:tc>
          <w:tcPr>
            <w:tcW w:type="dxa" w:w="28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Contribution Certificate</w:t>
            </w:r>
          </w:p>
        </w:tc>
        <w:tc>
          <w:tcPr>
            <w:tcW w:type="dxa" w:w="10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CC</w:t>
            </w:r>
          </w:p>
        </w:tc>
        <w:tc>
          <w:tcPr>
            <w:tcW w:type="dxa" w:w="156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NFT (ERC-1155)</w:t>
            </w:r>
          </w:p>
        </w:tc>
        <w:tc>
          <w:tcPr>
            <w:tcW w:type="dxa" w:w="40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Non-transferable on-chain record of a user's cumulative ecosystem contribution. Tracks Contribution Weight — the basis for dividend calculation. Issued by MGC on every Mint.</w:t>
            </w:r>
          </w:p>
        </w:tc>
      </w:tr>
      <w:tr>
        <w:tc>
          <w:tcPr>
            <w:tcW w:type="dxa" w:w="28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Dividend Distribution Engine</w:t>
            </w:r>
          </w:p>
        </w:tc>
        <w:tc>
          <w:tcPr>
            <w:tcW w:type="dxa" w:w="10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DDE</w:t>
            </w:r>
          </w:p>
        </w:tc>
        <w:tc>
          <w:tcPr>
            <w:tcW w:type="dxa" w:w="156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Contract</w:t>
            </w:r>
          </w:p>
        </w:tc>
        <w:tc>
          <w:tcPr>
            <w:tcW w:type="dxa" w:w="40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Computes and executes periodic Solidarity Dividend distributions from the RRV to CC holders. Manages vesting cliff, distribution epochs, and claimable balances.</w:t>
            </w:r>
          </w:p>
        </w:tc>
      </w:tr>
      <w:tr>
        <w:tc>
          <w:tcPr>
            <w:tcW w:type="dxa" w:w="28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Price Oracle</w:t>
            </w:r>
          </w:p>
        </w:tc>
        <w:tc>
          <w:tcPr>
            <w:tcW w:type="dxa" w:w="10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PO</w:t>
            </w:r>
          </w:p>
        </w:tc>
        <w:tc>
          <w:tcPr>
            <w:tcW w:type="dxa" w:w="156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Contract + off-chain</w:t>
            </w:r>
          </w:p>
        </w:tc>
        <w:tc>
          <w:tcPr>
            <w:tcW w:type="dxa" w:w="40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Provides signed PADU/fiat exchange rates for use by MGC and RGC. Multi-source aggregated — no single point of failure.</w:t>
            </w:r>
          </w:p>
        </w:tc>
      </w:tr>
      <w:tr>
        <w:tc>
          <w:tcPr>
            <w:tcW w:type="dxa" w:w="28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Asset Custody Bridge</w:t>
            </w:r>
          </w:p>
        </w:tc>
        <w:tc>
          <w:tcPr>
            <w:tcW w:type="dxa" w:w="10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ACB</w:t>
            </w:r>
          </w:p>
        </w:tc>
        <w:tc>
          <w:tcPr>
            <w:tcW w:type="dxa" w:w="156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Contract + off-chain</w:t>
            </w:r>
          </w:p>
        </w:tc>
        <w:tc>
          <w:tcPr>
            <w:tcW w:type="dxa" w:w="40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Manages the movement of external assets (stablecoins, fiat on-ramp) into and out of the PADU ecosystem. Interfaces with regulated on/off-ramp providers.</w:t>
            </w:r>
          </w:p>
        </w:tc>
      </w:tr>
    </w:tbl>
    <w:p>
      <w:pPr>
        <w:pStyle w:val="Heading1"/>
        <w:spacing w:before="520" w:after="120"/>
      </w:pPr>
      <w:r>
        <w:rPr>
          <w:rFonts w:ascii="Arial" w:cs="Arial" w:eastAsia="Arial" w:hAnsi="Arial"/>
          <w:b/>
          <w:bCs/>
          <w:i w:val="false"/>
          <w:iCs w:val="false"/>
          <w:color w:val="3A2800"/>
          <w:sz w:val="30"/>
          <w:szCs w:val="30"/>
        </w:rPr>
        <w:t xml:space="preserve">2. Price Oracle (PO)</w:t>
      </w:r>
    </w:p>
    <w:p>
      <w:pPr>
        <w:pBdr>
          <w:bottom w:val="single" w:color="C8922A" w:sz="8" w:space="1"/>
        </w:pBdr>
        <w:spacing w:before="0" w:after="160"/>
      </w:pPr>
    </w:p>
    <w:p>
      <w:pPr>
        <w:spacing w:before="60" w:after="120"/>
        <w:jc w:val="both"/>
      </w:pPr>
      <w:r>
        <w:rPr>
          <w:rFonts w:ascii="Arial" w:cs="Arial" w:eastAsia="Arial" w:hAnsi="Arial"/>
          <w:b w:val="false"/>
          <w:bCs w:val="false"/>
          <w:i w:val="false"/>
          <w:iCs w:val="false"/>
          <w:color w:val="1A1A0A"/>
          <w:sz w:val="22"/>
          <w:szCs w:val="22"/>
        </w:rPr>
        <w:t xml:space="preserve">The Price Oracle is a foundational dependency for both gateways. Since PADU is pegged to a basket of reserve assets, the PO provides the real-time conversion rate used to calculate how much PADU to mint for a given fiat input, and how much fiat to release for a given PADU redemption. A compromised or manipulated oracle directly affects user funds — its security is critical.</w:t>
      </w:r>
    </w:p>
    <w:p>
      <w:pPr>
        <w:pStyle w:val="Heading2"/>
        <w:spacing w:before="320" w:after="80"/>
      </w:pPr>
      <w:r>
        <w:rPr>
          <w:rFonts w:ascii="Arial" w:cs="Arial" w:eastAsia="Arial" w:hAnsi="Arial"/>
          <w:b/>
          <w:bCs/>
          <w:i w:val="false"/>
          <w:iCs w:val="false"/>
          <w:color w:val="7A5500"/>
          <w:sz w:val="25"/>
          <w:szCs w:val="25"/>
        </w:rPr>
        <w:t xml:space="preserve">2.1 Multi-Source Architecture</w:t>
      </w:r>
    </w:p>
    <w:p>
      <w:pPr>
        <w:spacing w:before="60" w:after="120"/>
        <w:jc w:val="both"/>
      </w:pPr>
      <w:r>
        <w:rPr>
          <w:rFonts w:ascii="Arial" w:cs="Arial" w:eastAsia="Arial" w:hAnsi="Arial"/>
          <w:b w:val="false"/>
          <w:bCs w:val="false"/>
          <w:i w:val="false"/>
          <w:iCs w:val="false"/>
          <w:color w:val="1A1A0A"/>
          <w:sz w:val="22"/>
          <w:szCs w:val="22"/>
        </w:rPr>
        <w:t xml:space="preserve">The PO aggregates rates from a minimum of three independent data sources. No single source can determine the rate. The on-chain PO contract accepts signed rate submissions from accredited oracle nodes and computes the on-chain rate as the median of all submissions received within the last price validity window.</w:t>
      </w:r>
    </w:p>
    <w:tbl>
      <w:tblPr>
        <w:tblW w:type="dxa" w:w="9360"/>
        <w:tblBorders>
          <w:top w:val="single" w:color="C8C4B0" w:sz="1"/>
          <w:left w:val="single" w:color="C8922A" w:sz="16"/>
          <w:bottom w:val="single" w:color="C8C4B0" w:sz="1"/>
          <w:right w:val="single" w:color="C8C4B0" w:sz="1"/>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PriceOracle.sol</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pragma solidity ^0.8.24;</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contract PriceOracle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public constant PRICE_VALIDITY_SECONDS = 300;   // 5 minutes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public constant MIN_SOURCES_REQUIRED   = 3;      // minimum live feeds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public constant MAX_DEVIATION_BPS      = 200;    // 2% max spread between</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sources before reject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Accredited oracle node addresses — governed by Protocol Chamber</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mapping(address =&gt; bool) public accreditedNodes;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struct RateSubmission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address  node;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rate;        // PADU per 1 unit of reference asset, 18 decimal fixed point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submittedAt;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bytes    signature;   // node signature over (rate, submittedAt, chainId)</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RateSubmission[] public latestSubmissions;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 Computed rate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public currentRate;      // median of valid submissions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public rateUpdatedAt;    // timestamp of last update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event RateUpdated(uint256 newRate, uint256 sourceCount, uint256 timestamp);</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@notice Called by accredited nodes to submit a new rate.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function submitRate(uint256 rate, bytes calldata signature) external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require(accreditedNodes[msg.sender], 'PO: not an accredited node');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 signature verification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 purge stale submissions older than PRICE_VALIDITY_SECONDS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 append new submission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_recomputeMedian();</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@notice Returns current valid rate, or reverts if stale/insufficient sources.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function getValidRate() external view returns (uint256 rate, uint256 updatedAt)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require(block.timestamp - rateUpdatedAt &lt;= PRICE_VALIDITY_SECONDS,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'PO: price is stale — oracle feeds may be down');</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liveCount = _countLiveSubmissions();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require(liveCount &gt;= MIN_SOURCES_REQUIRED,</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'PO: insufficient live sources');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return (currentRate, rateUpdatedAt);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function _recomputeMedian() internal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Collect all valid (non-stale) submissions, sort rates, take median.</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Reject if max - min &gt; MAX_DEVIATION_BPS of the min.</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This prevents a malicious node from skewing the median with an extreme value.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A00" w:sz="1"/>
              <w:left w:val="single" w:color="8B4A00" w:sz="20"/>
              <w:bottom w:val="single" w:color="8B4A00" w:sz="1"/>
              <w:right w:val="single" w:color="C8C4B0" w:sz="1"/>
            </w:tcBorders>
            <w:shd w:fill="FFF8F0" w:val="clear"/>
            <w:tcMar>
              <w:top w:type="dxa" w:w="100"/>
              <w:left w:type="dxa" w:w="200"/>
              <w:bottom w:type="dxa" w:w="100"/>
              <w:right w:type="dxa" w:w="200"/>
            </w:tcMar>
          </w:tcPr>
          <w:p>
            <w:pPr>
              <w:spacing w:before="0" w:after="60"/>
            </w:pPr>
            <w:r>
              <w:rPr>
                <w:rFonts w:ascii="Arial" w:cs="Arial" w:eastAsia="Arial" w:hAnsi="Arial"/>
                <w:b/>
                <w:bCs/>
                <w:i w:val="false"/>
                <w:iCs w:val="false"/>
                <w:color w:val="8B4A00"/>
                <w:sz w:val="20"/>
                <w:szCs w:val="20"/>
              </w:rPr>
              <w:t xml:space="preserve">ORACLE FAILURE HANDLING</w:t>
            </w:r>
          </w:p>
          <w:p>
            <w:pPr>
              <w:spacing w:before="0" w:after="0"/>
              <w:jc w:val="both"/>
            </w:pPr>
            <w:r>
              <w:rPr>
                <w:rFonts w:ascii="Arial" w:cs="Arial" w:eastAsia="Arial" w:hAnsi="Arial"/>
                <w:b w:val="false"/>
                <w:bCs w:val="false"/>
                <w:i w:val="false"/>
                <w:iCs w:val="false"/>
                <w:color w:val="1A1A0A"/>
                <w:sz w:val="20"/>
                <w:szCs w:val="20"/>
              </w:rPr>
              <w:t xml:space="preserve">If the PO cannot produce a valid rate (stale, insufficient sources, or excessive spread), both the MGC and RGC must revert all operations until the oracle recovers. Users must be clearly informed via the wallet UI that Mint and Redeem are temporarily unavailable due to oracle maintenance. Transfers remain unaffected — only the fiat gateways depend on the oracle.</w:t>
            </w:r>
          </w:p>
        </w:tc>
      </w:tr>
    </w:tbl>
    <w:p>
      <w:pPr>
        <w:pStyle w:val="Heading1"/>
        <w:spacing w:before="520" w:after="120"/>
      </w:pPr>
      <w:r>
        <w:rPr>
          <w:rFonts w:ascii="Arial" w:cs="Arial" w:eastAsia="Arial" w:hAnsi="Arial"/>
          <w:b/>
          <w:bCs/>
          <w:i w:val="false"/>
          <w:iCs w:val="false"/>
          <w:color w:val="3A2800"/>
          <w:sz w:val="30"/>
          <w:szCs w:val="30"/>
        </w:rPr>
        <w:t xml:space="preserve">3. Mint Gateway Contract (MGC)</w:t>
      </w:r>
    </w:p>
    <w:p>
      <w:pPr>
        <w:pBdr>
          <w:bottom w:val="single" w:color="C8922A" w:sz="8" w:space="1"/>
        </w:pBdr>
        <w:spacing w:before="0" w:after="160"/>
      </w:pPr>
    </w:p>
    <w:p>
      <w:pPr>
        <w:spacing w:before="60" w:after="120"/>
        <w:jc w:val="both"/>
      </w:pPr>
      <w:r>
        <w:rPr>
          <w:rFonts w:ascii="Arial" w:cs="Arial" w:eastAsia="Arial" w:hAnsi="Arial"/>
          <w:b w:val="false"/>
          <w:bCs w:val="false"/>
          <w:i w:val="false"/>
          <w:iCs w:val="false"/>
          <w:color w:val="1A1A0A"/>
          <w:sz w:val="22"/>
          <w:szCs w:val="22"/>
        </w:rPr>
        <w:t xml:space="preserve">The MGC is the only contract authorised to create new PADU tokens. Every PADU in circulation was minted by this contract against a real external asset deposit. The MGC enforces the invariant that the total PADU supply can never exceed the total value held in the Asset Custody Bridge — PADU is always fully backed.</w:t>
      </w:r>
    </w:p>
    <w:p>
      <w:pPr>
        <w:pStyle w:val="Heading2"/>
        <w:spacing w:before="320" w:after="80"/>
      </w:pPr>
      <w:r>
        <w:rPr>
          <w:rFonts w:ascii="Arial" w:cs="Arial" w:eastAsia="Arial" w:hAnsi="Arial"/>
          <w:b/>
          <w:bCs/>
          <w:i w:val="false"/>
          <w:iCs w:val="false"/>
          <w:color w:val="7A5500"/>
          <w:sz w:val="25"/>
          <w:szCs w:val="25"/>
        </w:rPr>
        <w:t xml:space="preserve">3.1 Mint Flow</w:t>
      </w:r>
    </w:p>
    <w:p>
      <w:pPr>
        <w:pStyle w:val="ListParagraph"/>
        <w:numPr>
          <w:ilvl w:val="0"/>
          <w:numId w:val="3"/>
        </w:numPr>
        <w:spacing w:before="40" w:after="80"/>
      </w:pPr>
      <w:r>
        <w:rPr>
          <w:rFonts w:ascii="Arial" w:cs="Arial" w:eastAsia="Arial" w:hAnsi="Arial"/>
          <w:b w:val="false"/>
          <w:bCs w:val="false"/>
          <w:i w:val="false"/>
          <w:iCs w:val="false"/>
          <w:color w:val="1A1A0A"/>
          <w:sz w:val="22"/>
          <w:szCs w:val="22"/>
        </w:rPr>
        <w:t xml:space="preserve">User initiates a Mint from their wallet. They specify: the input asset (e.g. USDC, EUR stablecoin), the gross input amount, and the recipient wallet address (may differ from sender — e.g. diaspora member funding a family member's wallet).</w:t>
      </w:r>
    </w:p>
    <w:p>
      <w:pPr>
        <w:pStyle w:val="ListParagraph"/>
        <w:numPr>
          <w:ilvl w:val="0"/>
          <w:numId w:val="3"/>
        </w:numPr>
        <w:spacing w:before="40" w:after="80"/>
      </w:pPr>
      <w:r>
        <w:rPr>
          <w:rFonts w:ascii="Arial" w:cs="Arial" w:eastAsia="Arial" w:hAnsi="Arial"/>
          <w:b w:val="false"/>
          <w:bCs w:val="false"/>
          <w:i w:val="false"/>
          <w:iCs w:val="false"/>
          <w:color w:val="1A1A0A"/>
          <w:sz w:val="22"/>
          <w:szCs w:val="22"/>
        </w:rPr>
        <w:t xml:space="preserve">Wallet client fetches current oracle rate from PO.getValidRate(). Displays to user: gross input, 1.5% fee breakdown (0.5% each to operational, social, remunerative), and net PADU to be received.</w:t>
      </w:r>
    </w:p>
    <w:p>
      <w:pPr>
        <w:pStyle w:val="ListParagraph"/>
        <w:numPr>
          <w:ilvl w:val="0"/>
          <w:numId w:val="3"/>
        </w:numPr>
        <w:spacing w:before="40" w:after="80"/>
      </w:pPr>
      <w:r>
        <w:rPr>
          <w:rFonts w:ascii="Arial" w:cs="Arial" w:eastAsia="Arial" w:hAnsi="Arial"/>
          <w:b w:val="false"/>
          <w:bCs w:val="false"/>
          <w:i w:val="false"/>
          <w:iCs w:val="false"/>
          <w:color w:val="1A1A0A"/>
          <w:sz w:val="22"/>
          <w:szCs w:val="22"/>
        </w:rPr>
        <w:t xml:space="preserve">User approves. Wallet sends input asset to Asset Custody Bridge (ACB). ACB issues a deposit receipt on-chain — a signed confirmation that the fiat/stable has been received and is held in custody.</w:t>
      </w:r>
    </w:p>
    <w:p>
      <w:pPr>
        <w:pStyle w:val="ListParagraph"/>
        <w:numPr>
          <w:ilvl w:val="0"/>
          <w:numId w:val="3"/>
        </w:numPr>
        <w:spacing w:before="40" w:after="80"/>
      </w:pPr>
      <w:r>
        <w:rPr>
          <w:rFonts w:ascii="Arial" w:cs="Arial" w:eastAsia="Arial" w:hAnsi="Arial"/>
          <w:b w:val="false"/>
          <w:bCs w:val="false"/>
          <w:i w:val="false"/>
          <w:iCs w:val="false"/>
          <w:color w:val="1A1A0A"/>
          <w:sz w:val="22"/>
          <w:szCs w:val="22"/>
        </w:rPr>
        <w:t xml:space="preserve">Wallet submits a MintRequest to the MGC, referencing the ACB deposit receipt.</w:t>
      </w:r>
    </w:p>
    <w:p>
      <w:pPr>
        <w:pStyle w:val="ListParagraph"/>
        <w:numPr>
          <w:ilvl w:val="0"/>
          <w:numId w:val="3"/>
        </w:numPr>
        <w:spacing w:before="40" w:after="80"/>
      </w:pPr>
      <w:r>
        <w:rPr>
          <w:rFonts w:ascii="Arial" w:cs="Arial" w:eastAsia="Arial" w:hAnsi="Arial"/>
          <w:b w:val="false"/>
          <w:bCs w:val="false"/>
          <w:i w:val="false"/>
          <w:iCs w:val="false"/>
          <w:color w:val="1A1A0A"/>
          <w:sz w:val="22"/>
          <w:szCs w:val="22"/>
        </w:rPr>
        <w:t xml:space="preserve">MGC validates: receipt not yet consumed, receipt issuer is accredited ACB, receipt timestamp within validity window, PO rate is current, fee arithmetic is correct.</w:t>
      </w:r>
    </w:p>
    <w:p>
      <w:pPr>
        <w:pStyle w:val="ListParagraph"/>
        <w:numPr>
          <w:ilvl w:val="0"/>
          <w:numId w:val="3"/>
        </w:numPr>
        <w:spacing w:before="40" w:after="80"/>
      </w:pPr>
      <w:r>
        <w:rPr>
          <w:rFonts w:ascii="Arial" w:cs="Arial" w:eastAsia="Arial" w:hAnsi="Arial"/>
          <w:b w:val="false"/>
          <w:bCs w:val="false"/>
          <w:i w:val="false"/>
          <w:iCs w:val="false"/>
          <w:color w:val="1A1A0A"/>
          <w:sz w:val="22"/>
          <w:szCs w:val="22"/>
        </w:rPr>
        <w:t xml:space="preserve">MGC computes fee amounts and net PADU to mint. Marks ACB receipt as consumed (replay protection).</w:t>
      </w:r>
    </w:p>
    <w:p>
      <w:pPr>
        <w:pStyle w:val="ListParagraph"/>
        <w:numPr>
          <w:ilvl w:val="0"/>
          <w:numId w:val="3"/>
        </w:numPr>
        <w:spacing w:before="40" w:after="80"/>
      </w:pPr>
      <w:r>
        <w:rPr>
          <w:rFonts w:ascii="Arial" w:cs="Arial" w:eastAsia="Arial" w:hAnsi="Arial"/>
          <w:b w:val="false"/>
          <w:bCs w:val="false"/>
          <w:i w:val="false"/>
          <w:iCs w:val="false"/>
          <w:color w:val="1A1A0A"/>
          <w:sz w:val="22"/>
          <w:szCs w:val="22"/>
        </w:rPr>
        <w:t xml:space="preserve">MGC mints net PADU to recipient address. Routes fee tranches: operational fee to Operational Reserve, social fee to Social Fund Vault, remunerative fee to Remunerative Reserve Vault.</w:t>
      </w:r>
    </w:p>
    <w:p>
      <w:pPr>
        <w:pStyle w:val="ListParagraph"/>
        <w:numPr>
          <w:ilvl w:val="0"/>
          <w:numId w:val="3"/>
        </w:numPr>
        <w:spacing w:before="40" w:after="80"/>
      </w:pPr>
      <w:r>
        <w:rPr>
          <w:rFonts w:ascii="Arial" w:cs="Arial" w:eastAsia="Arial" w:hAnsi="Arial"/>
          <w:b w:val="false"/>
          <w:bCs w:val="false"/>
          <w:i w:val="false"/>
          <w:iCs w:val="false"/>
          <w:color w:val="1A1A0A"/>
          <w:sz w:val="22"/>
          <w:szCs w:val="22"/>
        </w:rPr>
        <w:t xml:space="preserve">MGC calls CC.recordContribution(sender, grossInputInPADU) to update the sender's Contribution Certificate weight.</w:t>
      </w:r>
    </w:p>
    <w:p>
      <w:pPr>
        <w:pStyle w:val="ListParagraph"/>
        <w:numPr>
          <w:ilvl w:val="0"/>
          <w:numId w:val="3"/>
        </w:numPr>
        <w:spacing w:before="40" w:after="80"/>
      </w:pPr>
      <w:r>
        <w:rPr>
          <w:rFonts w:ascii="Arial" w:cs="Arial" w:eastAsia="Arial" w:hAnsi="Arial"/>
          <w:b w:val="false"/>
          <w:bCs w:val="false"/>
          <w:i w:val="false"/>
          <w:iCs w:val="false"/>
          <w:color w:val="1A1A0A"/>
          <w:sz w:val="22"/>
          <w:szCs w:val="22"/>
        </w:rPr>
        <w:t xml:space="preserve">MintCompleted event emitted. Wallet client detects event and updates balance display.</w:t>
      </w:r>
    </w:p>
    <w:p>
      <w:pPr>
        <w:spacing w:before="0" w:after="60"/>
      </w:pPr>
    </w:p>
    <w:p>
      <w:pPr>
        <w:pStyle w:val="Heading2"/>
        <w:spacing w:before="320" w:after="80"/>
      </w:pPr>
      <w:r>
        <w:rPr>
          <w:rFonts w:ascii="Arial" w:cs="Arial" w:eastAsia="Arial" w:hAnsi="Arial"/>
          <w:b/>
          <w:bCs/>
          <w:i w:val="false"/>
          <w:iCs w:val="false"/>
          <w:color w:val="7A5500"/>
          <w:sz w:val="25"/>
          <w:szCs w:val="25"/>
        </w:rPr>
        <w:t xml:space="preserve">3.2 MGC Contract Specification</w:t>
      </w:r>
    </w:p>
    <w:tbl>
      <w:tblPr>
        <w:tblW w:type="dxa" w:w="9360"/>
        <w:tblBorders>
          <w:top w:val="single" w:color="C8C4B0" w:sz="1"/>
          <w:left w:val="single" w:color="C8922A" w:sz="16"/>
          <w:bottom w:val="single" w:color="C8C4B0" w:sz="1"/>
          <w:right w:val="single" w:color="C8C4B0" w:sz="1"/>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MintGatewayContract.sol</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pragma solidity ^0.8.24;</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interface IERC20           { function transferFrom(address, address, uint256) external returns (bool);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interface IPriceOracle     { function getValidRate() external view returns (uint256, uint256);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interface IAssetCustody    { function consumeReceipt(bytes32 receiptId) external returns (uint256 assetAmountWei);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interface IPADUToken       { function mint(address to, uint256 amount) external;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interface IReserve         { function deposit() external payable;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interface ISocialVault     { function receive() external payable;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interface IContribCert     { function recordContribution(address contributor,</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grossAmountPADU, uint256 mintTimestamp) external;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contract MintGatewayContract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 IMMUTABLE ADDRESSES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IPriceOracle    public immutable oracle;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IAssetCustody   public immutable acb;</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IPADUToken      public immutable paduToken;</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address payable public immutable operationalReserve;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address payable public immutable socialVault;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address payable public immutable remReserveVault;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IContribCert    public immutable contribCert;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 FEE CONSTANTS (in basis points — governable via Protocol Chamber)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Fetched from Parameter Registry at call time — not hardcoded here.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Keys: mint.fee.ops.bps / mint.fee.social.bps / mint.fee.remunerative.bps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IParameterRegistry public immutable params;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 REPLAY PROTECTION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mapping(bytes32 =&gt; bool) public consumedReceipts;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 EVENTS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event MintCompleted(</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address indexed sender,</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address indexed recipient,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grossInputAssetAmount,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grossInputPADU,</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feeOps,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feeSocial,</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feeRemunerative,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netPADUMinted,</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pegRate,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timestamp</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 MINT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struct MintRequest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bytes32  receiptId;       // ACB deposit receipt ID</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address  recipient;       // PADU destination wallet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expectedNetPADU; // client-computed expected output — sanity check</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maxSlippageBps;  // max acceptable rate slippage (e.g. 50 = 0.5%)</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function mint(MintRequest calldata req) external nonReentrant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1. Validate and consume ACB receipt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require(!consumedReceipts[req.receiptId], 'MGC: receipt already consumed');</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assetAmountWei = acb.consumeReceipt(req.receiptId);</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consumedReceipts[req.receiptId] = true;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2. Get oracle rate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rate, ) = oracle.getValidRate();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3. Compute gross PADU equivalent of deposited asset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grossPADU = (assetAmountWei * rate) / 1e18;</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4. Slippage check</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slippage = req.expectedNetPADU &gt; grossPADU</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((req.expectedNetPADU - grossPADU) * 10000) / req.expectedNetPADU</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0;</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require(slippage &lt;= req.maxSlippageBps, 'MGC: slippage exceeded');</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5. Compute fees from Parameter Registry</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opsBps  = abi.decode(params.get(keccak256('mint.fee.ops.bps')), (uint256));</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socBps  = abi.decode(params.get(keccak256('mint.fee.social.bps')), (uint256));</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remBps  = abi.decode(params.get(keccak256('mint.fee.remunerative.bps')), (uint256));</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feeOps  = (grossPADU * opsBps)  / 10000;</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feeSoc  = (grossPADU * socBps)  / 10000;</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feeRem  = (grossPADU * remBps)  / 10000;</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netPADU = grossPADU - feeOps - feeSoc - feeRem;</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6. Mint and distribute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paduToken.mint(req.recipient, netPADU);</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paduToken.mint(operationalReserve, feeOps);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paduToken.mint(address(socialVault), feeSoc);</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paduToken.mint(address(remReserveVault), feeRem);</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7. Record contribution certificate weight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contribCert.recordContribution(msg.sender, grossPADU, block.timestamp);</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emit MintCompleted(msg.sender, req.recipient, assetAmountWei, grossPADU,</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feeOps, feeSoc, feeRem, netPADU, rate, block.timestamp);</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w:t>
            </w:r>
          </w:p>
        </w:tc>
      </w:tr>
    </w:tbl>
    <w:p>
      <w:pPr>
        <w:pStyle w:val="Heading2"/>
        <w:spacing w:before="320" w:after="80"/>
      </w:pPr>
      <w:r>
        <w:rPr>
          <w:rFonts w:ascii="Arial" w:cs="Arial" w:eastAsia="Arial" w:hAnsi="Arial"/>
          <w:b/>
          <w:bCs/>
          <w:i w:val="false"/>
          <w:iCs w:val="false"/>
          <w:color w:val="7A5500"/>
          <w:sz w:val="25"/>
          <w:szCs w:val="25"/>
        </w:rPr>
        <w:t xml:space="preserve">3.3 Asset Custody Bridge Interface</w:t>
      </w:r>
    </w:p>
    <w:p>
      <w:pPr>
        <w:spacing w:before="60" w:after="120"/>
        <w:jc w:val="both"/>
      </w:pPr>
      <w:r>
        <w:rPr>
          <w:rFonts w:ascii="Arial" w:cs="Arial" w:eastAsia="Arial" w:hAnsi="Arial"/>
          <w:b w:val="false"/>
          <w:bCs w:val="false"/>
          <w:i w:val="false"/>
          <w:iCs w:val="false"/>
          <w:color w:val="1A1A0A"/>
          <w:sz w:val="22"/>
          <w:szCs w:val="22"/>
        </w:rPr>
        <w:t xml:space="preserve">The ACB is the interface between on-chain logic and regulated fiat on-ramp providers. In Phase 1, this will likely be an approved stablecoin (USDC, EURC) held in a smart contract. In Phase 2, it may extend to fiat on-ramps via regulated payment processors. The ACB is intentionally abstracted so that the MGC does not need to change when new asset types are added.</w:t>
      </w:r>
    </w:p>
    <w:tbl>
      <w:tblPr>
        <w:tblW w:type="dxa" w:w="9360"/>
        <w:tblBorders>
          <w:top w:val="single" w:color="C8C4B0" w:sz="1"/>
          <w:left w:val="single" w:color="C8922A" w:sz="16"/>
          <w:bottom w:val="single" w:color="C8C4B0" w:sz="1"/>
          <w:right w:val="single" w:color="C8C4B0" w:sz="1"/>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IAssetCustodyBridge.sol — interface for MGC and RGC</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interface IAssetCustodyBridge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@notice Validates and consumes a deposit receipt.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@param receiptId  The receipt ID from the off-chain deposit confirmation.</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@return assetAmountWei  The confirmed deposit amount in wei-equivalent units.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@dev Reverts if receipt is invalid, expired, or already consumed.</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function consumeReceipt(bytes32 receiptId)</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external returns (uint256 assetAmountWei);</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@notice Initiates fiat/stable release for a Redeem operation.</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@param recipient     Address (or off-chain identifier) to receive fiat.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@param assetAmount   Amount to release, in asset-native units.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@param redemptionId  Unique ID for this redemption — prevents double release.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function initiateRelease(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address recipient,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assetAmount,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bytes32 redemptionId</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external;</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@notice Returns the total asset value currently held in custody.</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Should equal total PADU supply * pegRate at all times (within oracle precision).</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function totalCustodiedValue() external view returns (uint256);</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w:t>
            </w:r>
          </w:p>
        </w:tc>
      </w:tr>
    </w:tbl>
    <w:p>
      <w:pPr>
        <w:pStyle w:val="Heading1"/>
        <w:spacing w:before="520" w:after="120"/>
      </w:pPr>
      <w:r>
        <w:rPr>
          <w:rFonts w:ascii="Arial" w:cs="Arial" w:eastAsia="Arial" w:hAnsi="Arial"/>
          <w:b/>
          <w:bCs/>
          <w:i w:val="false"/>
          <w:iCs w:val="false"/>
          <w:color w:val="3A2800"/>
          <w:sz w:val="30"/>
          <w:szCs w:val="30"/>
        </w:rPr>
        <w:t xml:space="preserve">4. Redeem Gateway Contract (RGC)</w:t>
      </w:r>
    </w:p>
    <w:p>
      <w:pPr>
        <w:pBdr>
          <w:bottom w:val="single" w:color="C8922A" w:sz="8" w:space="1"/>
        </w:pBdr>
        <w:spacing w:before="0" w:after="160"/>
      </w:pPr>
    </w:p>
    <w:p>
      <w:pPr>
        <w:spacing w:before="60" w:after="120"/>
        <w:jc w:val="both"/>
      </w:pPr>
      <w:r>
        <w:rPr>
          <w:rFonts w:ascii="Arial" w:cs="Arial" w:eastAsia="Arial" w:hAnsi="Arial"/>
          <w:b w:val="false"/>
          <w:bCs w:val="false"/>
          <w:i w:val="false"/>
          <w:iCs w:val="false"/>
          <w:color w:val="1A1A0A"/>
          <w:sz w:val="22"/>
          <w:szCs w:val="22"/>
        </w:rPr>
        <w:t xml:space="preserve">The RGC is the only contract authorised to burn PADU tokens. When a user redeems, their PADU is permanently destroyed and the equivalent fiat/stable value (minus the 0.5% redemption fee) is released from the Asset Custody Bridge. The 0.5% redemption fee is converted to PADU and deposited into the Remunerative Reserve Vault, where it compounds for the benefit of Contribution Certificate holders.</w:t>
      </w:r>
    </w:p>
    <w:p>
      <w:pPr>
        <w:pStyle w:val="Heading2"/>
        <w:spacing w:before="320" w:after="80"/>
      </w:pPr>
      <w:r>
        <w:rPr>
          <w:rFonts w:ascii="Arial" w:cs="Arial" w:eastAsia="Arial" w:hAnsi="Arial"/>
          <w:b/>
          <w:bCs/>
          <w:i w:val="false"/>
          <w:iCs w:val="false"/>
          <w:color w:val="7A5500"/>
          <w:sz w:val="25"/>
          <w:szCs w:val="25"/>
        </w:rPr>
        <w:t xml:space="preserve">4.1 Redeem Flow</w:t>
      </w:r>
    </w:p>
    <w:p>
      <w:pPr>
        <w:pStyle w:val="ListParagraph"/>
        <w:numPr>
          <w:ilvl w:val="0"/>
          <w:numId w:val="3"/>
        </w:numPr>
        <w:spacing w:before="40" w:after="80"/>
      </w:pPr>
      <w:r>
        <w:rPr>
          <w:rFonts w:ascii="Arial" w:cs="Arial" w:eastAsia="Arial" w:hAnsi="Arial"/>
          <w:b w:val="false"/>
          <w:bCs w:val="false"/>
          <w:i w:val="false"/>
          <w:iCs w:val="false"/>
          <w:color w:val="1A1A0A"/>
          <w:sz w:val="22"/>
          <w:szCs w:val="22"/>
        </w:rPr>
        <w:t xml:space="preserve">User initiates Redeem from their wallet. Specifies: gross PADU amount to redeem, target output asset, output recipient (bank account identifier or external wallet).</w:t>
      </w:r>
    </w:p>
    <w:p>
      <w:pPr>
        <w:pStyle w:val="ListParagraph"/>
        <w:numPr>
          <w:ilvl w:val="0"/>
          <w:numId w:val="3"/>
        </w:numPr>
        <w:spacing w:before="40" w:after="80"/>
      </w:pPr>
      <w:r>
        <w:rPr>
          <w:rFonts w:ascii="Arial" w:cs="Arial" w:eastAsia="Arial" w:hAnsi="Arial"/>
          <w:b w:val="false"/>
          <w:bCs w:val="false"/>
          <w:i w:val="false"/>
          <w:iCs w:val="false"/>
          <w:color w:val="1A1A0A"/>
          <w:sz w:val="22"/>
          <w:szCs w:val="22"/>
        </w:rPr>
        <w:t xml:space="preserve">Wallet client displays: gross PADU, 0.5% fee in PADU, net PADU after fee, equivalent fiat output at current oracle rate. User must explicitly confirm.</w:t>
      </w:r>
    </w:p>
    <w:p>
      <w:pPr>
        <w:pStyle w:val="ListParagraph"/>
        <w:numPr>
          <w:ilvl w:val="0"/>
          <w:numId w:val="3"/>
        </w:numPr>
        <w:spacing w:before="40" w:after="80"/>
      </w:pPr>
      <w:r>
        <w:rPr>
          <w:rFonts w:ascii="Arial" w:cs="Arial" w:eastAsia="Arial" w:hAnsi="Arial"/>
          <w:b w:val="false"/>
          <w:bCs w:val="false"/>
          <w:i w:val="false"/>
          <w:iCs w:val="false"/>
          <w:color w:val="1A1A0A"/>
          <w:sz w:val="22"/>
          <w:szCs w:val="22"/>
        </w:rPr>
        <w:t xml:space="preserve">Wallet submits RedeemRequest to RGC.</w:t>
      </w:r>
    </w:p>
    <w:p>
      <w:pPr>
        <w:pStyle w:val="ListParagraph"/>
        <w:numPr>
          <w:ilvl w:val="0"/>
          <w:numId w:val="3"/>
        </w:numPr>
        <w:spacing w:before="40" w:after="80"/>
      </w:pPr>
      <w:r>
        <w:rPr>
          <w:rFonts w:ascii="Arial" w:cs="Arial" w:eastAsia="Arial" w:hAnsi="Arial"/>
          <w:b w:val="false"/>
          <w:bCs w:val="false"/>
          <w:i w:val="false"/>
          <w:iCs w:val="false"/>
          <w:color w:val="1A1A0A"/>
          <w:sz w:val="22"/>
          <w:szCs w:val="22"/>
        </w:rPr>
        <w:t xml:space="preserve">RGC validates: sufficient balance, oracle rate valid, redemption not already in progress for this wallet (one active redemption per wallet limit — prevents concurrent race conditions).</w:t>
      </w:r>
    </w:p>
    <w:p>
      <w:pPr>
        <w:pStyle w:val="ListParagraph"/>
        <w:numPr>
          <w:ilvl w:val="0"/>
          <w:numId w:val="3"/>
        </w:numPr>
        <w:spacing w:before="40" w:after="80"/>
      </w:pPr>
      <w:r>
        <w:rPr>
          <w:rFonts w:ascii="Arial" w:cs="Arial" w:eastAsia="Arial" w:hAnsi="Arial"/>
          <w:b w:val="false"/>
          <w:bCs w:val="false"/>
          <w:i w:val="false"/>
          <w:iCs w:val="false"/>
          <w:color w:val="1A1A0A"/>
          <w:sz w:val="22"/>
          <w:szCs w:val="22"/>
        </w:rPr>
        <w:t xml:space="preserve">RGC deducts gross PADU from user balance atomically. Burns net PADU. Transfers 0.5% fee to Remunerative Reserve Vault.</w:t>
      </w:r>
    </w:p>
    <w:p>
      <w:pPr>
        <w:pStyle w:val="ListParagraph"/>
        <w:numPr>
          <w:ilvl w:val="0"/>
          <w:numId w:val="3"/>
        </w:numPr>
        <w:spacing w:before="40" w:after="80"/>
      </w:pPr>
      <w:r>
        <w:rPr>
          <w:rFonts w:ascii="Arial" w:cs="Arial" w:eastAsia="Arial" w:hAnsi="Arial"/>
          <w:b w:val="false"/>
          <w:bCs w:val="false"/>
          <w:i w:val="false"/>
          <w:iCs w:val="false"/>
          <w:color w:val="1A1A0A"/>
          <w:sz w:val="22"/>
          <w:szCs w:val="22"/>
        </w:rPr>
        <w:t xml:space="preserve">RGC calls ACB.initiateRelease() with the net fiat equivalent and the output recipient.</w:t>
      </w:r>
    </w:p>
    <w:p>
      <w:pPr>
        <w:pStyle w:val="ListParagraph"/>
        <w:numPr>
          <w:ilvl w:val="0"/>
          <w:numId w:val="3"/>
        </w:numPr>
        <w:spacing w:before="40" w:after="80"/>
      </w:pPr>
      <w:r>
        <w:rPr>
          <w:rFonts w:ascii="Arial" w:cs="Arial" w:eastAsia="Arial" w:hAnsi="Arial"/>
          <w:b w:val="false"/>
          <w:bCs w:val="false"/>
          <w:i w:val="false"/>
          <w:iCs w:val="false"/>
          <w:color w:val="1A1A0A"/>
          <w:sz w:val="22"/>
          <w:szCs w:val="22"/>
        </w:rPr>
        <w:t xml:space="preserve">ACB processes the fiat release (may be instant for stablecoins, T+1 for fiat bank transfer). On completion, ACB emits RedemptionSettled event.</w:t>
      </w:r>
    </w:p>
    <w:p>
      <w:pPr>
        <w:pStyle w:val="ListParagraph"/>
        <w:numPr>
          <w:ilvl w:val="0"/>
          <w:numId w:val="3"/>
        </w:numPr>
        <w:spacing w:before="40" w:after="80"/>
      </w:pPr>
      <w:r>
        <w:rPr>
          <w:rFonts w:ascii="Arial" w:cs="Arial" w:eastAsia="Arial" w:hAnsi="Arial"/>
          <w:b w:val="false"/>
          <w:bCs w:val="false"/>
          <w:i w:val="false"/>
          <w:iCs w:val="false"/>
          <w:color w:val="1A1A0A"/>
          <w:sz w:val="22"/>
          <w:szCs w:val="22"/>
        </w:rPr>
        <w:t xml:space="preserve">Wallet client displays redemption status — pending until ACB settles.</w:t>
      </w:r>
    </w:p>
    <w:p>
      <w:pPr>
        <w:spacing w:before="0" w:after="60"/>
      </w:pPr>
    </w:p>
    <w:p>
      <w:pPr>
        <w:pStyle w:val="Heading2"/>
        <w:spacing w:before="320" w:after="80"/>
      </w:pPr>
      <w:r>
        <w:rPr>
          <w:rFonts w:ascii="Arial" w:cs="Arial" w:eastAsia="Arial" w:hAnsi="Arial"/>
          <w:b/>
          <w:bCs/>
          <w:i w:val="false"/>
          <w:iCs w:val="false"/>
          <w:color w:val="7A5500"/>
          <w:sz w:val="25"/>
          <w:szCs w:val="25"/>
        </w:rPr>
        <w:t xml:space="preserve">4.2 RGC Contract Specification</w:t>
      </w:r>
    </w:p>
    <w:tbl>
      <w:tblPr>
        <w:tblW w:type="dxa" w:w="9360"/>
        <w:tblBorders>
          <w:top w:val="single" w:color="C8C4B0" w:sz="1"/>
          <w:left w:val="single" w:color="C8922A" w:sz="16"/>
          <w:bottom w:val="single" w:color="C8C4B0" w:sz="1"/>
          <w:right w:val="single" w:color="C8C4B0" w:sz="1"/>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RedeemGatewayContract.sol</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pragma solidity ^0.8.24;</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contract RedeemGatewayContract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IPriceOracle    public immutable oracle;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IAssetCustody   public immutable acb;</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IPADUToken      public immutable paduToken;</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address payable public immutable remReserveVault;  // sole fee recipient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IParameterRegistry public immutable params;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One active redemption per wallet at a time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mapping(address =&gt; bytes32) public activeRedemption; // wallet → redemptionId</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event RedeemInitiated(</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address indexed redeemer,</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bytes32 indexed redemptionId,</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grossPADU,</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redeemFee,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netPADUBurned,</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fiatOutputAmount,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pegRate,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timestamp</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event RedeemSettled(bytes32 indexed redemptionId, uint256 settledAt);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struct RedeemRequest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grossPADU;         // total PADU to redeem</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address  outputAsset;       // target stablecoin address, or address(0) for fiat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bytes    outputRecipient;   // ABI-encoded: on-chain address or off-chain identifier</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maxSlippageBps;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expectedFiatOut;   // client-computed — for slippage check</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function redeem(RedeemRequest calldata req) external nonReentrant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require(activeRedemption[msg.sender] == bytes32(0),</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'RGC: redemption already in progress');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require(paduToken.balanceOf(msg.sender) &gt;= req.grossPADU,</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'RGC: insufficient PADU balance');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Fetch redeem fee rate from Parameter Registry</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redeemFeeBps = abi.decode(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params.get(keccak256('redeem.fee.total.bps')), (uint256)</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 = 50 (0.5%)</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Compute fee and net amounts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redeemFee   = (req.grossPADU * redeemFeeBps) / 10000;</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netPADU     = req.grossPADU - redeemFee;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Get oracle rate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rate, ) = oracle.getValidRate();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fiatOut  = (netPADU * 1e18) / rate;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Slippage check</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require(_slippage(req.expectedFiatOut, fiatOut) &lt;= req.maxSlippageBps,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'RGC: slippage exceeded');</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Lock active redemption slot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bytes32 redemptionId = keccak256(abi.encode(msg.sender, block.timestamp, req.grossPADU));</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activeRedemption[msg.sender] = redemptionId;</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Atomically: burn net PADU, transfer fee to RRV</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paduToken.burnFrom(msg.sender, netPADU);</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paduToken.transferFrom(msg.sender, address(remReserveVault), redeemFee);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remReserveVault.deposit() is called by the token transfer hook</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Initiate fiat release via ACB</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acb.initiateRelease(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abi.decode(req.outputRecipient, (address)),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fiatOut,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redemptionId</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emit RedeemInitiated(msg.sender, redemptionId, req.grossPADU, redeemFee,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netPADU, fiatOut, rate, block.timestamp);</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@notice Called by ACB when fiat settlement is confirmed.</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function onRedemptionSettled(bytes32 redemptionId, address redeemer) external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require(msg.sender == address(acb), 'RGC: only ACB may settle');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delete activeRedemption[redeemer];</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emit RedeemSettled(redemptionId, block.timestamp);</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w:t>
            </w:r>
          </w:p>
        </w:tc>
      </w:tr>
    </w:tbl>
    <w:p>
      <w:pPr>
        <w:pStyle w:val="Heading1"/>
        <w:spacing w:before="520" w:after="120"/>
      </w:pPr>
      <w:r>
        <w:rPr>
          <w:rFonts w:ascii="Arial" w:cs="Arial" w:eastAsia="Arial" w:hAnsi="Arial"/>
          <w:b/>
          <w:bCs/>
          <w:i w:val="false"/>
          <w:iCs w:val="false"/>
          <w:color w:val="3A2800"/>
          <w:sz w:val="30"/>
          <w:szCs w:val="30"/>
        </w:rPr>
        <w:t xml:space="preserve">5. Contribution Certificate (CC)</w:t>
      </w:r>
    </w:p>
    <w:p>
      <w:pPr>
        <w:pBdr>
          <w:bottom w:val="single" w:color="C8922A" w:sz="8" w:space="1"/>
        </w:pBdr>
        <w:spacing w:before="0" w:after="160"/>
      </w:pPr>
    </w:p>
    <w:p>
      <w:pPr>
        <w:spacing w:before="60" w:after="120"/>
        <w:jc w:val="both"/>
      </w:pPr>
      <w:r>
        <w:rPr>
          <w:rFonts w:ascii="Arial" w:cs="Arial" w:eastAsia="Arial" w:hAnsi="Arial"/>
          <w:b w:val="false"/>
          <w:bCs w:val="false"/>
          <w:i w:val="false"/>
          <w:iCs w:val="false"/>
          <w:color w:val="1A1A0A"/>
          <w:sz w:val="22"/>
          <w:szCs w:val="22"/>
        </w:rPr>
        <w:t xml:space="preserve">The Contribution Certificate is the on-chain record that entitles a wallet to receive Solidarity Dividends. It is a non-transferable NFT (implemented as ERC-1155 with transfer disabled) issued to the sending wallet on every Mint operation. It tracks a Contribution Weight — the cumulative measure of that wallet's historical contribution to the ecosystem, used to compute dividend share.</w:t>
      </w:r>
    </w:p>
    <w:p>
      <w:pPr>
        <w:pStyle w:val="Heading2"/>
        <w:spacing w:before="320" w:after="80"/>
      </w:pPr>
      <w:r>
        <w:rPr>
          <w:rFonts w:ascii="Arial" w:cs="Arial" w:eastAsia="Arial" w:hAnsi="Arial"/>
          <w:b/>
          <w:bCs/>
          <w:i w:val="false"/>
          <w:iCs w:val="false"/>
          <w:color w:val="7A5500"/>
          <w:sz w:val="25"/>
          <w:szCs w:val="25"/>
        </w:rPr>
        <w:t xml:space="preserve">5.1 Contribution Weight</w:t>
      </w:r>
    </w:p>
    <w:p>
      <w:pPr>
        <w:spacing w:before="60" w:after="120"/>
        <w:jc w:val="both"/>
      </w:pPr>
      <w:r>
        <w:rPr>
          <w:rFonts w:ascii="Arial" w:cs="Arial" w:eastAsia="Arial" w:hAnsi="Arial"/>
          <w:b w:val="false"/>
          <w:bCs w:val="false"/>
          <w:i w:val="false"/>
          <w:iCs w:val="false"/>
          <w:color w:val="1A1A0A"/>
          <w:sz w:val="22"/>
          <w:szCs w:val="22"/>
        </w:rPr>
        <w:t xml:space="preserve">Contribution Weight is not simply the total PADU minted. It is a time-weighted accumulation that rewards early participation. The formula gives higher weight to contributions made when the ecosystem was smaller, creating a structural first-mover advantage for diaspora members who trusted the system early.</w:t>
      </w:r>
    </w:p>
    <w:tbl>
      <w:tblPr>
        <w:tblW w:type="dxa" w:w="9360"/>
        <w:tblBorders>
          <w:top w:val="single" w:color="C8C4B0" w:sz="1"/>
          <w:left w:val="single" w:color="C8922A" w:sz="16"/>
          <w:bottom w:val="single" w:color="C8C4B0" w:sz="1"/>
          <w:right w:val="single" w:color="C8C4B0" w:sz="1"/>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Contribution Weight formula</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For each Mint operation by wallet W at time 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weightIncrement = grossPADU * decayFactor(T)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decayFactor(T) = 1 / (1 + k * (T - genesisTime) / SECONDS_PER_YEAR)</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where k = decay rate constant (Protocol Chamber parameter, initially 0.1)</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This means: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At genesis (T=0):     decayFactor = 1.000  (full weight)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After 1 year:         decayFactor = 0.909  (k=0.1)</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After 5 years:        decayFactor = 0.667</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After 10 years:       decayFactor = 0.500</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This is a hyperbolic decay — not exponential — ensuring weight never reaches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zero and late participants are still meaningfully rewarded, just proportionally</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less than early ones.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Total contribution weight of wallet W:</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W.contributionWeight = sum of all weightIncrements across all W's Mint operations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Example: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Alice mints 100 PADU at genesis:     weight += 100 * 1.000 = 100.0</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Alice mints 100 PADU at year 1:      weight += 100 * 0.909 =  90.9</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Bob   mints 500 PADU at year 2:      weight += 500 * 0.833 = 416.7</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Alice's total weight: 190.9   Bob's total weight: 416.7</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Alice minted less but started earlier — gap is reduced by her early participation.</w:t>
            </w:r>
          </w:p>
        </w:tc>
      </w:tr>
    </w:tbl>
    <w:p>
      <w:pPr>
        <w:pStyle w:val="Heading2"/>
        <w:spacing w:before="320" w:after="80"/>
      </w:pPr>
      <w:r>
        <w:rPr>
          <w:rFonts w:ascii="Arial" w:cs="Arial" w:eastAsia="Arial" w:hAnsi="Arial"/>
          <w:b/>
          <w:bCs/>
          <w:i w:val="false"/>
          <w:iCs w:val="false"/>
          <w:color w:val="7A5500"/>
          <w:sz w:val="25"/>
          <w:szCs w:val="25"/>
        </w:rPr>
        <w:t xml:space="preserve">5.2 CC Contract Specification</w:t>
      </w:r>
    </w:p>
    <w:tbl>
      <w:tblPr>
        <w:tblW w:type="dxa" w:w="9360"/>
        <w:tblBorders>
          <w:top w:val="single" w:color="C8C4B0" w:sz="1"/>
          <w:left w:val="single" w:color="C8922A" w:sz="16"/>
          <w:bottom w:val="single" w:color="C8C4B0" w:sz="1"/>
          <w:right w:val="single" w:color="C8C4B0" w:sz="1"/>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ContributionCertificate.sol — ERC-1155, transfers disabled</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pragma solidity ^0.8.24;</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import '@openzeppelin/contracts/token/ERC1155/ERC1155.sol';</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contract ContributionCertificate is ERC1155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address public immutable mgc;        // only minter</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IParameterRegistry public immutable params;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TOKEN ID convention: each wallet has exactly one CC (token ID = uint256(walletAddress))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balance is always 1 — the certificate exists or it doesn't.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All weight data is in contributionData, not in the token balance.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struct ContributionData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totalWeight;        // cumulative time-weighted contribution</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totalGrossMinted;   // simple sum of all gross PADU minted (unweighted)</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firstMintAt;        // timestamp of first-ever Mint by this wallet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lastMintAt;         // timestamp of most recent Mint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mintCount;          // number of distinct Mint operations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lastDividendEpoch;  // last epoch from which dividends were claimed</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mapping(address =&gt; ContributionData) public contributions;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public immutable genesisTime;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public totalSystemWeight;  // sum of all wallet weights — denominator</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for dividend share calculation</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event ContributionRecorded(</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address indexed contributor,</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grossPADU,</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weightIncrement,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newTotalWeight,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timestamp</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@notice Called by MGC on every successful Mint.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function recordContribution(</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address contributor,</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grossAmountPADU,</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mintTimestamp</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external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require(msg.sender == mgc, 'CC: only MGC may record contributions');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Compute decay factor as fixed-point (18 decimals)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k       = abi.decode(params.get(keccak256('contrib.decay.k')), (uint256));</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elapsed = mintTimestamp - genesisTime;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factor  = 1e18 * 1e18 / (1e18 + k * elapsed / 365 days);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weightIncrement = (grossAmountPADU * factor) / 1e18;</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ContributionData storage data = contributions[contributor];</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if (data.firstMintAt == 0)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data.firstMintAt = mintTimestamp;</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_mint(contributor, uint256(uint160(contributor)), 1, '');  // issue CC NFT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data.totalWeight     += weightIncrement;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data.totalGrossMinted += grossAmountPADU;</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data.lastMintAt       = mintTimestamp;</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data.mintCount        += 1;</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totalSystemWeight     += weightIncrement;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emit ContributionRecorded(contributor, grossAmountPADU, weightIncrement,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data.totalWeight, mintTimestamp);</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 TRANSFER DISABLED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function safeTransferFrom(address, address, uint256, uint256, bytes memory)</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public pure override { revert('CC: certificates are non-transferable');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function safeBatchTransferFrom(address, address, uint256[] memory,</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memory, bytes memory) public pure override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revert('CC: certificates are non-transferable');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1"/>
              <w:left w:val="single" w:color="1A4A7A" w:sz="20"/>
              <w:bottom w:val="single" w:color="1A4A7A" w:sz="1"/>
              <w:right w:val="single" w:color="C8C4B0" w:sz="1"/>
            </w:tcBorders>
            <w:shd w:fill="F0F8FF" w:val="clear"/>
            <w:tcMar>
              <w:top w:type="dxa" w:w="100"/>
              <w:left w:type="dxa" w:w="200"/>
              <w:bottom w:type="dxa" w:w="100"/>
              <w:right w:type="dxa" w:w="200"/>
            </w:tcMar>
          </w:tcPr>
          <w:p>
            <w:pPr>
              <w:spacing w:before="0" w:after="60"/>
            </w:pPr>
            <w:r>
              <w:rPr>
                <w:rFonts w:ascii="Arial" w:cs="Arial" w:eastAsia="Arial" w:hAnsi="Arial"/>
                <w:b/>
                <w:bCs/>
                <w:i w:val="false"/>
                <w:iCs w:val="false"/>
                <w:color w:val="1A4A7A"/>
                <w:sz w:val="20"/>
                <w:szCs w:val="20"/>
              </w:rPr>
              <w:t xml:space="preserve">WHY NON-TRANSFERABLE</w:t>
            </w:r>
          </w:p>
          <w:p>
            <w:pPr>
              <w:spacing w:before="0" w:after="0"/>
              <w:jc w:val="both"/>
            </w:pPr>
            <w:r>
              <w:rPr>
                <w:rFonts w:ascii="Arial" w:cs="Arial" w:eastAsia="Arial" w:hAnsi="Arial"/>
                <w:b w:val="false"/>
                <w:bCs w:val="false"/>
                <w:i w:val="false"/>
                <w:iCs w:val="false"/>
                <w:color w:val="1A1A0A"/>
                <w:sz w:val="20"/>
                <w:szCs w:val="20"/>
              </w:rPr>
              <w:t xml:space="preserve">Contribution Certificates are non-transferable by design. If they were tradeable, wealthy actors could buy up certificates from early contributors, concentrating dividend rights in few hands and undermining the system's purpose of rewarding genuine ecosystem builders. The certificate is tied to the wallet that did the contributing — it cannot be separated from that history.</w:t>
            </w:r>
          </w:p>
        </w:tc>
      </w:tr>
    </w:tbl>
    <w:p>
      <w:pPr>
        <w:pStyle w:val="Heading1"/>
        <w:spacing w:before="520" w:after="120"/>
      </w:pPr>
      <w:r>
        <w:rPr>
          <w:rFonts w:ascii="Arial" w:cs="Arial" w:eastAsia="Arial" w:hAnsi="Arial"/>
          <w:b/>
          <w:bCs/>
          <w:i w:val="false"/>
          <w:iCs w:val="false"/>
          <w:color w:val="3A2800"/>
          <w:sz w:val="30"/>
          <w:szCs w:val="30"/>
        </w:rPr>
        <w:t xml:space="preserve">6. Remunerative Reserve Vault (RRV)</w:t>
      </w:r>
    </w:p>
    <w:p>
      <w:pPr>
        <w:pBdr>
          <w:bottom w:val="single" w:color="C8922A" w:sz="8" w:space="1"/>
        </w:pBdr>
        <w:spacing w:before="0" w:after="160"/>
      </w:pPr>
    </w:p>
    <w:p>
      <w:pPr>
        <w:spacing w:before="60" w:after="120"/>
        <w:jc w:val="both"/>
      </w:pPr>
      <w:r>
        <w:rPr>
          <w:rFonts w:ascii="Arial" w:cs="Arial" w:eastAsia="Arial" w:hAnsi="Arial"/>
          <w:b w:val="false"/>
          <w:bCs w:val="false"/>
          <w:i w:val="false"/>
          <w:iCs w:val="false"/>
          <w:color w:val="1A1A0A"/>
          <w:sz w:val="22"/>
          <w:szCs w:val="22"/>
        </w:rPr>
        <w:t xml:space="preserve">The RRV accumulates inflows from two sources: the 0.5% mint fee remunerative slice (from MGC), and the full 0.5% redemption fee (from RGC). Like the Social Fund Vault, it has no admin key and no emergency drain. It distributes its balance only through the Dividend Distribution Engine on a defined schedule.</w:t>
      </w:r>
    </w:p>
    <w:tbl>
      <w:tblPr>
        <w:tblW w:type="dxa" w:w="9360"/>
        <w:tblBorders>
          <w:top w:val="single" w:color="C8C4B0" w:sz="1"/>
          <w:left w:val="single" w:color="C8922A" w:sz="16"/>
          <w:bottom w:val="single" w:color="C8C4B0" w:sz="1"/>
          <w:right w:val="single" w:color="C8C4B0" w:sz="1"/>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RemunReserveVault.sol</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pragma solidity ^0.8.24;</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contract RemunReserveVault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address public immutable mgc;   // authorised inflow source 1</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address public immutable rgc;   // authorised inflow source 2</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address public immutable dde;   // sole authorised outflow</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public totalReceived;</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public totalDistributed;</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Epoch accounting: RRV tracks how much was in the vault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at the start of each dividend epoch, for DDE to use.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mapping(uint256 =&gt; uint256) public epochOpeningBalance; // epochId → balance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event Deposit(address indexed source, uint256 amount, uint256 newBalance);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event EpochSnapshotted(uint256 indexed epochId, uint256 balance);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event DividendReleased(uint256 indexed epochId, uint256 amount);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receive() external payable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require(msg.sender == mgc || msg.sender == rgc,</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'RRV: unauthorised deposit source');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totalReceived += msg.value;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emit Deposit(msg.sender, msg.value, address(this).balance);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@notice Called by DDE at the start of each epoch to snapshot the balance.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function snapshotEpochBalance(uint256 epochId) external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require(msg.sender == dde, 'RRV: only DDE may snapshot');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epochOpeningBalance[epochId] = address(this).balance;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emit EpochSnapshotted(epochId, address(this).balance);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@notice Called by DDE to release a dividend tranche to a certificate holder.</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function releaseDividend(uint256 epochId, address holder, uint256 amount) external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require(msg.sender == dde, 'RRV: only DDE may release');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require(amount &lt;= address(this).balance, 'RRV: insufficient balance');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totalDistributed += amount;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emit DividendReleased(epochId, amount);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(bool ok, ) = holder.call{value: amount}('');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require(ok, 'RRV: transfer failed');</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w:t>
            </w:r>
          </w:p>
        </w:tc>
      </w:tr>
    </w:tbl>
    <w:p>
      <w:pPr>
        <w:pStyle w:val="Heading1"/>
        <w:spacing w:before="520" w:after="120"/>
      </w:pPr>
      <w:r>
        <w:rPr>
          <w:rFonts w:ascii="Arial" w:cs="Arial" w:eastAsia="Arial" w:hAnsi="Arial"/>
          <w:b/>
          <w:bCs/>
          <w:i w:val="false"/>
          <w:iCs w:val="false"/>
          <w:color w:val="3A2800"/>
          <w:sz w:val="30"/>
          <w:szCs w:val="30"/>
        </w:rPr>
        <w:t xml:space="preserve">7. Dividend Distribution Engine (DDE)</w:t>
      </w:r>
    </w:p>
    <w:p>
      <w:pPr>
        <w:pBdr>
          <w:bottom w:val="single" w:color="C8922A" w:sz="8" w:space="1"/>
        </w:pBdr>
        <w:spacing w:before="0" w:after="160"/>
      </w:pPr>
    </w:p>
    <w:p>
      <w:pPr>
        <w:spacing w:before="60" w:after="120"/>
        <w:jc w:val="both"/>
      </w:pPr>
      <w:r>
        <w:rPr>
          <w:rFonts w:ascii="Arial" w:cs="Arial" w:eastAsia="Arial" w:hAnsi="Arial"/>
          <w:b w:val="false"/>
          <w:bCs w:val="false"/>
          <w:i w:val="false"/>
          <w:iCs w:val="false"/>
          <w:color w:val="1A1A0A"/>
          <w:sz w:val="22"/>
          <w:szCs w:val="22"/>
        </w:rPr>
        <w:t xml:space="preserve">The DDE is the mechanism that periodically calculates and distributes Solidarity Dividends from the RRV to eligible Contribution Certificate holders. It enforces the vesting cliff, manages distribution epochs, and provides each eligible holder a claimable balance they can withdraw at any time after their vesting date.</w:t>
      </w:r>
    </w:p>
    <w:p>
      <w:pPr>
        <w:pStyle w:val="Heading2"/>
        <w:spacing w:before="320" w:after="80"/>
      </w:pPr>
      <w:r>
        <w:rPr>
          <w:rFonts w:ascii="Arial" w:cs="Arial" w:eastAsia="Arial" w:hAnsi="Arial"/>
          <w:b/>
          <w:bCs/>
          <w:i w:val="false"/>
          <w:iCs w:val="false"/>
          <w:color w:val="7A5500"/>
          <w:sz w:val="25"/>
          <w:szCs w:val="25"/>
        </w:rPr>
        <w:t xml:space="preserve">7.1 Vesting and Epoch Design</w:t>
      </w:r>
    </w:p>
    <w:p>
      <w:pPr>
        <w:spacing w:before="60" w:after="120"/>
        <w:jc w:val="both"/>
      </w:pPr>
      <w:r>
        <w:rPr>
          <w:rFonts w:ascii="Arial" w:cs="Arial" w:eastAsia="Arial" w:hAnsi="Arial"/>
          <w:b w:val="false"/>
          <w:bCs w:val="false"/>
          <w:i w:val="false"/>
          <w:iCs w:val="false"/>
          <w:color w:val="1A1A0A"/>
          <w:sz w:val="22"/>
          <w:szCs w:val="22"/>
        </w:rPr>
        <w:t xml:space="preserve">The Solidarity Dividend operates on a two-level time structure:</w:t>
      </w:r>
    </w:p>
    <w:p>
      <w:pPr>
        <w:pStyle w:val="ListParagraph"/>
        <w:numPr>
          <w:ilvl w:val="0"/>
          <w:numId w:val="2"/>
        </w:numPr>
        <w:spacing w:before="40" w:after="80"/>
      </w:pPr>
      <w:r>
        <w:rPr>
          <w:rFonts w:ascii="Arial" w:cs="Arial" w:eastAsia="Arial" w:hAnsi="Arial"/>
          <w:b w:val="false"/>
          <w:bCs w:val="false"/>
          <w:i w:val="false"/>
          <w:iCs w:val="false"/>
          <w:color w:val="1A1A0A"/>
          <w:sz w:val="22"/>
          <w:szCs w:val="22"/>
        </w:rPr>
        <w:t xml:space="preserve">Vesting cliff: a Contribution Certificate becomes eligible for dividend distributions only after 5 years from the date of the first contribution it records. Contributions made after year 5 begin their own 5-year cliff from the date they were made. This cliff is measured per-contribution, tracked by the epoch system.</w:t>
      </w:r>
    </w:p>
    <w:p>
      <w:pPr>
        <w:pStyle w:val="ListParagraph"/>
        <w:numPr>
          <w:ilvl w:val="0"/>
          <w:numId w:val="2"/>
        </w:numPr>
        <w:spacing w:before="40" w:after="80"/>
      </w:pPr>
      <w:r>
        <w:rPr>
          <w:rFonts w:ascii="Arial" w:cs="Arial" w:eastAsia="Arial" w:hAnsi="Arial"/>
          <w:b w:val="false"/>
          <w:bCs w:val="false"/>
          <w:i w:val="false"/>
          <w:iCs w:val="false"/>
          <w:color w:val="1A1A0A"/>
          <w:sz w:val="22"/>
          <w:szCs w:val="22"/>
        </w:rPr>
        <w:t xml:space="preserve">Distribution epochs: every 12 months, the DDE opens a new distribution epoch. At epoch open, the RRV balance is snapshotted. Each eligible certificate holder's share of that snapshot is computed proportionally from their vested Contribution Weight. Holders may claim at any time during or after the epoch — unclaimed dividends accumulate and remain claimable indefinitely.</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1"/>
              <w:left w:val="single" w:color="1A4A7A" w:sz="20"/>
              <w:bottom w:val="single" w:color="1A4A7A" w:sz="1"/>
              <w:right w:val="single" w:color="C8C4B0" w:sz="1"/>
            </w:tcBorders>
            <w:shd w:fill="F0F8FF" w:val="clear"/>
            <w:tcMar>
              <w:top w:type="dxa" w:w="100"/>
              <w:left w:type="dxa" w:w="200"/>
              <w:bottom w:type="dxa" w:w="100"/>
              <w:right w:type="dxa" w:w="200"/>
            </w:tcMar>
          </w:tcPr>
          <w:p>
            <w:pPr>
              <w:spacing w:before="0" w:after="60"/>
            </w:pPr>
            <w:r>
              <w:rPr>
                <w:rFonts w:ascii="Arial" w:cs="Arial" w:eastAsia="Arial" w:hAnsi="Arial"/>
                <w:b/>
                <w:bCs/>
                <w:i w:val="false"/>
                <w:iCs w:val="false"/>
                <w:color w:val="1A4A7A"/>
                <w:sz w:val="20"/>
                <w:szCs w:val="20"/>
              </w:rPr>
              <w:t xml:space="preserve">5-YEAR CLIFF RATIONALE</w:t>
            </w:r>
          </w:p>
          <w:p>
            <w:pPr>
              <w:spacing w:before="0" w:after="0"/>
              <w:jc w:val="both"/>
            </w:pPr>
            <w:r>
              <w:rPr>
                <w:rFonts w:ascii="Arial" w:cs="Arial" w:eastAsia="Arial" w:hAnsi="Arial"/>
                <w:b w:val="false"/>
                <w:bCs w:val="false"/>
                <w:i w:val="false"/>
                <w:iCs w:val="false"/>
                <w:color w:val="1A1A0A"/>
                <w:sz w:val="20"/>
                <w:szCs w:val="20"/>
              </w:rPr>
              <w:t xml:space="preserve">The 5-year vesting cliff was defined in the political document (PADU Position Paper) and confirmed in project design sessions. It ensures the Solidarity Dividend is a long-term instrument, not a short-term trading incentive. It also aligns dividend eligibility with the Protocol Chamber's 5-year governance cycle — the same timescale at which the ecosystem's fundamental rules may be reviewed.</w:t>
            </w:r>
          </w:p>
        </w:tc>
      </w:tr>
    </w:tbl>
    <w:p>
      <w:pPr>
        <w:pStyle w:val="Heading2"/>
        <w:spacing w:before="320" w:after="80"/>
      </w:pPr>
      <w:r>
        <w:rPr>
          <w:rFonts w:ascii="Arial" w:cs="Arial" w:eastAsia="Arial" w:hAnsi="Arial"/>
          <w:b/>
          <w:bCs/>
          <w:i w:val="false"/>
          <w:iCs w:val="false"/>
          <w:color w:val="7A5500"/>
          <w:sz w:val="25"/>
          <w:szCs w:val="25"/>
        </w:rPr>
        <w:t xml:space="preserve">7.2 Dividend Calculation</w:t>
      </w:r>
    </w:p>
    <w:p>
      <w:pPr>
        <w:spacing w:before="60" w:after="120"/>
        <w:jc w:val="both"/>
      </w:pPr>
      <w:r>
        <w:rPr>
          <w:rFonts w:ascii="Arial" w:cs="Arial" w:eastAsia="Arial" w:hAnsi="Arial"/>
          <w:b w:val="false"/>
          <w:bCs w:val="false"/>
          <w:i w:val="false"/>
          <w:iCs w:val="false"/>
          <w:color w:val="1A1A0A"/>
          <w:sz w:val="22"/>
          <w:szCs w:val="22"/>
        </w:rPr>
        <w:t xml:space="preserve">At the start of each annual epoch, the DDE computes each eligible holder's share using their vested Contribution Weight relative to the total vested system weight:</w:t>
      </w:r>
    </w:p>
    <w:tbl>
      <w:tblPr>
        <w:tblW w:type="dxa" w:w="9360"/>
        <w:tblBorders>
          <w:top w:val="single" w:color="C8C4B0" w:sz="1"/>
          <w:left w:val="single" w:color="C8922A" w:sz="16"/>
          <w:bottom w:val="single" w:color="C8C4B0" w:sz="1"/>
          <w:right w:val="single" w:color="C8C4B0" w:sz="1"/>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Dividend share calculation — pseudocode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At epoch E start: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epochBalance     = RRV balance (snapshotted at epoch open)</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distributionPool = epochBalance * DISTRIBUTION_RATE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DISTRIBUTION_RATE: fraction of RRV distributed per epoch</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Initially 20% per year — Protocol Chamber parameter</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This means the reserve is not fully drained each year,</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allowing it to compound between epochs.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For each holder H with a vested certificate: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H.vestedWeight = sum of weightIncrements where mintTimestamp + 5 years &lt;= epochStart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H.dividendShare = (H.vestedWeight / totalVestedSystemWeight) * distributionPool</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Example at Epoch 6 (year 6):</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RRV balance:             1,000,000 PADU</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distributionPool (20%):    200,000 PADU</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Alice vestedWeight:            190.9</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Bob   vestedWeight:            416.7</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Total vested weight:           607.6</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Alice dividend: (190.9/607.6) * 200,000 =  62,858 PADU</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Bob   dividend: (416.7/607.6) * 200,000 = 137,142 PADU</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RRV balance after distribution (80% retained): 800,000 PADU</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Continues compounding into next epoch.</w:t>
            </w:r>
          </w:p>
        </w:tc>
      </w:tr>
    </w:tbl>
    <w:p>
      <w:pPr>
        <w:pStyle w:val="Heading2"/>
        <w:spacing w:before="320" w:after="80"/>
      </w:pPr>
      <w:r>
        <w:rPr>
          <w:rFonts w:ascii="Arial" w:cs="Arial" w:eastAsia="Arial" w:hAnsi="Arial"/>
          <w:b/>
          <w:bCs/>
          <w:i w:val="false"/>
          <w:iCs w:val="false"/>
          <w:color w:val="7A5500"/>
          <w:sz w:val="25"/>
          <w:szCs w:val="25"/>
        </w:rPr>
        <w:t xml:space="preserve">7.3 DDE Contract Specification</w:t>
      </w:r>
    </w:p>
    <w:tbl>
      <w:tblPr>
        <w:tblW w:type="dxa" w:w="9360"/>
        <w:tblBorders>
          <w:top w:val="single" w:color="C8C4B0" w:sz="1"/>
          <w:left w:val="single" w:color="C8922A" w:sz="16"/>
          <w:bottom w:val="single" w:color="C8C4B0" w:sz="1"/>
          <w:right w:val="single" w:color="C8C4B0" w:sz="1"/>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DividendDistributionEngine.sol</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pragma solidity ^0.8.24;</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contract DividendDistributionEngine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IRemunReserveVault  public immutable rrv;</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IContribCert        public immutable cc;</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IParameterRegistry  public immutable params;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public constant EPOCH_DURATION   = 365 days;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public constant VESTING_CLIFF    = 5 * 365 days; // 5 years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public immutable genesisTime;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public currentEpoch;</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public epochStartedAt;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Claimable balances: holder → epochId → amount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mapping(address =&gt; mapping(uint256 =&gt; uint256)) public claimable;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Per-epoch accounting</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mapping(uint256 =&gt; uint256) public epochDistributionPool;</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mapping(uint256 =&gt; uint256) public epochTotalVestedWeight;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event EpochOpened(uint256 indexed epochId, uint256 distributionPool,</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totalVestedWeight, uint256 timestamp);</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event DividendAllocated(address indexed holder, uint256 indexed epochId,</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amount, uint256 vestedWeight);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event DividendClaimed(address indexed holder, uint256 indexed epochId,</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amount, uint256 timestamp);</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@notice Opens the next epoch. Callable by anyone after EPOCH_DURATION has elapsed.</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function openNextEpoch() external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require(block.timestamp &gt;= epochStartedAt + EPOCH_DURATION, 'DDE: epoch not due');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currentEpoch++;</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epochStartedAt = block.timestamp;</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rrv.snapshotEpochBalance(currentEpoch);</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epochBalance = rrv.epochOpeningBalance(currentEpoch);</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distRateBps  = abi.decode(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params.get(keccak256('dividend.distribution.rate.bps')), (uint256)</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 initially 2000 = 20%</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epochDistributionPool[currentEpoch] = (epochBalance * distRateBps) / 10000;</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Compute total vested weight across all CC holders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epochTotalVestedWeight[currentEpoch] = cc.totalVestedWeight(block.timestamp);</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emit EpochOpened(currentEpoch, epochDistributionPool[currentEpoch],</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epochTotalVestedWeight[currentEpoch], block.timestamp);</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@notice Allocates a holder's dividend for the given epoch.</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@dev Callable by anyone — allocation is deterministic from on-chain state.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Typically called by wallet clients for their own user.</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function allocateDividend(address holder, uint256 epochId) external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require(claimable[holder][epochId] == 0, 'DDE: already allocated');</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vestedWeight = cc.vestedWeightAt(holder, epochStartedAt);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require(vestedWeight &gt; 0, 'DDE: no vested weight for this holder');</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share = (vestedWeight * epochDistributionPool[epochId])</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epochTotalVestedWeight[epochId];</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claimable[holder][epochId] = share;</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emit DividendAllocated(holder, epochId, share, vestedWeight);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@notice Holder claims all available dividends from a specific epoch.</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function claim(uint256 epochId) external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amount = claimable[msg.sender][epochId];</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require(amount &gt; 0, 'DDE: nothing to claim');</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claimable[msg.sender][epochId] = 0;</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rrv.releaseDividend(epochId, msg.sender, amount);</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emit DividendClaimed(msg.sender, epochId, amount, block.timestamp);</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 @notice Claim all epochs at once. Gas-intensive for many epochs.</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function claimAll(uint256[] calldata epochIds) external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uint256 total = 0;</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for (uint i = 0; i &lt; epochIds.length; i++)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total += claimable[msg.sender][epochIds[i]];</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claimable[msg.sender][epochIds[i]] = 0;</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require(total &gt; 0, 'DDE: nothing to claim');</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rrv.releaseDividend(epochIds[epochIds.length-1], msg.sender, total);</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  }</w:t>
            </w:r>
          </w:p>
        </w:tc>
      </w:tr>
      <w:tr>
        <w:tc>
          <w:tcPr>
            <w:tcW w:type="dxa" w:w="9360"/>
            <w:tcBorders>
              <w:top w:val="single" w:color="FFFFFF" w:sz="1"/>
              <w:left w:val="single" w:color="FFFFFF" w:sz="1"/>
              <w:bottom w:val="single" w:color="FFFFFF" w:sz="1"/>
              <w:right w:val="single" w:color="FFFFFF" w:sz="1"/>
            </w:tcBorders>
            <w:shd w:fill="F8F6F0"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2A1A00"/>
                <w:sz w:val="18"/>
                <w:szCs w:val="18"/>
              </w:rPr>
              <w:t xml:space="preserve">}</w:t>
            </w:r>
          </w:p>
        </w:tc>
      </w:tr>
    </w:tbl>
    <w:p>
      <w:pPr>
        <w:pStyle w:val="Heading1"/>
        <w:spacing w:before="520" w:after="120"/>
      </w:pPr>
      <w:r>
        <w:rPr>
          <w:rFonts w:ascii="Arial" w:cs="Arial" w:eastAsia="Arial" w:hAnsi="Arial"/>
          <w:b/>
          <w:bCs/>
          <w:i w:val="false"/>
          <w:iCs w:val="false"/>
          <w:color w:val="3A2800"/>
          <w:sz w:val="30"/>
          <w:szCs w:val="30"/>
        </w:rPr>
        <w:t xml:space="preserve">8. Wallet Application Requirements</w:t>
      </w:r>
    </w:p>
    <w:p>
      <w:pPr>
        <w:pBdr>
          <w:bottom w:val="single" w:color="C8922A" w:sz="8" w:space="1"/>
        </w:pBdr>
        <w:spacing w:before="0" w:after="160"/>
      </w:pPr>
    </w:p>
    <w:p>
      <w:pPr>
        <w:pStyle w:val="Heading2"/>
        <w:spacing w:before="320" w:after="80"/>
      </w:pPr>
      <w:r>
        <w:rPr>
          <w:rFonts w:ascii="Arial" w:cs="Arial" w:eastAsia="Arial" w:hAnsi="Arial"/>
          <w:b/>
          <w:bCs/>
          <w:i w:val="false"/>
          <w:iCs w:val="false"/>
          <w:color w:val="7A5500"/>
          <w:sz w:val="25"/>
          <w:szCs w:val="25"/>
        </w:rPr>
        <w:t xml:space="preserve">8.1 Mint and Redeem Screens</w:t>
      </w:r>
    </w:p>
    <w:p>
      <w:pPr>
        <w:pStyle w:val="ListParagraph"/>
        <w:numPr>
          <w:ilvl w:val="0"/>
          <w:numId w:val="2"/>
        </w:numPr>
        <w:spacing w:before="40" w:after="80"/>
      </w:pPr>
      <w:r>
        <w:rPr>
          <w:rFonts w:ascii="Arial" w:cs="Arial" w:eastAsia="Arial" w:hAnsi="Arial"/>
          <w:b w:val="false"/>
          <w:bCs w:val="false"/>
          <w:i w:val="false"/>
          <w:iCs w:val="false"/>
          <w:color w:val="1A1A0A"/>
          <w:sz w:val="22"/>
          <w:szCs w:val="22"/>
        </w:rPr>
        <w:t xml:space="preserve">REM-01: The Mint screen must clearly distinguish between 'Buy PADU' (Mint) and 'Send PADU' (Transfer). They must not be presented as the same action.</w:t>
      </w:r>
    </w:p>
    <w:p>
      <w:pPr>
        <w:pStyle w:val="ListParagraph"/>
        <w:numPr>
          <w:ilvl w:val="0"/>
          <w:numId w:val="2"/>
        </w:numPr>
        <w:spacing w:before="40" w:after="80"/>
      </w:pPr>
      <w:r>
        <w:rPr>
          <w:rFonts w:ascii="Arial" w:cs="Arial" w:eastAsia="Arial" w:hAnsi="Arial"/>
          <w:b w:val="false"/>
          <w:bCs w:val="false"/>
          <w:i w:val="false"/>
          <w:iCs w:val="false"/>
          <w:color w:val="1A1A0A"/>
          <w:sz w:val="22"/>
          <w:szCs w:val="22"/>
        </w:rPr>
        <w:t xml:space="preserve">REM-02: Mint confirmation screen must display: gross input amount, fee total (1.5%), each fee component and its destination (operational, social fund, your remunerative contribution), net PADU to receive, and the current oracle rate used.</w:t>
      </w:r>
    </w:p>
    <w:p>
      <w:pPr>
        <w:pStyle w:val="ListParagraph"/>
        <w:numPr>
          <w:ilvl w:val="0"/>
          <w:numId w:val="2"/>
        </w:numPr>
        <w:spacing w:before="40" w:after="80"/>
      </w:pPr>
      <w:r>
        <w:rPr>
          <w:rFonts w:ascii="Arial" w:cs="Arial" w:eastAsia="Arial" w:hAnsi="Arial"/>
          <w:b w:val="false"/>
          <w:bCs w:val="false"/>
          <w:i w:val="false"/>
          <w:iCs w:val="false"/>
          <w:color w:val="1A1A0A"/>
          <w:sz w:val="22"/>
          <w:szCs w:val="22"/>
        </w:rPr>
        <w:t xml:space="preserve">REM-03: Redeem confirmation screen must display: gross PADU to redeem, redemption fee (0.5%), its destination ('Long-term holder reward pool'), net PADU after fee, equivalent fiat output, and estimated settlement time.</w:t>
      </w:r>
    </w:p>
    <w:p>
      <w:pPr>
        <w:pStyle w:val="ListParagraph"/>
        <w:numPr>
          <w:ilvl w:val="0"/>
          <w:numId w:val="2"/>
        </w:numPr>
        <w:spacing w:before="40" w:after="80"/>
      </w:pPr>
      <w:r>
        <w:rPr>
          <w:rFonts w:ascii="Arial" w:cs="Arial" w:eastAsia="Arial" w:hAnsi="Arial"/>
          <w:b w:val="false"/>
          <w:bCs w:val="false"/>
          <w:i w:val="false"/>
          <w:iCs w:val="false"/>
          <w:color w:val="1A1A0A"/>
          <w:sz w:val="22"/>
          <w:szCs w:val="22"/>
        </w:rPr>
        <w:t xml:space="preserve">REM-04: Transfer confirmation screen must display: amount sent, fee (ZERO — explicitly shown), and recipient. The zero fee must be displayed as '0 PADU — transfers are free' not simply omitted.</w:t>
      </w:r>
    </w:p>
    <w:p>
      <w:pPr>
        <w:pStyle w:val="ListParagraph"/>
        <w:numPr>
          <w:ilvl w:val="0"/>
          <w:numId w:val="2"/>
        </w:numPr>
        <w:spacing w:before="40" w:after="80"/>
      </w:pPr>
      <w:r>
        <w:rPr>
          <w:rFonts w:ascii="Arial" w:cs="Arial" w:eastAsia="Arial" w:hAnsi="Arial"/>
          <w:b w:val="false"/>
          <w:bCs w:val="false"/>
          <w:i w:val="false"/>
          <w:iCs w:val="false"/>
          <w:color w:val="1A1A0A"/>
          <w:sz w:val="22"/>
          <w:szCs w:val="22"/>
        </w:rPr>
        <w:t xml:space="preserve">REM-05: The Mint screen must display the current Remunerative Reserve balance and the user's current Contribution Weight, so users understand the contribution value of their Mint in real time.</w:t>
      </w:r>
    </w:p>
    <w:p>
      <w:pPr>
        <w:pStyle w:val="Heading2"/>
        <w:spacing w:before="320" w:after="80"/>
      </w:pPr>
      <w:r>
        <w:rPr>
          <w:rFonts w:ascii="Arial" w:cs="Arial" w:eastAsia="Arial" w:hAnsi="Arial"/>
          <w:b/>
          <w:bCs/>
          <w:i w:val="false"/>
          <w:iCs w:val="false"/>
          <w:color w:val="7A5500"/>
          <w:sz w:val="25"/>
          <w:szCs w:val="25"/>
        </w:rPr>
        <w:t xml:space="preserve">8.2 Solidarity Dividend Dashboard</w:t>
      </w:r>
    </w:p>
    <w:p>
      <w:pPr>
        <w:pStyle w:val="ListParagraph"/>
        <w:numPr>
          <w:ilvl w:val="0"/>
          <w:numId w:val="2"/>
        </w:numPr>
        <w:spacing w:before="40" w:after="80"/>
      </w:pPr>
      <w:r>
        <w:rPr>
          <w:rFonts w:ascii="Arial" w:cs="Arial" w:eastAsia="Arial" w:hAnsi="Arial"/>
          <w:b w:val="false"/>
          <w:bCs w:val="false"/>
          <w:i w:val="false"/>
          <w:iCs w:val="false"/>
          <w:color w:val="1A1A0A"/>
          <w:sz w:val="22"/>
          <w:szCs w:val="22"/>
        </w:rPr>
        <w:t xml:space="preserve">REM-06: A 'My Dividends' section shows: user's current Contribution Weight, vesting cliff status per contribution batch, next eligible epoch date, estimated dividend at current reserve level and current system weight, and claimable balances per epoch.</w:t>
      </w:r>
    </w:p>
    <w:p>
      <w:pPr>
        <w:pStyle w:val="ListParagraph"/>
        <w:numPr>
          <w:ilvl w:val="0"/>
          <w:numId w:val="2"/>
        </w:numPr>
        <w:spacing w:before="40" w:after="80"/>
      </w:pPr>
      <w:r>
        <w:rPr>
          <w:rFonts w:ascii="Arial" w:cs="Arial" w:eastAsia="Arial" w:hAnsi="Arial"/>
          <w:b w:val="false"/>
          <w:bCs w:val="false"/>
          <w:i w:val="false"/>
          <w:iCs w:val="false"/>
          <w:color w:val="1A1A0A"/>
          <w:sz w:val="22"/>
          <w:szCs w:val="22"/>
        </w:rPr>
        <w:t xml:space="preserve">REM-07: The dashboard must display the Remunerative Reserve current balance and a projection chart showing estimated reserve growth at current Mint/Redeem volume.</w:t>
      </w:r>
    </w:p>
    <w:p>
      <w:pPr>
        <w:pStyle w:val="ListParagraph"/>
        <w:numPr>
          <w:ilvl w:val="0"/>
          <w:numId w:val="2"/>
        </w:numPr>
        <w:spacing w:before="40" w:after="80"/>
      </w:pPr>
      <w:r>
        <w:rPr>
          <w:rFonts w:ascii="Arial" w:cs="Arial" w:eastAsia="Arial" w:hAnsi="Arial"/>
          <w:b w:val="false"/>
          <w:bCs w:val="false"/>
          <w:i w:val="false"/>
          <w:iCs w:val="false"/>
          <w:color w:val="1A1A0A"/>
          <w:sz w:val="22"/>
          <w:szCs w:val="22"/>
        </w:rPr>
        <w:t xml:space="preserve">REM-08: When dividends become claimable, a notification is sent to the wallet. The notification must state the claimable amount in PADU and fiat equivalent.</w:t>
      </w:r>
    </w:p>
    <w:p>
      <w:pPr>
        <w:pStyle w:val="ListParagraph"/>
        <w:numPr>
          <w:ilvl w:val="0"/>
          <w:numId w:val="2"/>
        </w:numPr>
        <w:spacing w:before="40" w:after="80"/>
      </w:pPr>
      <w:r>
        <w:rPr>
          <w:rFonts w:ascii="Arial" w:cs="Arial" w:eastAsia="Arial" w:hAnsi="Arial"/>
          <w:b w:val="false"/>
          <w:bCs w:val="false"/>
          <w:i w:val="false"/>
          <w:iCs w:val="false"/>
          <w:color w:val="1A1A0A"/>
          <w:sz w:val="22"/>
          <w:szCs w:val="22"/>
        </w:rPr>
        <w:t xml:space="preserve">REM-09: The claim flow requires one explicit confirmation screen — the user must see the amount, confirm it matches their expectation, then approve the claim transaction. No multi-step deliberation proof is required (unlike governance votes) — dividend claims are routine financial transactions.</w:t>
      </w:r>
    </w:p>
    <w:p>
      <w:pPr>
        <w:pStyle w:val="ListParagraph"/>
        <w:numPr>
          <w:ilvl w:val="0"/>
          <w:numId w:val="2"/>
        </w:numPr>
        <w:spacing w:before="40" w:after="80"/>
      </w:pPr>
      <w:r>
        <w:rPr>
          <w:rFonts w:ascii="Arial" w:cs="Arial" w:eastAsia="Arial" w:hAnsi="Arial"/>
          <w:b w:val="false"/>
          <w:bCs w:val="false"/>
          <w:i w:val="false"/>
          <w:iCs w:val="false"/>
          <w:color w:val="1A1A0A"/>
          <w:sz w:val="22"/>
          <w:szCs w:val="22"/>
        </w:rPr>
        <w:t xml:space="preserve">REM-10: The wallet must display the user's cumulative dividend history: amount received per epoch, total received all-time, and the transaction hash for each claim.</w:t>
      </w:r>
    </w:p>
    <w:p>
      <w:pPr>
        <w:pStyle w:val="Heading2"/>
        <w:spacing w:before="320" w:after="80"/>
      </w:pPr>
      <w:r>
        <w:rPr>
          <w:rFonts w:ascii="Arial" w:cs="Arial" w:eastAsia="Arial" w:hAnsi="Arial"/>
          <w:b/>
          <w:bCs/>
          <w:i w:val="false"/>
          <w:iCs w:val="false"/>
          <w:color w:val="7A5500"/>
          <w:sz w:val="25"/>
          <w:szCs w:val="25"/>
        </w:rPr>
        <w:t xml:space="preserve">8.3 Transparency Requirements</w:t>
      </w:r>
    </w:p>
    <w:p>
      <w:pPr>
        <w:pStyle w:val="ListParagraph"/>
        <w:numPr>
          <w:ilvl w:val="0"/>
          <w:numId w:val="2"/>
        </w:numPr>
        <w:spacing w:before="40" w:after="80"/>
      </w:pPr>
      <w:r>
        <w:rPr>
          <w:rFonts w:ascii="Arial" w:cs="Arial" w:eastAsia="Arial" w:hAnsi="Arial"/>
          <w:b w:val="false"/>
          <w:bCs w:val="false"/>
          <w:i w:val="false"/>
          <w:iCs w:val="false"/>
          <w:color w:val="1A1A0A"/>
          <w:sz w:val="22"/>
          <w:szCs w:val="22"/>
        </w:rPr>
        <w:t xml:space="preserve">REM-11: The Remunerative Reserve balance must be displayed in the wallet alongside the Social Fund balance (as specified in PADU-TECH-03A). Both are community funds and both warrant equal visibility.</w:t>
      </w:r>
    </w:p>
    <w:p>
      <w:pPr>
        <w:pStyle w:val="ListParagraph"/>
        <w:numPr>
          <w:ilvl w:val="0"/>
          <w:numId w:val="2"/>
        </w:numPr>
        <w:spacing w:before="40" w:after="80"/>
      </w:pPr>
      <w:r>
        <w:rPr>
          <w:rFonts w:ascii="Arial" w:cs="Arial" w:eastAsia="Arial" w:hAnsi="Arial"/>
          <w:b w:val="false"/>
          <w:bCs w:val="false"/>
          <w:i w:val="false"/>
          <w:iCs w:val="false"/>
          <w:color w:val="1A1A0A"/>
          <w:sz w:val="22"/>
          <w:szCs w:val="22"/>
        </w:rPr>
        <w:t xml:space="preserve">REM-12: The wallet must provide a 'Reserve History' view showing monthly RRV balance, cumulative inflows from Mint and Redeem, cumulative outflows from dividend distributions, and the current total system Contribution Weight.</w:t>
      </w:r>
    </w:p>
    <w:p>
      <w:pPr>
        <w:pStyle w:val="Heading1"/>
        <w:spacing w:before="520" w:after="120"/>
      </w:pPr>
      <w:r>
        <w:rPr>
          <w:rFonts w:ascii="Arial" w:cs="Arial" w:eastAsia="Arial" w:hAnsi="Arial"/>
          <w:b/>
          <w:bCs/>
          <w:i w:val="false"/>
          <w:iCs w:val="false"/>
          <w:color w:val="3A2800"/>
          <w:sz w:val="30"/>
          <w:szCs w:val="30"/>
        </w:rPr>
        <w:t xml:space="preserve">9. Security Considerations</w:t>
      </w:r>
    </w:p>
    <w:p>
      <w:pPr>
        <w:pBdr>
          <w:bottom w:val="single" w:color="C8922A" w:sz="8" w:space="1"/>
        </w:pBdr>
        <w:spacing w:before="0" w:after="160"/>
      </w:pP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8C4B0" w:sz="1"/>
              <w:left w:val="single" w:color="C8C4B0" w:sz="1"/>
              <w:bottom w:val="single" w:color="C8C4B0" w:sz="1"/>
              <w:right w:val="single" w:color="C8C4B0" w:sz="1"/>
            </w:tcBorders>
            <w:shd w:fill="0D1F35"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Risk</w:t>
            </w:r>
          </w:p>
        </w:tc>
        <w:tc>
          <w:tcPr>
            <w:tcW w:type="dxa" w:w="3360"/>
            <w:tcBorders>
              <w:top w:val="single" w:color="C8C4B0" w:sz="1"/>
              <w:left w:val="single" w:color="C8C4B0" w:sz="1"/>
              <w:bottom w:val="single" w:color="C8C4B0" w:sz="1"/>
              <w:right w:val="single" w:color="C8C4B0" w:sz="1"/>
            </w:tcBorders>
            <w:shd w:fill="0D1F35"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Description</w:t>
            </w:r>
          </w:p>
        </w:tc>
        <w:tc>
          <w:tcPr>
            <w:tcW w:type="dxa" w:w="3600"/>
            <w:tcBorders>
              <w:top w:val="single" w:color="C8C4B0" w:sz="1"/>
              <w:left w:val="single" w:color="C8C4B0" w:sz="1"/>
              <w:bottom w:val="single" w:color="C8C4B0" w:sz="1"/>
              <w:right w:val="single" w:color="C8C4B0" w:sz="1"/>
            </w:tcBorders>
            <w:shd w:fill="0D1F35"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Mitigation</w:t>
            </w:r>
          </w:p>
        </w:tc>
      </w:tr>
      <w:tr>
        <w:tc>
          <w:tcPr>
            <w:tcW w:type="dxa" w:w="24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Oracle manipulation</w:t>
            </w:r>
          </w:p>
        </w:tc>
        <w:tc>
          <w:tcPr>
            <w:tcW w:type="dxa" w:w="336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A compromised oracle node submits false rates to over-issue PADU or under-pay fiat on redemption.</w:t>
            </w:r>
          </w:p>
        </w:tc>
        <w:tc>
          <w:tcPr>
            <w:tcW w:type="dxa" w:w="36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Multi-source median with deviation check rejects outliers. Three independent accredited nodes minimum. Stale price reverts all gateway operations. Oracle accreditation governed by Protocol Chamber.</w:t>
            </w:r>
          </w:p>
        </w:tc>
      </w:tr>
      <w:tr>
        <w:tc>
          <w:tcPr>
            <w:tcW w:type="dxa" w:w="24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ACB custodian default</w:t>
            </w:r>
          </w:p>
        </w:tc>
        <w:tc>
          <w:tcPr>
            <w:tcW w:type="dxa" w:w="336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The Asset Custody Bridge custodian loses, steals, or freezes the backing assets.</w:t>
            </w:r>
          </w:p>
        </w:tc>
        <w:tc>
          <w:tcPr>
            <w:tcW w:type="dxa" w:w="36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ACB is abstracted — multiple providers can be accredited. Total custodied value is on-chain readable and must equal total PADU supply. Community monitors peg health. Protocol Chamber can switch ACB providers via amendment.</w:t>
            </w:r>
          </w:p>
        </w:tc>
      </w:tr>
      <w:tr>
        <w:tc>
          <w:tcPr>
            <w:tcW w:type="dxa" w:w="24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Contribution Weight inflation</w:t>
            </w:r>
          </w:p>
        </w:tc>
        <w:tc>
          <w:tcPr>
            <w:tcW w:type="dxa" w:w="336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An actor mints many small amounts repeatedly to accumulate weight cheaply.</w:t>
            </w:r>
          </w:p>
        </w:tc>
        <w:tc>
          <w:tcPr>
            <w:tcW w:type="dxa" w:w="36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Weight is proportional to gross PADU minted — minting 1000 times 1 PADU gives same weight as minting 1000 PADU once. No per-transaction weight bonus. Mint fee is paid on every operation, making repeated small mints costly.</w:t>
            </w:r>
          </w:p>
        </w:tc>
      </w:tr>
      <w:tr>
        <w:tc>
          <w:tcPr>
            <w:tcW w:type="dxa" w:w="24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DDE epoch manipulation</w:t>
            </w:r>
          </w:p>
        </w:tc>
        <w:tc>
          <w:tcPr>
            <w:tcW w:type="dxa" w:w="336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An actor attempts to open or block epochs at favourable times.</w:t>
            </w:r>
          </w:p>
        </w:tc>
        <w:tc>
          <w:tcPr>
            <w:tcW w:type="dxa" w:w="36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openNextEpoch() is permissionless but time-gated — cannot be called before EPOCH_DURATION elapses. Cannot be blocked — any wallet can call it. Epoch snapshot is taken at the moment of opening.</w:t>
            </w:r>
          </w:p>
        </w:tc>
      </w:tr>
      <w:tr>
        <w:tc>
          <w:tcPr>
            <w:tcW w:type="dxa" w:w="24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Claim front-running</w:t>
            </w:r>
          </w:p>
        </w:tc>
        <w:tc>
          <w:tcPr>
            <w:tcW w:type="dxa" w:w="336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A miner front-runs a large claim to reorder transactions advantageously.</w:t>
            </w:r>
          </w:p>
        </w:tc>
        <w:tc>
          <w:tcPr>
            <w:tcW w:type="dxa" w:w="36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Dividend shares are pre-allocated deterministically by allocateDividend(). The claim transaction just settles an already-known amount. No price-sensitive information is revealed by the claim.</w:t>
            </w:r>
          </w:p>
        </w:tc>
      </w:tr>
      <w:tr>
        <w:tc>
          <w:tcPr>
            <w:tcW w:type="dxa" w:w="24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Peg drift and depeg risk</w:t>
            </w:r>
          </w:p>
        </w:tc>
        <w:tc>
          <w:tcPr>
            <w:tcW w:type="dxa" w:w="336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If backing assets depreciate, PADU redemptions may fail to pay out expected fiat value.</w:t>
            </w:r>
          </w:p>
        </w:tc>
        <w:tc>
          <w:tcPr>
            <w:tcW w:type="dxa" w:w="36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Reserve asset composition is a Protocol Chamber parameter. Diversification across stable assets is enforced. Total supply must never exceed total custodied value — the MGC checks this invariant on every Mint. See Appendix A for peg health monitoring specification.</w:t>
            </w:r>
          </w:p>
        </w:tc>
      </w:tr>
      <w:tr>
        <w:tc>
          <w:tcPr>
            <w:tcW w:type="dxa" w:w="24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CC NFT transfer bypass</w:t>
            </w:r>
          </w:p>
        </w:tc>
        <w:tc>
          <w:tcPr>
            <w:tcW w:type="dxa" w:w="336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A developer finds a path to transfer a CC token despite the override.</w:t>
            </w:r>
          </w:p>
        </w:tc>
        <w:tc>
          <w:tcPr>
            <w:tcW w:type="dxa" w:w="36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All ERC-1155 transfer hooks are overridden to revert unconditionally. Security audit must specifically verify that no transfer path exists, including via operator approvals, meta-transactions, or upgradeable proxy patterns.</w:t>
            </w:r>
          </w:p>
        </w:tc>
      </w:tr>
    </w:tbl>
    <w:p>
      <w:pPr>
        <w:pStyle w:val="Heading1"/>
        <w:spacing w:before="520" w:after="120"/>
      </w:pPr>
      <w:r>
        <w:rPr>
          <w:rFonts w:ascii="Arial" w:cs="Arial" w:eastAsia="Arial" w:hAnsi="Arial"/>
          <w:b/>
          <w:bCs/>
          <w:i w:val="false"/>
          <w:iCs w:val="false"/>
          <w:color w:val="3A2800"/>
          <w:sz w:val="30"/>
          <w:szCs w:val="30"/>
        </w:rPr>
        <w:t xml:space="preserve">10. Deployment Sequence and Genesis Parameters</w:t>
      </w:r>
    </w:p>
    <w:p>
      <w:pPr>
        <w:pBdr>
          <w:bottom w:val="single" w:color="C8922A" w:sz="8" w:space="1"/>
        </w:pBdr>
        <w:spacing w:before="0" w:after="160"/>
      </w:pP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4760"/>
        <w:gridCol w:w="1500"/>
      </w:tblGrid>
      <w:tr>
        <w:tc>
          <w:tcPr>
            <w:tcW w:type="dxa" w:w="500"/>
            <w:tcBorders>
              <w:top w:val="single" w:color="C8C4B0" w:sz="1"/>
              <w:left w:val="single" w:color="C8C4B0" w:sz="1"/>
              <w:bottom w:val="single" w:color="C8C4B0" w:sz="1"/>
              <w:right w:val="single" w:color="C8C4B0" w:sz="1"/>
            </w:tcBorders>
            <w:shd w:fill="0D1F35"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Order</w:t>
            </w:r>
          </w:p>
        </w:tc>
        <w:tc>
          <w:tcPr>
            <w:tcW w:type="dxa" w:w="2600"/>
            <w:tcBorders>
              <w:top w:val="single" w:color="C8C4B0" w:sz="1"/>
              <w:left w:val="single" w:color="C8C4B0" w:sz="1"/>
              <w:bottom w:val="single" w:color="C8C4B0" w:sz="1"/>
              <w:right w:val="single" w:color="C8C4B0" w:sz="1"/>
            </w:tcBorders>
            <w:shd w:fill="0D1F35"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Contract</w:t>
            </w:r>
          </w:p>
        </w:tc>
        <w:tc>
          <w:tcPr>
            <w:tcW w:type="dxa" w:w="4760"/>
            <w:tcBorders>
              <w:top w:val="single" w:color="C8C4B0" w:sz="1"/>
              <w:left w:val="single" w:color="C8C4B0" w:sz="1"/>
              <w:bottom w:val="single" w:color="C8C4B0" w:sz="1"/>
              <w:right w:val="single" w:color="C8C4B0" w:sz="1"/>
            </w:tcBorders>
            <w:shd w:fill="0D1F35"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Genesis parameters</w:t>
            </w:r>
          </w:p>
        </w:tc>
        <w:tc>
          <w:tcPr>
            <w:tcW w:type="dxa" w:w="1500"/>
            <w:tcBorders>
              <w:top w:val="single" w:color="C8C4B0" w:sz="1"/>
              <w:left w:val="single" w:color="C8C4B0" w:sz="1"/>
              <w:bottom w:val="single" w:color="C8C4B0" w:sz="1"/>
              <w:right w:val="single" w:color="C8C4B0" w:sz="1"/>
            </w:tcBorders>
            <w:shd w:fill="0D1F35"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Immutable?</w:t>
            </w:r>
          </w:p>
        </w:tc>
      </w:tr>
      <w:tr>
        <w:tc>
          <w:tcPr>
            <w:tcW w:type="dxa" w:w="5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1</w:t>
            </w:r>
          </w:p>
        </w:tc>
        <w:tc>
          <w:tcPr>
            <w:tcW w:type="dxa" w:w="26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PriceOracle</w:t>
            </w:r>
          </w:p>
        </w:tc>
        <w:tc>
          <w:tcPr>
            <w:tcW w:type="dxa" w:w="476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Initial accredited node addresses. MIN_SOURCES = 3. PRICE_VALIDITY = 300s. MAX_DEVIATION = 200 bps.</w:t>
            </w:r>
          </w:p>
        </w:tc>
        <w:tc>
          <w:tcPr>
            <w:tcW w:type="dxa" w:w="15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Node list: No (Protocol Chamber). Thresholds: Yes.</w:t>
            </w:r>
          </w:p>
        </w:tc>
      </w:tr>
      <w:tr>
        <w:tc>
          <w:tcPr>
            <w:tcW w:type="dxa" w:w="5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2</w:t>
            </w:r>
          </w:p>
        </w:tc>
        <w:tc>
          <w:tcPr>
            <w:tcW w:type="dxa" w:w="26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ContributionCertificate</w:t>
            </w:r>
          </w:p>
        </w:tc>
        <w:tc>
          <w:tcPr>
            <w:tcW w:type="dxa" w:w="476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mgc = address(MGC) via CREATE2. genesisTime = deployment timestamp. params = address(ParameterRegistry).</w:t>
            </w:r>
          </w:p>
        </w:tc>
        <w:tc>
          <w:tcPr>
            <w:tcW w:type="dxa" w:w="15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mgc, genesisTime: Yes.</w:t>
            </w:r>
          </w:p>
        </w:tc>
      </w:tr>
      <w:tr>
        <w:tc>
          <w:tcPr>
            <w:tcW w:type="dxa" w:w="5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3</w:t>
            </w:r>
          </w:p>
        </w:tc>
        <w:tc>
          <w:tcPr>
            <w:tcW w:type="dxa" w:w="26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RemunReserveVault</w:t>
            </w:r>
          </w:p>
        </w:tc>
        <w:tc>
          <w:tcPr>
            <w:tcW w:type="dxa" w:w="476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mgc = address(MGC). rgc = address(RGC). dde = address(DDE) via CREATE2.</w:t>
            </w:r>
          </w:p>
        </w:tc>
        <w:tc>
          <w:tcPr>
            <w:tcW w:type="dxa" w:w="15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All: Yes.</w:t>
            </w:r>
          </w:p>
        </w:tc>
      </w:tr>
      <w:tr>
        <w:tc>
          <w:tcPr>
            <w:tcW w:type="dxa" w:w="5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4</w:t>
            </w:r>
          </w:p>
        </w:tc>
        <w:tc>
          <w:tcPr>
            <w:tcW w:type="dxa" w:w="26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DividendDistributionEngine</w:t>
            </w:r>
          </w:p>
        </w:tc>
        <w:tc>
          <w:tcPr>
            <w:tcW w:type="dxa" w:w="476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rrv = address(RRV). cc = address(CC). genesisTime = deployment timestamp. params = ParameterRegistry.</w:t>
            </w:r>
          </w:p>
        </w:tc>
        <w:tc>
          <w:tcPr>
            <w:tcW w:type="dxa" w:w="15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rrv, cc, genesisTime: Yes.</w:t>
            </w:r>
          </w:p>
        </w:tc>
      </w:tr>
      <w:tr>
        <w:tc>
          <w:tcPr>
            <w:tcW w:type="dxa" w:w="5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5</w:t>
            </w:r>
          </w:p>
        </w:tc>
        <w:tc>
          <w:tcPr>
            <w:tcW w:type="dxa" w:w="26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AssetCustodyBridge</w:t>
            </w:r>
          </w:p>
        </w:tc>
        <w:tc>
          <w:tcPr>
            <w:tcW w:type="dxa" w:w="476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Initial accredited custodian addresses. Accepted asset list (e.g. USDC, EURC). Protocol Chamber governed.</w:t>
            </w:r>
          </w:p>
        </w:tc>
        <w:tc>
          <w:tcPr>
            <w:tcW w:type="dxa" w:w="15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Custodian list: No (Protocol Chamber).</w:t>
            </w:r>
          </w:p>
        </w:tc>
      </w:tr>
      <w:tr>
        <w:tc>
          <w:tcPr>
            <w:tcW w:type="dxa" w:w="5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6</w:t>
            </w:r>
          </w:p>
        </w:tc>
        <w:tc>
          <w:tcPr>
            <w:tcW w:type="dxa" w:w="26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MintGatewayContract</w:t>
            </w:r>
          </w:p>
        </w:tc>
        <w:tc>
          <w:tcPr>
            <w:tcW w:type="dxa" w:w="476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oracle, acb, paduToken, operationalReserve, socialVault, remReserveVault, contribCert, params.</w:t>
            </w:r>
          </w:p>
        </w:tc>
        <w:tc>
          <w:tcPr>
            <w:tcW w:type="dxa" w:w="15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All: Yes.</w:t>
            </w:r>
          </w:p>
        </w:tc>
      </w:tr>
      <w:tr>
        <w:tc>
          <w:tcPr>
            <w:tcW w:type="dxa" w:w="5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7</w:t>
            </w:r>
          </w:p>
        </w:tc>
        <w:tc>
          <w:tcPr>
            <w:tcW w:type="dxa" w:w="26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RedeemGatewayContract</w:t>
            </w:r>
          </w:p>
        </w:tc>
        <w:tc>
          <w:tcPr>
            <w:tcW w:type="dxa" w:w="476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oracle, acb, paduToken, remReserveVault, params.</w:t>
            </w:r>
          </w:p>
        </w:tc>
        <w:tc>
          <w:tcPr>
            <w:tcW w:type="dxa" w:w="15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All: Yes.</w:t>
            </w:r>
          </w:p>
        </w:tc>
      </w:tr>
      <w:tr>
        <w:tc>
          <w:tcPr>
            <w:tcW w:type="dxa" w:w="5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8</w:t>
            </w:r>
          </w:p>
        </w:tc>
        <w:tc>
          <w:tcPr>
            <w:tcW w:type="dxa" w:w="26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Parameter Registry init</w:t>
            </w:r>
          </w:p>
        </w:tc>
        <w:tc>
          <w:tcPr>
            <w:tcW w:type="dxa" w:w="476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Set all mint/redeem/dividend parameters (see Appendix A). AEC has exclusive write access.</w:t>
            </w:r>
          </w:p>
        </w:tc>
        <w:tc>
          <w:tcPr>
            <w:tcW w:type="dxa" w:w="15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Data: No (AEC/Protocol Chamber).</w:t>
            </w:r>
          </w:p>
        </w:tc>
      </w:tr>
      <w:tr>
        <w:tc>
          <w:tcPr>
            <w:tcW w:type="dxa" w:w="5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9</w:t>
            </w:r>
          </w:p>
        </w:tc>
        <w:tc>
          <w:tcPr>
            <w:tcW w:type="dxa" w:w="26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Wire PADU token</w:t>
            </w:r>
          </w:p>
        </w:tc>
        <w:tc>
          <w:tcPr>
            <w:tcW w:type="dxa" w:w="476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Grant MINT role to MGC only. Grant BURN role to RGC only. Revoke deployer roles.</w:t>
            </w:r>
          </w:p>
        </w:tc>
        <w:tc>
          <w:tcPr>
            <w:tcW w:type="dxa" w:w="15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Roles after wiring: Yes.</w:t>
            </w:r>
          </w:p>
        </w:tc>
      </w:tr>
      <w:tr>
        <w:tc>
          <w:tcPr>
            <w:tcW w:type="dxa" w:w="5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10</w:t>
            </w:r>
          </w:p>
        </w:tc>
        <w:tc>
          <w:tcPr>
            <w:tcW w:type="dxa" w:w="26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DDE first epoch</w:t>
            </w:r>
          </w:p>
        </w:tc>
        <w:tc>
          <w:tcPr>
            <w:tcW w:type="dxa" w:w="476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Call DDE.openNextEpoch() to establish epoch 1 (no dividends until year 6). Record genesis state.</w:t>
            </w:r>
          </w:p>
        </w:tc>
        <w:tc>
          <w:tcPr>
            <w:tcW w:type="dxa" w:w="15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N/A.</w:t>
            </w:r>
          </w:p>
        </w:tc>
      </w:tr>
    </w:tbl>
    <w:p>
      <w:pPr>
        <w:pStyle w:val="Heading1"/>
        <w:spacing w:before="520" w:after="120"/>
      </w:pPr>
      <w:r>
        <w:rPr>
          <w:rFonts w:ascii="Arial" w:cs="Arial" w:eastAsia="Arial" w:hAnsi="Arial"/>
          <w:b/>
          <w:bCs/>
          <w:i w:val="false"/>
          <w:iCs w:val="false"/>
          <w:color w:val="3A2800"/>
          <w:sz w:val="30"/>
          <w:szCs w:val="30"/>
        </w:rPr>
        <w:t xml:space="preserve">Appendix A: Parameter Reference — Remunerative Reserve Module</w:t>
      </w:r>
    </w:p>
    <w:p>
      <w:pPr>
        <w:pBdr>
          <w:bottom w:val="single" w:color="C8922A" w:sz="8" w:space="1"/>
        </w:pBdr>
        <w:spacing w:before="0" w:after="160"/>
      </w:pP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1680"/>
        <w:gridCol w:w="1480"/>
      </w:tblGrid>
      <w:tr>
        <w:tc>
          <w:tcPr>
            <w:tcW w:type="dxa" w:w="3400"/>
            <w:tcBorders>
              <w:top w:val="single" w:color="C8C4B0" w:sz="1"/>
              <w:left w:val="single" w:color="C8C4B0" w:sz="1"/>
              <w:bottom w:val="single" w:color="C8C4B0" w:sz="1"/>
              <w:right w:val="single" w:color="C8C4B0" w:sz="1"/>
            </w:tcBorders>
            <w:shd w:fill="0D1F35"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Namespace Key</w:t>
            </w:r>
          </w:p>
        </w:tc>
        <w:tc>
          <w:tcPr>
            <w:tcW w:type="dxa" w:w="2800"/>
            <w:tcBorders>
              <w:top w:val="single" w:color="C8C4B0" w:sz="1"/>
              <w:left w:val="single" w:color="C8C4B0" w:sz="1"/>
              <w:bottom w:val="single" w:color="C8C4B0" w:sz="1"/>
              <w:right w:val="single" w:color="C8C4B0" w:sz="1"/>
            </w:tcBorders>
            <w:shd w:fill="0D1F35"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Description</w:t>
            </w:r>
          </w:p>
        </w:tc>
        <w:tc>
          <w:tcPr>
            <w:tcW w:type="dxa" w:w="1680"/>
            <w:tcBorders>
              <w:top w:val="single" w:color="C8C4B0" w:sz="1"/>
              <w:left w:val="single" w:color="C8C4B0" w:sz="1"/>
              <w:bottom w:val="single" w:color="C8C4B0" w:sz="1"/>
              <w:right w:val="single" w:color="C8C4B0" w:sz="1"/>
            </w:tcBorders>
            <w:shd w:fill="0D1F35"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Genesis Value</w:t>
            </w:r>
          </w:p>
        </w:tc>
        <w:tc>
          <w:tcPr>
            <w:tcW w:type="dxa" w:w="1480"/>
            <w:tcBorders>
              <w:top w:val="single" w:color="C8C4B0" w:sz="1"/>
              <w:left w:val="single" w:color="C8C4B0" w:sz="1"/>
              <w:bottom w:val="single" w:color="C8C4B0" w:sz="1"/>
              <w:right w:val="single" w:color="C8C4B0" w:sz="1"/>
            </w:tcBorders>
            <w:shd w:fill="0D1F35"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Acceptable Range</w:t>
            </w:r>
          </w:p>
        </w:tc>
      </w:tr>
      <w:tr>
        <w:tc>
          <w:tcPr>
            <w:tcW w:type="dxa" w:w="34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mint.fee.total.bps</w:t>
            </w:r>
          </w:p>
        </w:tc>
        <w:tc>
          <w:tcPr>
            <w:tcW w:type="dxa" w:w="28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Total Mint fee</w:t>
            </w:r>
          </w:p>
        </w:tc>
        <w:tc>
          <w:tcPr>
            <w:tcW w:type="dxa" w:w="168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150 (1.5%)</w:t>
            </w:r>
          </w:p>
        </w:tc>
        <w:tc>
          <w:tcPr>
            <w:tcW w:type="dxa" w:w="148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50 – 300 bps</w:t>
            </w:r>
          </w:p>
        </w:tc>
      </w:tr>
      <w:tr>
        <w:tc>
          <w:tcPr>
            <w:tcW w:type="dxa" w:w="34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mint.fee.ops.bps</w:t>
            </w:r>
          </w:p>
        </w:tc>
        <w:tc>
          <w:tcPr>
            <w:tcW w:type="dxa" w:w="28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Mint fee operational slice</w:t>
            </w:r>
          </w:p>
        </w:tc>
        <w:tc>
          <w:tcPr>
            <w:tcW w:type="dxa" w:w="168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50 (0.5%)</w:t>
            </w:r>
          </w:p>
        </w:tc>
        <w:tc>
          <w:tcPr>
            <w:tcW w:type="dxa" w:w="148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Must sum with social + remunerative = total</w:t>
            </w:r>
          </w:p>
        </w:tc>
      </w:tr>
      <w:tr>
        <w:tc>
          <w:tcPr>
            <w:tcW w:type="dxa" w:w="34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mint.fee.social.bps</w:t>
            </w:r>
          </w:p>
        </w:tc>
        <w:tc>
          <w:tcPr>
            <w:tcW w:type="dxa" w:w="28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Mint fee social fund slice</w:t>
            </w:r>
          </w:p>
        </w:tc>
        <w:tc>
          <w:tcPr>
            <w:tcW w:type="dxa" w:w="168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50 (0.5%)</w:t>
            </w:r>
          </w:p>
        </w:tc>
        <w:tc>
          <w:tcPr>
            <w:tcW w:type="dxa" w:w="148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Must sum with ops + remunerative = total</w:t>
            </w:r>
          </w:p>
        </w:tc>
      </w:tr>
      <w:tr>
        <w:tc>
          <w:tcPr>
            <w:tcW w:type="dxa" w:w="34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mint.fee.remunerative.bps</w:t>
            </w:r>
          </w:p>
        </w:tc>
        <w:tc>
          <w:tcPr>
            <w:tcW w:type="dxa" w:w="28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Mint fee remunerative reserve slice</w:t>
            </w:r>
          </w:p>
        </w:tc>
        <w:tc>
          <w:tcPr>
            <w:tcW w:type="dxa" w:w="168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50 (0.5%)</w:t>
            </w:r>
          </w:p>
        </w:tc>
        <w:tc>
          <w:tcPr>
            <w:tcW w:type="dxa" w:w="148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Must sum with ops + social = total</w:t>
            </w:r>
          </w:p>
        </w:tc>
      </w:tr>
      <w:tr>
        <w:tc>
          <w:tcPr>
            <w:tcW w:type="dxa" w:w="34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redeem.fee.total.bps</w:t>
            </w:r>
          </w:p>
        </w:tc>
        <w:tc>
          <w:tcPr>
            <w:tcW w:type="dxa" w:w="28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Total Redeem fee (100% to RRV)</w:t>
            </w:r>
          </w:p>
        </w:tc>
        <w:tc>
          <w:tcPr>
            <w:tcW w:type="dxa" w:w="168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50 (0.5%)</w:t>
            </w:r>
          </w:p>
        </w:tc>
        <w:tc>
          <w:tcPr>
            <w:tcW w:type="dxa" w:w="148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0 – 200 bps</w:t>
            </w:r>
          </w:p>
        </w:tc>
      </w:tr>
      <w:tr>
        <w:tc>
          <w:tcPr>
            <w:tcW w:type="dxa" w:w="34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transfer.fee.bps</w:t>
            </w:r>
          </w:p>
        </w:tc>
        <w:tc>
          <w:tcPr>
            <w:tcW w:type="dxa" w:w="28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Transfer fee (NOT GOVERNABLE — always 0)</w:t>
            </w:r>
          </w:p>
        </w:tc>
        <w:tc>
          <w:tcPr>
            <w:tcW w:type="dxa" w:w="168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0</w:t>
            </w:r>
          </w:p>
        </w:tc>
        <w:tc>
          <w:tcPr>
            <w:tcW w:type="dxa" w:w="148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Fixed at 0. Protocol Chamber proposals setting non-zero value must be rejected by PRC namespace validator.</w:t>
            </w:r>
          </w:p>
        </w:tc>
      </w:tr>
      <w:tr>
        <w:tc>
          <w:tcPr>
            <w:tcW w:type="dxa" w:w="34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contrib.decay.k</w:t>
            </w:r>
          </w:p>
        </w:tc>
        <w:tc>
          <w:tcPr>
            <w:tcW w:type="dxa" w:w="28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Contribution Weight decay constant</w:t>
            </w:r>
          </w:p>
        </w:tc>
        <w:tc>
          <w:tcPr>
            <w:tcW w:type="dxa" w:w="168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0.1 (1e17 in fp)</w:t>
            </w:r>
          </w:p>
        </w:tc>
        <w:tc>
          <w:tcPr>
            <w:tcW w:type="dxa" w:w="148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0.05 – 0.5</w:t>
            </w:r>
          </w:p>
        </w:tc>
      </w:tr>
      <w:tr>
        <w:tc>
          <w:tcPr>
            <w:tcW w:type="dxa" w:w="34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dividend.distribution.rate.bps</w:t>
            </w:r>
          </w:p>
        </w:tc>
        <w:tc>
          <w:tcPr>
            <w:tcW w:type="dxa" w:w="28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Fraction of RRV distributed per epoch</w:t>
            </w:r>
          </w:p>
        </w:tc>
        <w:tc>
          <w:tcPr>
            <w:tcW w:type="dxa" w:w="168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2000 (20%)</w:t>
            </w:r>
          </w:p>
        </w:tc>
        <w:tc>
          <w:tcPr>
            <w:tcW w:type="dxa" w:w="148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500 – 5000 bps</w:t>
            </w:r>
          </w:p>
        </w:tc>
      </w:tr>
      <w:tr>
        <w:tc>
          <w:tcPr>
            <w:tcW w:type="dxa" w:w="34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dividend.epoch.duration.seconds</w:t>
            </w:r>
          </w:p>
        </w:tc>
        <w:tc>
          <w:tcPr>
            <w:tcW w:type="dxa" w:w="28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Duration of each dividend epoch</w:t>
            </w:r>
          </w:p>
        </w:tc>
        <w:tc>
          <w:tcPr>
            <w:tcW w:type="dxa" w:w="168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31,536,000 (1yr)</w:t>
            </w:r>
          </w:p>
        </w:tc>
        <w:tc>
          <w:tcPr>
            <w:tcW w:type="dxa" w:w="148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180 – 730 days</w:t>
            </w:r>
          </w:p>
        </w:tc>
      </w:tr>
      <w:tr>
        <w:tc>
          <w:tcPr>
            <w:tcW w:type="dxa" w:w="34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oracle.min.sources</w:t>
            </w:r>
          </w:p>
        </w:tc>
        <w:tc>
          <w:tcPr>
            <w:tcW w:type="dxa" w:w="28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Minimum live oracle sources for valid rate</w:t>
            </w:r>
          </w:p>
        </w:tc>
        <w:tc>
          <w:tcPr>
            <w:tcW w:type="dxa" w:w="168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3</w:t>
            </w:r>
          </w:p>
        </w:tc>
        <w:tc>
          <w:tcPr>
            <w:tcW w:type="dxa" w:w="148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2 – 7</w:t>
            </w:r>
          </w:p>
        </w:tc>
      </w:tr>
      <w:tr>
        <w:tc>
          <w:tcPr>
            <w:tcW w:type="dxa" w:w="34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oracle.price.validity.seconds</w:t>
            </w:r>
          </w:p>
        </w:tc>
        <w:tc>
          <w:tcPr>
            <w:tcW w:type="dxa" w:w="28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Maximum age of oracle rate</w:t>
            </w:r>
          </w:p>
        </w:tc>
        <w:tc>
          <w:tcPr>
            <w:tcW w:type="dxa" w:w="168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300 (5 min)</w:t>
            </w:r>
          </w:p>
        </w:tc>
        <w:tc>
          <w:tcPr>
            <w:tcW w:type="dxa" w:w="148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60 – 3600 seconds</w:t>
            </w:r>
          </w:p>
        </w:tc>
      </w:tr>
      <w:tr>
        <w:tc>
          <w:tcPr>
            <w:tcW w:type="dxa" w:w="34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oracle.max.deviation.bps</w:t>
            </w:r>
          </w:p>
        </w:tc>
        <w:tc>
          <w:tcPr>
            <w:tcW w:type="dxa" w:w="28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Maximum spread between oracle sources</w:t>
            </w:r>
          </w:p>
        </w:tc>
        <w:tc>
          <w:tcPr>
            <w:tcW w:type="dxa" w:w="168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200 (2%)</w:t>
            </w:r>
          </w:p>
        </w:tc>
        <w:tc>
          <w:tcPr>
            <w:tcW w:type="dxa" w:w="148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50 – 500 bps</w:t>
            </w:r>
          </w:p>
        </w:tc>
      </w:tr>
      <w:tr>
        <w:tc>
          <w:tcPr>
            <w:tcW w:type="dxa" w:w="34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acb.max.single.mint.padu</w:t>
            </w:r>
          </w:p>
        </w:tc>
        <w:tc>
          <w:tcPr>
            <w:tcW w:type="dxa" w:w="280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Maximum single Mint in PADU (anti-shock)</w:t>
            </w:r>
          </w:p>
        </w:tc>
        <w:tc>
          <w:tcPr>
            <w:tcW w:type="dxa" w:w="168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100,000 PADU</w:t>
            </w:r>
          </w:p>
        </w:tc>
        <w:tc>
          <w:tcPr>
            <w:tcW w:type="dxa" w:w="1480"/>
            <w:tcBorders>
              <w:top w:val="single" w:color="C8C4B0" w:sz="1"/>
              <w:left w:val="single" w:color="C8C4B0" w:sz="1"/>
              <w:bottom w:val="single" w:color="C8C4B0" w:sz="1"/>
              <w:right w:val="single" w:color="C8C4B0"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1,000 – unlimited</w:t>
            </w:r>
          </w:p>
        </w:tc>
      </w:tr>
      <w:tr>
        <w:tc>
          <w:tcPr>
            <w:tcW w:type="dxa" w:w="34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acb.max.single.redeem.padu</w:t>
            </w:r>
          </w:p>
        </w:tc>
        <w:tc>
          <w:tcPr>
            <w:tcW w:type="dxa" w:w="280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Maximum single Redeem in PADU</w:t>
            </w:r>
          </w:p>
        </w:tc>
        <w:tc>
          <w:tcPr>
            <w:tcW w:type="dxa" w:w="168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100,000 PADU</w:t>
            </w:r>
          </w:p>
        </w:tc>
        <w:tc>
          <w:tcPr>
            <w:tcW w:type="dxa" w:w="1480"/>
            <w:tcBorders>
              <w:top w:val="single" w:color="C8C4B0" w:sz="1"/>
              <w:left w:val="single" w:color="C8C4B0" w:sz="1"/>
              <w:bottom w:val="single" w:color="C8C4B0" w:sz="1"/>
              <w:right w:val="single" w:color="C8C4B0" w:sz="1"/>
            </w:tcBorders>
            <w:shd w:fill="F6F6F0" w:val="clear"/>
            <w:tcMar>
              <w:top w:type="dxa" w:w="80"/>
              <w:left w:type="dxa" w:w="130"/>
              <w:bottom w:type="dxa" w:w="80"/>
              <w:right w:type="dxa" w:w="130"/>
            </w:tcMar>
          </w:tcPr>
          <w:p>
            <w:pPr>
              <w:jc w:val="both"/>
            </w:pPr>
            <w:r>
              <w:rPr>
                <w:rFonts w:ascii="Arial" w:cs="Arial" w:eastAsia="Arial" w:hAnsi="Arial"/>
                <w:b w:val="false"/>
                <w:bCs w:val="false"/>
                <w:i w:val="false"/>
                <w:iCs w:val="false"/>
                <w:color w:val="1A1A0A"/>
                <w:sz w:val="19"/>
                <w:szCs w:val="19"/>
              </w:rPr>
              <w:t xml:space="preserve">1,000 – unlimited</w:t>
            </w:r>
          </w:p>
        </w:tc>
      </w:tr>
    </w:tbl>
    <w:p>
      <w:pPr>
        <w:spacing w:before="0" w:after="300"/>
      </w:pPr>
    </w:p>
    <w:p>
      <w:pPr>
        <w:pBdr>
          <w:bottom w:val="single" w:color="C8922A" w:sz="8" w:space="1"/>
        </w:pBdr>
        <w:spacing w:before="0" w:after="160"/>
      </w:pPr>
    </w:p>
    <w:p>
      <w:pPr>
        <w:spacing w:before="60" w:after="120"/>
        <w:jc w:val="both"/>
      </w:pPr>
      <w:r>
        <w:rPr>
          <w:rFonts w:ascii="Arial" w:cs="Arial" w:eastAsia="Arial" w:hAnsi="Arial"/>
          <w:b w:val="false"/>
          <w:bCs w:val="false"/>
          <w:i/>
          <w:iCs/>
          <w:color w:val="888888"/>
          <w:sz w:val="22"/>
          <w:szCs w:val="22"/>
        </w:rPr>
        <w:t xml:space="preserve">End of PADU-TECH-03B. This document, together with PADU-TECH-01, PADU-TECH-01-ERR-001, PADU-TECH-02, and PADU-TECH-03A, constitutes the complete core technical specification of the PADU protocol v0.1.</w:t>
      </w:r>
    </w:p>
    <w:p>
      <w:pPr>
        <w:spacing w:before="60" w:after="120"/>
        <w:jc w:val="both"/>
      </w:pPr>
      <w:r>
        <w:rPr>
          <w:rFonts w:ascii="Arial" w:cs="Arial" w:eastAsia="Arial" w:hAnsi="Arial"/>
          <w:b w:val="false"/>
          <w:bCs w:val="false"/>
          <w:i/>
          <w:iCs/>
          <w:color w:val="888888"/>
          <w:sz w:val="22"/>
          <w:szCs w:val="22"/>
        </w:rPr>
        <w:t xml:space="preserve">Next documents in the series: PADU-GOV-01 (NGO Board constitution and administration), PADU-GOV-02 (Legal wrapper and regulatory strategy).</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4B0" w:sz="4" w:space="1"/>
      </w:pBdr>
      <w:spacing w:before="80"/>
      <w:jc w:val="center"/>
    </w:pPr>
    <w:r>
      <w:rPr>
        <w:rFonts w:ascii="Arial" w:cs="Arial" w:eastAsia="Arial" w:hAnsi="Arial"/>
        <w:b w:val="false"/>
        <w:bCs w:val="false"/>
        <w:i w:val="false"/>
        <w:iCs w:val="false"/>
        <w:color w:val="888888"/>
        <w:sz w:val="16"/>
        <w:szCs w:val="16"/>
      </w:rPr>
      <w:t xml:space="preserve">PADU-TECH-03B — CONFIDENTIAL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4B0" w:sz="4" w:space="1"/>
      </w:pBdr>
      <w:spacing w:before="0" w:after="80"/>
    </w:pPr>
    <w:r>
      <w:rPr>
        <w:rFonts w:ascii="Arial" w:cs="Arial" w:eastAsia="Arial" w:hAnsi="Arial"/>
        <w:b w:val="false"/>
        <w:bCs w:val="false"/>
        <w:i w:val="false"/>
        <w:iCs w:val="false"/>
        <w:color w:val="888888"/>
        <w:sz w:val="16"/>
        <w:szCs w:val="16"/>
      </w:rPr>
      <w:t xml:space="preserve">PADU — Technical Specification v0.1  |  </w:t>
    </w:r>
    <w:r>
      <w:rPr>
        <w:rFonts w:ascii="Arial" w:cs="Arial" w:eastAsia="Arial" w:hAnsi="Arial"/>
        <w:b w:val="false"/>
        <w:bCs w:val="false"/>
        <w:i/>
        <w:iCs/>
        <w:color w:val="888888"/>
        <w:sz w:val="16"/>
        <w:szCs w:val="16"/>
      </w:rPr>
      <w:t xml:space="preserve">Module 03-B — Remunerative Reserve &amp; Solidarity Dividend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0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120"/>
      <w:outlineLvl w:val="0"/>
    </w:pPr>
    <w:rPr>
      <w:rFonts w:ascii="Arial" w:cs="Arial" w:eastAsia="Arial" w:hAnsi="Arial"/>
      <w:b/>
      <w:bCs/>
      <w:color w:val="3A2800"/>
      <w:sz w:val="30"/>
      <w:szCs w:val="30"/>
    </w:rPr>
  </w:style>
  <w:style w:type="paragraph" w:styleId="Heading2">
    <w:name w:val="Heading 2"/>
    <w:basedOn w:val="Normal"/>
    <w:next w:val="Normal"/>
    <w:qFormat/>
    <w:pPr>
      <w:spacing w:before="320" w:after="80"/>
      <w:outlineLvl w:val="1"/>
    </w:pPr>
    <w:rPr>
      <w:rFonts w:ascii="Arial" w:cs="Arial" w:eastAsia="Arial" w:hAnsi="Arial"/>
      <w:b/>
      <w:bCs/>
      <w:color w:val="7A5500"/>
      <w:sz w:val="25"/>
      <w:szCs w:val="25"/>
    </w:rPr>
  </w:style>
  <w:style w:type="paragraph" w:styleId="Heading3">
    <w:name w:val="Heading 3"/>
    <w:basedOn w:val="Normal"/>
    <w:next w:val="Normal"/>
    <w:qFormat/>
    <w:pPr>
      <w:spacing w:before="220" w:after="60"/>
      <w:outlineLvl w:val="2"/>
    </w:pPr>
    <w:rPr>
      <w:rFonts w:ascii="Arial" w:cs="Arial" w:eastAsia="Arial" w:hAnsi="Arial"/>
      <w:b/>
      <w:bCs/>
      <w:color w:val="1A5C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2026-03-13T04:00:49.958Z</dcterms:created>
  <dcterms:modified xsi:type="dcterms:W3CDTF">2026-03-13T04:00:49.959Z</dcterms:modified>
</cp:coreProperties>
</file>

<file path=docProps/custom.xml><?xml version="1.0" encoding="utf-8"?>
<Properties xmlns="http://schemas.openxmlformats.org/officeDocument/2006/custom-properties" xmlns:vt="http://schemas.openxmlformats.org/officeDocument/2006/docPropsVTypes"/>
</file>