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Established the foundational direction for the Arkansas Political History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Defined the project as a long-term, evidence-based historical system rather than a traditional website.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Outlined a modular architecture prioritizing provenance, claims-based knowledge, and additive history.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Decided to build an externalized “Brain of the Build” using versioned markdown files as the project’s cognitive memory.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Decision: Build a markdown-based external memory system for the entire project.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Rationale: Prevent loss of institutional memory, enable transparent evolution of ideas, and support long-term historical integrity.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Implications: All future work must be documented daily and logged additively.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Affected Modules: Entire project.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“Brain of the Build”: A living, versioned markdown archive serving as the project’s cognitive system.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Additive cognition: New understanding accumulates without erasing prior thinking.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Claims-based history as the core organizing principle.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formalized earlier discussions into a strict, versioned documentation system rather than ad hoc notes.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granular community impact data should be at the earliest historical periods.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How to best represent Indigenous governance prior to statehood within a claims-based framework.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Risk of documentation fatigue if daily logs are skipped.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Risk of overconfidence in early structural assumptions without sufficient historical testing.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Begin defining historical eras and periodization for Arkansas.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Start the Constitution module with territorial governance and the 1836 Constitution.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Create initial provenance and claims model documentation.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primary sources ingested today; structural and conceptual work only.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day establishes the intellectual scaffolding for the entire project. Getting this right early prevents systemic failure later.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