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Non-Negotiables —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Evidence Over Narrative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assertion enters the system without a source. Interpretations are allowed, but must be clearly labeled and grounded in evidence.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2. Additive History, Not Replacement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Nothing is deleted. New information may supersede earlier understanding, but prior records remain intact and accessible.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3. Transparency of Uncertainty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Conflicting accounts, gaps in records, and ambiguous evidence must be documented—not smoothed over.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4. Separation of Fact and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Primary facts, interpretive analysis, and opinionated conclusions must be structurally distinguishable.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5. Power Is a First-Class Concept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system must explicitly track how power operates—through rules, money, institutions, courts, geography, and narrative.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6. Community Impact Matters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Political history is incomplete without documenting its effects on real communities, especially those historically marginalized.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7. Modular and Indefinite Growth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design decision may artificially cap the scope or lifespan of the project.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8. Public Accountability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project exists to serve the public record and public understanding, not partisan convenience.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9. Source Preservation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Original documents, where legally permissible, should be preserved alongside extracted data.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10. Intellectual Honesty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Contradictions, mistakes, and revisions must be acknowledged openly and logged.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