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Daily Build Log — 2025-03-28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1. What We Worked On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Launched the Constitution module.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Documented territorial governance and the Arkansas Constitution of 1836.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Focused on power structures, exclusions, and institutional design rather than just legal text.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2. New Decisions Made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Decision: Treat constitutions as political artifacts, not neutral documents.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Rationale: Constitutional language reflects power relationships and social hierarchy.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Implications: All constitutional analysis must include power and exclusion analysis.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Affected Modules: Constitution, power modeling, community impact.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 Level: High.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3. New Concepts / Frameworks Introduced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“Constitution as power architecture.”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Distinction between formal structure and lived governance.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Exclusion as an intentional design feature.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4. Changes to Prior Thinking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Shifted from a document-centric approach to a power-centric constitutional analysis.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5. Open Questions Identified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How to quantify constitutional exclusion for comparative analysis.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How to document Indigenous governance transitions during statehood.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6. Risks / Watchouts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Political sensitivity around racialized constitutional analysis.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Risk of anachronistic judgment if context is not clearly stated.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7. Action Items for Next Session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Add source citations for territorial and 1836 materials.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Begin Constitution of 1861 (Secession).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Define a standard template for each constitution.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8. Source Notes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Primary sources to be added: constitutional texts, convention records, federal statutes.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9. Meta Notes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session anchors the project in substance. From here on, everything connects to real historical decisions and consequences.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