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"Phillips County"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"Community"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"Place"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geography: "County"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"Draft"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Phillips County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Phillips County has been shaped by agricultural labor, racial hierarchy, and long-standing struggles over political representation.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Its history illustrates how statewide governance decisions manifest unevenly at the local level.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Historical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Plantation-based economy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High Black population following emancipation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Central role in Reconstruction politics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Political Representation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Shifts between inclusion and suppression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Use of local control to entrench power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Long-term underrepresentation despite demographic majority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Key Policy Impacts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Education underfunding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Agricultural labor conditions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Criminal justice disparities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Power Dynamics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Local elites aligned with state power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Courts and enforcement used to suppress participation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Community resistance through organizing and litigation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Long-Term Patterns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Cycles of inclusion and rollback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Persistent economic extraction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Enduring civic resilience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Reconstruction Era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Constitution of 1874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Power: Geography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