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"Impact Event Name"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"Community"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type: "Impact Event"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"YYYY or range"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"Template"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Impact Event 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Date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YYYY or YYYY–YYYY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event occurred within a broader political and institutional context that shaped its outcome.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What Happened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Describe: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the decision or action,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the authority involved,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and how it was implemented.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Communities Affected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Primary affected communities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Geographic scope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Demographic considerations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Immediate Impact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Short-term effects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Disruptions or changes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Institutional responses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Long-Term Impact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Persistent outcomes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Intergenerational effects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Policy legacy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Power Analysis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which power channels were active,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who benefited,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who absorbed the cost.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Era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Policy area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Constitution or law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Sources (To Be Added)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Primary and secondary sources will be listed here.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