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title: "Community Impact"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section: "Community"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status: "Prototype"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# Community Impact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Political history does not live only in capitol buildings.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It lives in: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schools that were funded or defunded,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neighborhoods that were annexed or ignored,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jobs that disappeared or never arrived,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water that was protected or polluted,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and voices that were amplified or silenced.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This section documents how political decisions in Arkansas have shaped communities across time and place.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## What We Mean by “Community”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In this archive, a community may be defined by: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geography (county, city, neighborhood, school district),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identity (race, class, labor sector),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or shared impact (students, workers, farmers, incarcerated people).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Communities overlap.  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Their experiences are not uniform.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## How This Section Works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Community Impact pages connect: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**decisions** (constitutions, laws, court rulings),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**structures** (rules, districts, enforcement),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**outcomes** (measurable and lived).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Each page focuses on **patterns**, not isolated incidents.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## Entry Points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You can explore impact by: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place,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policy area,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or historical era.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This section grows additively as data and sources are ingested.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## Status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  <w:t xml:space="preserve">This section is under active development.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Narrative frameworks are published first.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Quantitative data will be layered in over time.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