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"Community Name"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"Community"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"Place"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geography: "County / City / Region"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"Template"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Community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page documents how political structures and decisions have shaped this community over 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does not attempt to describe every event.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focuses on **patterns of impact**.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Historical 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When this community emerged or was incorporated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How it was governed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Its role within broader state power dynamics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Political Representation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Voting systems used (districts, at-large, etc.)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Access to representation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Structural advantages or disadvantages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Key Policy Impacts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Areas where state or local policy had lasting effects: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Employment and labor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Housing and land use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Health and environment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Criminal justice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Power Dynamics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Who typically held decision-making authority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Which institutions mattered most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How community voices were included or excluded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Measurable Outcomes (To Be Added)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section will eventually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demographic change,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economic indicators,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educational access,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civic participation rates.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Long-Term Patterns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Summarize recurring themes: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neglect,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extraction,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resistance,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adaptation,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or growth.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Relevant eras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Constitutions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Key events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Power frameworks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Sources (To Be Added)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Primary and secondary sources will be listed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