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title: "Evidence Standards"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section: "Sources"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Evidence Standards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This archive applies consistent standards to all content, regardless of political implication.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 Minimum Standards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To be included: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sources must be identifiable,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claims must be specific,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and context must be provided.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 Corroboration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Where possible: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claims are supported by multiple sources,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especially when consequences are significant.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Single-source claims are labeled accordingly.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 Transparency Over Authority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Institutional authority does not substitute for evidence.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Official records are documented — and questioned when appropriate.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 Why This Matters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Standards protect the archive from: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propaganda,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selective memory,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and narrative manipulation.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They protect readers from us.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