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"Ethics &amp; Conflicts of Interest"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Ethics &amp; Conflicts of Interest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Trust depends on ethical clarity.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Disclosure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Contributors and stewards must disclose: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financial interests,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organizational affiliations,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 personal involvement relevant to content.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Disclosures are noted internally and, when relevant, publicly.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Separation from Advocacy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Stand Up Arkansas engages in civic advocacy.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archive is a **historical and analytical record**.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Advocacy goals do not determine: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inclusion of evidence,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interpretation of facts,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or suppression of uncomfortable history.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Respect for Communities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Community records are handled with care.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Lived experience is contextualized, not exploited.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Accountability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Ethical violations result in: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review,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correction,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or removal from contributor roles.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