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"Governing Principles"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"Governance"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Governing Principles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All contributors and stewards of this archive operate under the following principles: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## 1. Public Accountability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This archive exists for the public, not for private, partisan, or commercial interests.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Decisions must be explainable and documented.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## 2. Evidence First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Claims must be tied to sources.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Interpretations must be labeled.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Disagreement is handled through documentation, not suppression.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## 3. Additive History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Content is added, contextualized, and revised — not erased.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Earlier interpretations remain visible unless demonstrably incorrect.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## 4. Power Awareness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Historical records reflect power.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This archive actively examines who created sources and who was excluded.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## 5. Institutional Humility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 individual or organization owns historical truth.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Standards matter more than authority.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