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Editorial Style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Stand Up Arkansas — The People’s Political History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Prevent tone drift across contributors while preserving moral clarity.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Voice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Calm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Serious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Precise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Non-performative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document structure and consequence.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Preferred language patterns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“This structure had the effect of…”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“Enforcement varied by…”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“Records indicate…”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“This change increased/decreased the ability to…”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Avoid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sarcasm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rhetorical questions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labels like “evil,” “corrupt,” “traitor” without evidence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contemporary partisan framing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Claims vs Interpretations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Put factual claims in declarative sentences.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Label interpretation with a lead-in: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“Interpretation: …”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“Power analysis: …”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“One reading of the record suggests…”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Discussing harm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Be direct, not sensational.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Prefer: “disenfranchised,” “excluded,” “coerced,” “suppressed”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Avoid graphic language unless necessary and sourced.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Section discipline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Use standard headings and keep pages scannable.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White space is part of credibility.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