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"Search Filters — Language Spec"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"Search"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status: "Internal"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Search Filters — Language Spec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document defines consistent user-facing language for search and filtering.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goal is clarity without jargon.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Search Bar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 Placeholder text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“Search constitutions, events, eras, places, and power mechanisms…”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### Helper text (optional)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“Try: ‘1874’, ‘preemption’, ‘initiative’, ‘Phillips County’, ‘at-large’”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Empty state (no query)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“Start typing to search the archive.”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Filter Group Labels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Content Type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Era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Power Channel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Power Mechanism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Policy Area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Place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Date Range (Events)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Default Option Labels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“All” (for content type)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“Any era”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“Any channel”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“Any mechanism”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“Any policy area”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“Any place”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“Any time”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Results Header Language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 With query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“Results for: ‘{query}’”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### With filters only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“Results matching selected filters”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### With query + filters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“Results for: ‘{query}’ (filtered)”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Empty Results States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### No results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“No matches found.”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### Suggestions line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“Try a broader term, remove filters, or explore by era.”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### Optional quick links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Explore the Constitution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Explore the Timeline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Browse Power Mechanisms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 Result Card Fields (consistent labels)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Era: {era}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Date: {date}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Status: Draft / Active / Template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Tags: {tags}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 Clickable Tag Label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“View all pages tagged: {tag}”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Sourcing Status Language (standard)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“Sources pending”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“Partially sourced”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“Fully sourced”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“verified”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“truth”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“proven”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We use sourcing transparency, not absolutism.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