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B93D8" w14:textId="57D6E5A6" w:rsidR="008F7B32" w:rsidRDefault="005704D2" w:rsidP="003400C2">
      <w:pPr>
        <w:pStyle w:val="Ttulo1"/>
        <w:jc w:val="center"/>
        <w:rPr>
          <w:b/>
          <w:bCs/>
          <w:u w:val="single"/>
        </w:rPr>
      </w:pPr>
      <w:r w:rsidRPr="003400C2">
        <w:rPr>
          <w:b/>
          <w:bCs/>
          <w:u w:val="single"/>
        </w:rPr>
        <w:t>Amasadora: Moretti- mixer60</w:t>
      </w:r>
    </w:p>
    <w:p w14:paraId="0821C075" w14:textId="77777777" w:rsidR="003400C2" w:rsidRDefault="003400C2" w:rsidP="003400C2">
      <w:pPr>
        <w:keepNext/>
        <w:jc w:val="center"/>
      </w:pPr>
      <w:r w:rsidRPr="003400C2">
        <w:drawing>
          <wp:inline distT="0" distB="0" distL="0" distR="0" wp14:anchorId="2EE9726A" wp14:editId="4CD70F91">
            <wp:extent cx="3839111" cy="497274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EAEB" w14:textId="61EC6E1F" w:rsidR="003400C2" w:rsidRPr="003400C2" w:rsidRDefault="003400C2" w:rsidP="003400C2">
      <w:pPr>
        <w:pStyle w:val="Descripcin"/>
        <w:jc w:val="center"/>
      </w:pPr>
      <w:r w:rsidRPr="003400C2">
        <w:rPr>
          <w:u w:val="single"/>
        </w:rPr>
        <w:t xml:space="preserve">Ilustración </w:t>
      </w:r>
      <w:r w:rsidRPr="003400C2">
        <w:rPr>
          <w:u w:val="single"/>
        </w:rPr>
        <w:fldChar w:fldCharType="begin"/>
      </w:r>
      <w:r w:rsidRPr="003400C2">
        <w:rPr>
          <w:u w:val="single"/>
        </w:rPr>
        <w:instrText xml:space="preserve"> SEQ Ilustración \* ARABIC </w:instrText>
      </w:r>
      <w:r w:rsidRPr="003400C2">
        <w:rPr>
          <w:u w:val="single"/>
        </w:rPr>
        <w:fldChar w:fldCharType="separate"/>
      </w:r>
      <w:r w:rsidRPr="003400C2">
        <w:rPr>
          <w:noProof/>
          <w:u w:val="single"/>
        </w:rPr>
        <w:t>1</w:t>
      </w:r>
      <w:r w:rsidRPr="003400C2">
        <w:rPr>
          <w:u w:val="single"/>
        </w:rPr>
        <w:fldChar w:fldCharType="end"/>
      </w:r>
      <w:r w:rsidRPr="003400C2">
        <w:rPr>
          <w:u w:val="single"/>
        </w:rPr>
        <w:t>:</w:t>
      </w:r>
      <w:r>
        <w:t xml:space="preserve"> </w:t>
      </w:r>
      <w:r w:rsidRPr="00115D0A">
        <w:t>Amasadora: Moretti- mixer60</w:t>
      </w:r>
      <w:r>
        <w:t>.</w:t>
      </w:r>
    </w:p>
    <w:p w14:paraId="3AF0C114" w14:textId="77777777" w:rsidR="003400C2" w:rsidRPr="003400C2" w:rsidRDefault="003400C2" w:rsidP="003400C2"/>
    <w:p w14:paraId="0004B159" w14:textId="18CBCDEE" w:rsidR="005704D2" w:rsidRDefault="005704D2" w:rsidP="005704D2">
      <w:pPr>
        <w:pStyle w:val="Prrafodelista"/>
        <w:numPr>
          <w:ilvl w:val="0"/>
          <w:numId w:val="1"/>
        </w:numPr>
      </w:pPr>
      <w:r w:rsidRPr="003400C2">
        <w:rPr>
          <w:rStyle w:val="Ttulo2Car"/>
          <w:b/>
          <w:bCs/>
        </w:rPr>
        <w:t>Lubricar:</w:t>
      </w:r>
      <w:r w:rsidRPr="003A631E">
        <w:rPr>
          <w:b/>
          <w:bCs/>
        </w:rPr>
        <w:t xml:space="preserve"> </w:t>
      </w:r>
      <w:r>
        <w:t>Agregar grasa al embrague y la cadena. (en caso de no hacerlo puede generar que el tono de ruido de ejecución es demasiado grande; la maquina se torna muy ruidosa, puede generar vibraciones)</w:t>
      </w:r>
      <w:r w:rsidR="00606FC3">
        <w:t>.</w:t>
      </w:r>
    </w:p>
    <w:p w14:paraId="5DA7E519" w14:textId="77777777" w:rsidR="00606FC3" w:rsidRDefault="00606FC3" w:rsidP="00606FC3">
      <w:pPr>
        <w:pStyle w:val="Prrafodelista"/>
      </w:pPr>
    </w:p>
    <w:p w14:paraId="047F391C" w14:textId="0F6018DA" w:rsidR="005704D2" w:rsidRDefault="005704D2" w:rsidP="003400C2">
      <w:pPr>
        <w:pStyle w:val="Prrafodelista"/>
        <w:numPr>
          <w:ilvl w:val="0"/>
          <w:numId w:val="1"/>
        </w:numPr>
      </w:pPr>
      <w:r w:rsidRPr="003400C2">
        <w:rPr>
          <w:rStyle w:val="Ttulo2Car"/>
          <w:b/>
          <w:bCs/>
        </w:rPr>
        <w:t>Ajustar el tambor</w:t>
      </w:r>
      <w:r>
        <w:t xml:space="preserve"> (o cambiarlo en caso de ser necesario), se puede deformar la superficie y generar que el dispositivo toca la superficie del tambor.</w:t>
      </w:r>
    </w:p>
    <w:p w14:paraId="61CE4352" w14:textId="40F99E72" w:rsidR="005704D2" w:rsidRDefault="005704D2" w:rsidP="005704D2"/>
    <w:p w14:paraId="43404658" w14:textId="14D6F7A1" w:rsidR="005704D2" w:rsidRPr="003400C2" w:rsidRDefault="005704D2" w:rsidP="003400C2">
      <w:pPr>
        <w:pStyle w:val="Ttulo1"/>
        <w:rPr>
          <w:b/>
          <w:bCs/>
          <w:u w:val="single"/>
        </w:rPr>
      </w:pPr>
      <w:r w:rsidRPr="003400C2">
        <w:rPr>
          <w:b/>
          <w:bCs/>
          <w:u w:val="single"/>
        </w:rPr>
        <w:t xml:space="preserve">Posibles problemas y soluciones </w:t>
      </w:r>
      <w:r w:rsidR="003A631E" w:rsidRPr="003400C2">
        <w:rPr>
          <w:b/>
          <w:bCs/>
          <w:u w:val="single"/>
        </w:rPr>
        <w:t>acorde a la falla:</w:t>
      </w:r>
    </w:p>
    <w:p w14:paraId="15E6A73E" w14:textId="3692E6D0" w:rsidR="003A631E" w:rsidRDefault="003A631E" w:rsidP="003A631E">
      <w:pPr>
        <w:pStyle w:val="Prrafodelista"/>
        <w:numPr>
          <w:ilvl w:val="0"/>
          <w:numId w:val="2"/>
        </w:numPr>
      </w:pPr>
      <w:r w:rsidRPr="003400C2">
        <w:rPr>
          <w:rStyle w:val="Ttulo2Car"/>
          <w:b/>
          <w:bCs/>
        </w:rPr>
        <w:t>La máquina no inicia:</w:t>
      </w:r>
      <w:r>
        <w:t xml:space="preserve"> 1. El voltaje es demasiado bajo. 2. No está equipado con la gestión de seguros 3. Falla en la línea eléctrica. 4. La red de protección no está activa.</w:t>
      </w:r>
      <w:r w:rsidRPr="003A631E">
        <w:t xml:space="preserve"> </w:t>
      </w:r>
      <w:r>
        <w:t>1. Verifique el voltaje de la fuente de alimentación. 2. Equipe un fusible. 3. Mantenimiento de circuitos eléctricos. 4. Reestablecer la red de seguridad.</w:t>
      </w:r>
    </w:p>
    <w:p w14:paraId="4316F0FE" w14:textId="77777777" w:rsidR="003A631E" w:rsidRDefault="003A631E" w:rsidP="003A631E">
      <w:pPr>
        <w:pStyle w:val="Prrafodelista"/>
      </w:pPr>
    </w:p>
    <w:p w14:paraId="5205C19F" w14:textId="24C16CF2" w:rsidR="003A631E" w:rsidRDefault="003A631E" w:rsidP="003A631E">
      <w:pPr>
        <w:pStyle w:val="Prrafodelista"/>
        <w:numPr>
          <w:ilvl w:val="0"/>
          <w:numId w:val="2"/>
        </w:numPr>
      </w:pPr>
      <w:r>
        <w:lastRenderedPageBreak/>
        <w:t xml:space="preserve">Durante el trabajo, realiza una </w:t>
      </w:r>
      <w:r w:rsidRPr="003A631E">
        <w:rPr>
          <w:b/>
          <w:bCs/>
        </w:rPr>
        <w:t>parada o un movimiento intermitente</w:t>
      </w:r>
      <w:r>
        <w:t>. 1. Verifique el voltaje de la fuente de alimentación. 2. Reemplazar fusible. 3. Usar con la capacidad correspondiente. 4. Agregar agua o agitar después de que el material se ablande</w:t>
      </w:r>
    </w:p>
    <w:p w14:paraId="02CC5415" w14:textId="77777777" w:rsidR="003400C2" w:rsidRDefault="003400C2" w:rsidP="003400C2">
      <w:pPr>
        <w:pStyle w:val="Prrafodelista"/>
      </w:pPr>
    </w:p>
    <w:p w14:paraId="1BE0409C" w14:textId="77777777" w:rsidR="003400C2" w:rsidRPr="003400C2" w:rsidRDefault="003400C2" w:rsidP="003400C2">
      <w:pPr>
        <w:pStyle w:val="Ttulo2"/>
        <w:rPr>
          <w:b/>
          <w:bCs/>
          <w:u w:val="single"/>
        </w:rPr>
      </w:pPr>
      <w:r w:rsidRPr="003400C2">
        <w:rPr>
          <w:b/>
          <w:bCs/>
          <w:u w:val="single"/>
        </w:rPr>
        <w:t>Información de garantía</w:t>
      </w:r>
    </w:p>
    <w:p w14:paraId="2B7D5901" w14:textId="051B580C" w:rsidR="003400C2" w:rsidRPr="005704D2" w:rsidRDefault="003400C2" w:rsidP="003400C2">
      <w:r>
        <w:t xml:space="preserve"> La garantía es válida por 12 meses desde la fecha de compra, cubriendo fallas de motor y plaqueta por defectos de fabricación, previa revisión técnica. No cubre daños por mala instalación eléctrica, uso indebido o sobrecarga.</w:t>
      </w:r>
    </w:p>
    <w:sectPr w:rsidR="003400C2" w:rsidRPr="005704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E4B42"/>
    <w:multiLevelType w:val="hybridMultilevel"/>
    <w:tmpl w:val="503466F0"/>
    <w:lvl w:ilvl="0" w:tplc="7F4AA28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9706EA"/>
    <w:multiLevelType w:val="hybridMultilevel"/>
    <w:tmpl w:val="B3F8C78C"/>
    <w:lvl w:ilvl="0" w:tplc="D924B866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D2"/>
    <w:rsid w:val="003400C2"/>
    <w:rsid w:val="003A631E"/>
    <w:rsid w:val="005704D2"/>
    <w:rsid w:val="00606FC3"/>
    <w:rsid w:val="008F7B32"/>
    <w:rsid w:val="00EB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F26EA"/>
  <w15:chartTrackingRefBased/>
  <w15:docId w15:val="{51757DD6-CBEA-4C83-B8FD-E8978D70C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00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0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04D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40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400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3400C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3</cp:revision>
  <dcterms:created xsi:type="dcterms:W3CDTF">2026-01-20T10:08:00Z</dcterms:created>
  <dcterms:modified xsi:type="dcterms:W3CDTF">2026-01-23T12:54:00Z</dcterms:modified>
</cp:coreProperties>
</file>