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after="240"/>
        <w:jc w:val="center"/>
        <w:rPr>
          <w:b/>
          <w:bCs/>
        </w:rPr>
      </w:pPr>
      <w:r>
        <w:rPr>
          <w:rFonts w:ascii="Calibri" w:hAnsi="Calibri"/>
          <w:b/>
          <w:bCs/>
          <w:color w:val="1F4D78"/>
          <w:sz w:val="30"/>
        </w:rPr>
        <w:t>PAL — PRIMITIVE AXIOM LAYERS</w:t>
      </w:r>
    </w:p>
    <w:p>
      <w:pPr>
        <w:pStyle w:val="BodyText"/>
        <w:jc w:val="center"/>
        <w:rPr/>
      </w:pPr>
      <w:r>
        <w:rPr>
          <w:b/>
          <w:color w:val="10161E"/>
          <w:sz w:val="56"/>
        </w:rPr>
        <w:t>PAL v2.3-C</w:t>
      </w:r>
    </w:p>
    <w:p>
      <w:pPr>
        <w:pStyle w:val="BodyText"/>
        <w:jc w:val="center"/>
        <w:rPr/>
      </w:pPr>
      <w:r>
        <w:rPr>
          <w:i/>
          <w:color w:val="545E6A"/>
          <w:sz w:val="40"/>
        </w:rPr>
        <w:t>Compatibility Note</w:t>
      </w:r>
    </w:p>
    <w:p>
      <w:pPr>
        <w:pStyle w:val="BodyText"/>
        <w:jc w:val="center"/>
        <w:rPr/>
      </w:pPr>
      <w:r>
        <w:rPr/>
        <w:t>Author / Steward: Christopher D. Pang</w:t>
      </w:r>
    </w:p>
    <w:p>
      <w:pPr>
        <w:pStyle w:val="BodyText"/>
        <w:spacing w:after="80"/>
        <w:jc w:val="center"/>
        <w:rPr/>
      </w:pPr>
      <w:r>
        <w:rPr/>
        <w:t>Version: 2.3</w:t>
      </w:r>
    </w:p>
    <w:p>
      <w:pPr>
        <w:pStyle w:val="BodyText"/>
        <w:spacing w:after="80"/>
        <w:jc w:val="center"/>
        <w:rPr/>
      </w:pPr>
      <w:r>
        <w:rPr/>
        <w:t>Publication date: 2 September 2026</w:t>
      </w:r>
    </w:p>
    <w:p>
      <w:pPr>
        <w:pStyle w:val="BodyText"/>
        <w:spacing w:after="80"/>
        <w:jc w:val="center"/>
        <w:rPr/>
      </w:pPr>
      <w:r>
        <w:rPr/>
        <w:t>DOI: 10.5281/zenodo.22240134</w:t>
      </w:r>
    </w:p>
    <w:p>
      <w:pPr>
        <w:pStyle w:val="BodyText"/>
        <w:spacing w:after="80"/>
        <w:jc w:val="center"/>
        <w:rPr/>
      </w:pPr>
      <w:r>
        <w:rPr/>
        <w:t>Status: Author release; not peer reviewed</w:t>
      </w:r>
    </w:p>
    <w:p>
      <w:pPr>
        <w:pStyle w:val="BodyText"/>
        <w:spacing w:after="80"/>
        <w:jc w:val="center"/>
        <w:rPr/>
      </w:pPr>
      <w:r>
        <w:rPr>
          <w:b/>
          <w:bCs/>
        </w:rPr>
        <w:t>License:</w:t>
      </w:r>
      <w:r>
        <w:rPr/>
        <w:t xml:space="preserve"> Creative Commons Attribution 4.0 International (CC BY 4.0)</w:t>
      </w:r>
    </w:p>
    <w:p>
      <w:pPr>
        <w:pStyle w:val="BodyText"/>
        <w:spacing w:before="200" w:after="60"/>
        <w:jc w:val="center"/>
        <w:rPr>
          <w:b/>
          <w:bCs/>
        </w:rPr>
      </w:pPr>
      <w:r>
        <w:rPr>
          <w:b/>
          <w:bCs/>
          <w:color w:val="4B5662"/>
        </w:rPr>
        <w:t>Authority note</w:t>
      </w:r>
    </w:p>
    <w:p>
      <w:pPr>
        <w:pStyle w:val="BlockQuotation"/>
        <w:ind w:hanging="0" w:start="720" w:end="0"/>
        <w:jc w:val="center"/>
        <w:rPr>
          <w:b/>
          <w:bCs/>
        </w:rPr>
      </w:pPr>
      <w:r>
        <w:rPr>
          <w:b/>
          <w:bCs/>
        </w:rPr>
        <w:t>This file is one coordinated authority surface in the PAL v2.3 author release. Its authority is limited to receipt-preserving migration claims. Christopher D. Pang is the sole author, steward, and release authority.</w:t>
      </w:r>
    </w:p>
    <w:p>
      <w:pPr>
        <w:pStyle w:val="Normal"/>
        <w:spacing w:before="160" w:after="60"/>
        <w:jc w:val="center"/>
        <w:rPr>
          <w:b/>
          <w:bCs/>
        </w:rPr>
      </w:pPr>
      <w:r>
        <w:rPr>
          <w:b/>
          <w:bCs/>
        </w:rPr>
        <w:t>AI-use disclosure</w:t>
      </w:r>
    </w:p>
    <w:p>
      <w:pPr>
        <w:pStyle w:val="BodyText"/>
        <w:spacing w:line="240" w:lineRule="auto"/>
        <w:jc w:val="center"/>
        <w:rPr/>
      </w:pPr>
      <w:r>
        <w:rPr>
          <w:color w:val="1F4D78"/>
          <w:sz w:val="17"/>
        </w:rPr>
        <w:t>Christopher D. Pang originated PAL’s framework and conceptual identities, supplied its source corpus and terminology, and is its sole author and steward and sole authority for adopting, rejecting, or revising its framework claims. AI systems did not originate PAL. OpenAI ChatGPT and Codex were used under his direction for drafting and editing, mathematical exploration, code and test-fixture development, adversarial and consistency review, source reconciliation, testing, document generation, and formatting. Their outputs were proposals and tool results with no PAL authority unless Pang reviewed and expressly adopted them; unadopted output is not PAL. The systems are not authors, co-authors, inventors, owners, stewards, witnesses, release authorities, independent authorities, or independent corroborators, and model output is not privileged testimony or independent corroboration.</w:t>
      </w:r>
      <w:r>
        <w:rPr>
          <w:color w:val="1F4D78"/>
          <w:sz w:val="17"/>
        </w:rPr>
        <w:br w:type="page"/>
      </w:r>
    </w:p>
    <w:p>
      <w:pPr>
        <w:pStyle w:val="Heading1"/>
        <w:keepNext/>
        <w:keepLines/>
        <w:pageBreakBefore w:val="0"/>
        <w:rPr/>
      </w:pPr>
      <w:bookmarkStart w:id="0" w:name="document-map"/>
      <w:r>
        <w:rPr/>
        <w:t>Document map</w:t>
      </w:r>
      <w:bookmarkEnd w:id="0"/>
    </w:p>
    <w:p>
      <w:pPr>
        <w:pStyle w:val="Normal"/>
        <w:keepNext/>
        <w:keepLines/>
        <w:rPr/>
      </w:pPr>
      <w:r>
        <w:rPr/>
        <w:t>Headings are the navigation authority for this source and its rendered PDF. The map below lists the major reading route; page numbers are intentionally not frozen into the editable source.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Section</w:t>
            </w:r>
          </w:p>
        </w:tc>
        <w:tc>
          <w:tcPr>
            <w:tcW w:w="6739" w:type="dxa"/>
            <w:tcBorders/>
            <w:vAlign w:val="top"/>
            <w:shd w:fill="DCE6F1"/>
          </w:tcPr>
          <w:p>
            <w:pPr>
              <w:pStyle w:val="Normal"/>
              <w:spacing w:before="0" w:after="40" w:line="240" w:lineRule="auto"/>
              <w:rPr>
                <w:b/>
                <w:bCs/>
              </w:rPr>
            </w:pPr>
            <w:r>
              <w:rPr>
                <w:b/>
                <w:bCs/>
                <w:color w:val="1F4D78"/>
                <w:sz w:val="19"/>
              </w:rPr>
              <w:t>Purpose</w:t>
            </w:r>
          </w:p>
        </w:tc>
      </w:tr>
      <w:tr>
        <w:trPr/>
        <w:tc>
          <w:tcPr>
            <w:tcW w:w="2621" w:type="dxa"/>
            <w:tcBorders/>
            <w:vAlign w:val="top"/>
          </w:tcPr>
          <w:p>
            <w:pPr>
              <w:pStyle w:val="Normal"/>
              <w:spacing w:before="0" w:after="40" w:line="240" w:lineRule="auto"/>
              <w:rPr>
                <w:b/>
                <w:bCs/>
              </w:rPr>
            </w:pPr>
            <w:r>
              <w:rPr>
                <w:b/>
                <w:bCs/>
                <w:sz w:val="19"/>
              </w:rPr>
              <w:t>1. Compatibility claim</w:t>
            </w:r>
          </w:p>
        </w:tc>
        <w:tc>
          <w:tcPr>
            <w:tcW w:w="6739" w:type="dxa"/>
            <w:tcBorders/>
            <w:vAlign w:val="top"/>
          </w:tcPr>
          <w:p>
            <w:pPr>
              <w:pStyle w:val="Normal"/>
              <w:widowControl/>
              <w:bidi w:val="0"/>
              <w:spacing w:lineRule="auto" w:line="240" w:before="0" w:after="40"/>
              <w:jc w:val="start"/>
              <w:rPr/>
            </w:pPr>
            <w:r>
              <w:rPr>
                <w:sz w:val="19"/>
              </w:rPr>
              <w:t>Why v2.0 was a major version, why later revisions are additive, and what remains usable.</w:t>
            </w:r>
          </w:p>
        </w:tc>
      </w:tr>
      <w:tr>
        <w:trPr/>
        <w:tc>
          <w:tcPr>
            <w:tcW w:w="2621" w:type="dxa"/>
            <w:tcBorders/>
            <w:vAlign w:val="top"/>
            <w:shd w:fill="F7F9FB"/>
          </w:tcPr>
          <w:p>
            <w:pPr>
              <w:pStyle w:val="Normal"/>
              <w:spacing w:before="0" w:after="40" w:line="240" w:lineRule="auto"/>
              <w:rPr>
                <w:b/>
                <w:bCs/>
              </w:rPr>
            </w:pPr>
            <w:r>
              <w:rPr>
                <w:b/>
                <w:bCs/>
                <w:sz w:val="19"/>
              </w:rPr>
              <w:t>2. Migration principles</w:t>
            </w:r>
          </w:p>
        </w:tc>
        <w:tc>
          <w:tcPr>
            <w:tcW w:w="6739" w:type="dxa"/>
            <w:tcBorders/>
            <w:vAlign w:val="top"/>
            <w:shd w:fill="F7F9FB"/>
          </w:tcPr>
          <w:p>
            <w:pPr>
              <w:pStyle w:val="Normal"/>
              <w:widowControl/>
              <w:bidi w:val="0"/>
              <w:spacing w:lineRule="auto" w:line="240" w:before="0" w:after="40"/>
              <w:jc w:val="start"/>
              <w:rPr/>
            </w:pPr>
            <w:r>
              <w:rPr>
                <w:sz w:val="19"/>
              </w:rPr>
              <w:t>How to preserve receipts while changing identities.</w:t>
            </w:r>
          </w:p>
        </w:tc>
      </w:tr>
      <w:tr>
        <w:trPr/>
        <w:tc>
          <w:tcPr>
            <w:tcW w:w="2621" w:type="dxa"/>
            <w:tcBorders/>
            <w:vAlign w:val="top"/>
          </w:tcPr>
          <w:p>
            <w:pPr>
              <w:pStyle w:val="Normal"/>
              <w:spacing w:before="0" w:after="40" w:line="240" w:lineRule="auto"/>
              <w:rPr>
                <w:b/>
                <w:bCs/>
              </w:rPr>
            </w:pPr>
            <w:r>
              <w:rPr>
                <w:b/>
                <w:bCs/>
                <w:sz w:val="19"/>
              </w:rPr>
              <w:t>3. Address map</w:t>
            </w:r>
          </w:p>
        </w:tc>
        <w:tc>
          <w:tcPr>
            <w:tcW w:w="6739" w:type="dxa"/>
            <w:tcBorders/>
            <w:vAlign w:val="top"/>
          </w:tcPr>
          <w:p>
            <w:pPr>
              <w:pStyle w:val="Normal"/>
              <w:widowControl/>
              <w:bidi w:val="0"/>
              <w:spacing w:lineRule="auto" w:line="240" w:before="0" w:after="40"/>
              <w:jc w:val="start"/>
              <w:rPr/>
            </w:pPr>
            <w:r>
              <w:rPr>
                <w:sz w:val="19"/>
              </w:rPr>
              <w:t>Ω, A0, Ω*, θ, A1–A15, obligations, and branches.</w:t>
            </w:r>
          </w:p>
        </w:tc>
      </w:tr>
      <w:tr>
        <w:trPr/>
        <w:tc>
          <w:tcPr>
            <w:tcW w:w="2621" w:type="dxa"/>
            <w:tcBorders/>
            <w:vAlign w:val="top"/>
            <w:shd w:fill="F7F9FB"/>
          </w:tcPr>
          <w:p>
            <w:pPr>
              <w:pStyle w:val="Normal"/>
              <w:spacing w:before="0" w:after="40" w:line="240" w:lineRule="auto"/>
              <w:rPr>
                <w:b/>
                <w:bCs/>
              </w:rPr>
            </w:pPr>
            <w:r>
              <w:rPr>
                <w:b/>
                <w:bCs/>
                <w:sz w:val="19"/>
              </w:rPr>
              <w:t>4. Core-law migration</w:t>
            </w:r>
          </w:p>
        </w:tc>
        <w:tc>
          <w:tcPr>
            <w:tcW w:w="6739" w:type="dxa"/>
            <w:tcBorders/>
            <w:vAlign w:val="top"/>
            <w:shd w:fill="F7F9FB"/>
          </w:tcPr>
          <w:p>
            <w:pPr>
              <w:pStyle w:val="Normal"/>
              <w:widowControl/>
              <w:bidi w:val="0"/>
              <w:spacing w:lineRule="auto" w:line="240" w:before="0" w:after="40"/>
              <w:jc w:val="start"/>
              <w:rPr/>
            </w:pPr>
            <w:r>
              <w:rPr>
                <w:sz w:val="19"/>
              </w:rPr>
              <w:t>How v1.6 formal laws are retained under the five-surface architecture.</w:t>
            </w:r>
          </w:p>
        </w:tc>
      </w:tr>
      <w:tr>
        <w:trPr/>
        <w:tc>
          <w:tcPr>
            <w:tcW w:w="2621" w:type="dxa"/>
            <w:tcBorders/>
            <w:vAlign w:val="top"/>
          </w:tcPr>
          <w:p>
            <w:pPr>
              <w:pStyle w:val="Normal"/>
              <w:spacing w:before="0" w:after="40" w:line="240" w:lineRule="auto"/>
              <w:rPr>
                <w:b/>
                <w:bCs/>
              </w:rPr>
            </w:pPr>
            <w:r>
              <w:rPr>
                <w:b/>
                <w:bCs/>
                <w:sz w:val="19"/>
              </w:rPr>
              <w:t>5. Deprecated readings</w:t>
            </w:r>
          </w:p>
        </w:tc>
        <w:tc>
          <w:tcPr>
            <w:tcW w:w="6739" w:type="dxa"/>
            <w:tcBorders/>
            <w:vAlign w:val="top"/>
          </w:tcPr>
          <w:p>
            <w:pPr>
              <w:pStyle w:val="Normal"/>
              <w:widowControl/>
              <w:bidi w:val="0"/>
              <w:spacing w:lineRule="auto" w:line="240" w:before="0" w:after="40"/>
              <w:jc w:val="start"/>
              <w:rPr/>
            </w:pPr>
            <w:r>
              <w:rPr>
                <w:sz w:val="19"/>
              </w:rPr>
              <w:t>Normative patterns that must not survive unquoted into v2.0.</w:t>
            </w:r>
          </w:p>
        </w:tc>
      </w:tr>
      <w:tr>
        <w:trPr/>
        <w:tc>
          <w:tcPr>
            <w:tcW w:w="2621" w:type="dxa"/>
            <w:tcBorders/>
            <w:vAlign w:val="top"/>
            <w:shd w:fill="F7F9FB"/>
          </w:tcPr>
          <w:p>
            <w:pPr>
              <w:pStyle w:val="Normal"/>
              <w:spacing w:before="0" w:after="40" w:line="240" w:lineRule="auto"/>
              <w:rPr>
                <w:b/>
                <w:bCs/>
              </w:rPr>
            </w:pPr>
            <w:r>
              <w:rPr>
                <w:b/>
                <w:bCs/>
                <w:sz w:val="19"/>
              </w:rPr>
              <w:t>6. Branch adapter checklist</w:t>
            </w:r>
          </w:p>
        </w:tc>
        <w:tc>
          <w:tcPr>
            <w:tcW w:w="6739" w:type="dxa"/>
            <w:tcBorders/>
            <w:vAlign w:val="top"/>
            <w:shd w:fill="F7F9FB"/>
          </w:tcPr>
          <w:p>
            <w:pPr>
              <w:pStyle w:val="Normal"/>
              <w:widowControl/>
              <w:bidi w:val="0"/>
              <w:spacing w:lineRule="auto" w:line="240" w:before="0" w:after="40"/>
              <w:jc w:val="start"/>
              <w:rPr/>
            </w:pPr>
            <w:r>
              <w:rPr>
                <w:sz w:val="19"/>
              </w:rPr>
              <w:t>Required repairs for companion specifications and software.</w:t>
            </w:r>
          </w:p>
        </w:tc>
      </w:tr>
      <w:tr>
        <w:trPr/>
        <w:tc>
          <w:tcPr>
            <w:tcW w:w="2621" w:type="dxa"/>
            <w:tcBorders/>
            <w:vAlign w:val="top"/>
          </w:tcPr>
          <w:p>
            <w:pPr>
              <w:pStyle w:val="Normal"/>
              <w:spacing w:before="0" w:after="40" w:line="240" w:lineRule="auto"/>
              <w:rPr>
                <w:b/>
                <w:bCs/>
              </w:rPr>
            </w:pPr>
            <w:r>
              <w:rPr>
                <w:b/>
                <w:bCs/>
                <w:sz w:val="19"/>
              </w:rPr>
              <w:t>7. Upgrade procedure</w:t>
            </w:r>
          </w:p>
        </w:tc>
        <w:tc>
          <w:tcPr>
            <w:tcW w:w="6739" w:type="dxa"/>
            <w:tcBorders/>
            <w:vAlign w:val="top"/>
          </w:tcPr>
          <w:p>
            <w:pPr>
              <w:pStyle w:val="Normal"/>
              <w:widowControl/>
              <w:bidi w:val="0"/>
              <w:spacing w:lineRule="auto" w:line="240" w:before="0" w:after="40"/>
              <w:jc w:val="start"/>
              <w:rPr/>
            </w:pPr>
            <w:r>
              <w:rPr>
                <w:sz w:val="19"/>
              </w:rPr>
              <w:t>A practical v1.x→v2.0 migration route with reopening receipts.</w:t>
            </w:r>
          </w:p>
        </w:tc>
      </w:tr>
      <w:tr>
        <w:trPr/>
        <w:tc>
          <w:tcPr>
            <w:tcW w:w="2621" w:type="dxa"/>
            <w:tcBorders/>
            <w:vAlign w:val="top"/>
            <w:shd w:fill="F7F9FB"/>
          </w:tcPr>
          <w:p>
            <w:pPr>
              <w:pStyle w:val="Normal"/>
              <w:spacing w:before="0" w:after="40" w:line="240" w:lineRule="auto"/>
              <w:rPr>
                <w:b/>
                <w:bCs/>
              </w:rPr>
            </w:pPr>
            <w:r>
              <w:rPr>
                <w:b/>
                <w:bCs/>
                <w:sz w:val="19"/>
              </w:rPr>
              <w:t>8. PAL v2.0 to v2.1 migration</w:t>
            </w:r>
          </w:p>
        </w:tc>
        <w:tc>
          <w:tcPr>
            <w:tcW w:w="6739" w:type="dxa"/>
            <w:tcBorders/>
            <w:vAlign w:val="top"/>
            <w:shd w:fill="F7F9FB"/>
          </w:tcPr>
          <w:p>
            <w:pPr>
              <w:pStyle w:val="Normal"/>
              <w:widowControl/>
              <w:bidi w:val="0"/>
              <w:spacing w:lineRule="auto" w:line="240" w:before="0" w:after="40"/>
              <w:jc w:val="start"/>
              <w:rPr/>
            </w:pPr>
            <w:r>
              <w:rPr>
                <w:sz w:val="19"/>
              </w:rPr>
              <w:t>Focused delta map, rejected promotions, upgrade route, and audit-identity preservation.</w:t>
            </w:r>
          </w:p>
        </w:tc>
      </w:tr>
      <w:tr>
        <w:trPr/>
        <w:tc>
          <w:tcPr>
            <w:tcW w:w="2621" w:type="dxa"/>
            <w:tcBorders/>
            <w:vAlign w:val="top"/>
          </w:tcPr>
          <w:p>
            <w:pPr>
              <w:pStyle w:val="Normal"/>
              <w:spacing w:before="0" w:after="40" w:line="240" w:lineRule="auto"/>
              <w:rPr>
                <w:b/>
                <w:bCs/>
              </w:rPr>
            </w:pPr>
            <w:r>
              <w:rPr>
                <w:b/>
                <w:bCs/>
                <w:sz w:val="19"/>
              </w:rPr>
              <w:t>9. PAL v2.1 to v2.2 migration</w:t>
            </w:r>
          </w:p>
        </w:tc>
        <w:tc>
          <w:tcPr>
            <w:tcW w:w="6739" w:type="dxa"/>
            <w:tcBorders/>
            <w:vAlign w:val="top"/>
          </w:tcPr>
          <w:p>
            <w:pPr>
              <w:pStyle w:val="Normal"/>
              <w:widowControl/>
              <w:bidi w:val="0"/>
              <w:spacing w:lineRule="auto" w:line="240" w:before="0" w:after="40"/>
              <w:jc w:val="start"/>
              <w:rPr/>
            </w:pPr>
            <w:r>
              <w:rPr>
                <w:sz w:val="19"/>
              </w:rPr>
              <w:t>Account placement, receipt schemas, legacy wrappers, and A15/Test separation.</w:t>
            </w:r>
          </w:p>
        </w:tc>
      </w:tr>
      <w:tr>
        <w:trPr/>
        <w:tc>
          <w:tcPr>
            <w:tcW w:w="2621" w:type="dxa"/>
            <w:tcBorders/>
            <w:vAlign w:val="top"/>
            <w:shd w:fill="F7F9FB"/>
          </w:tcPr>
          <w:p>
            <w:pPr>
              <w:pStyle w:val="Normal"/>
              <w:spacing w:before="0" w:after="40" w:line="240" w:lineRule="auto"/>
              <w:rPr>
                <w:b/>
                <w:bCs/>
              </w:rPr>
            </w:pPr>
            <w:r>
              <w:rPr>
                <w:b/>
                <w:bCs/>
                <w:sz w:val="19"/>
              </w:rPr>
              <w:t>10. PAL v2.2 to v2.3 migration</w:t>
            </w:r>
          </w:p>
        </w:tc>
        <w:tc>
          <w:tcPr>
            <w:tcW w:w="6739" w:type="dxa"/>
            <w:tcBorders/>
            <w:vAlign w:val="top"/>
            <w:shd w:fill="F7F9FB"/>
          </w:tcPr>
          <w:p>
            <w:pPr>
              <w:pStyle w:val="Normal"/>
              <w:widowControl/>
              <w:bidi w:val="0"/>
              <w:spacing w:lineRule="auto" w:line="240" w:before="0" w:after="40"/>
              <w:jc w:val="start"/>
              <w:rPr/>
            </w:pPr>
            <w:r>
              <w:rPr>
                <w:sz w:val="19"/>
              </w:rPr>
              <w:t>Frozen lineage, publication succession, exact surface matrix, late-directive routing, rejected shortcuts, and upgrade route.</w:t>
            </w:r>
          </w:p>
        </w:tc>
      </w:tr>
      <w:tr>
        <w:trPr/>
        <w:tc>
          <w:tcPr>
            <w:tcW w:w="2621" w:type="dxa"/>
            <w:tcBorders/>
            <w:vAlign w:val="top"/>
          </w:tcPr>
          <w:p>
            <w:pPr>
              <w:pStyle w:val="Normal"/>
              <w:spacing w:before="0" w:after="40" w:line="240" w:lineRule="auto"/>
              <w:rPr>
                <w:b/>
                <w:bCs/>
              </w:rPr>
            </w:pPr>
            <w:r>
              <w:rPr>
                <w:b/>
                <w:bCs/>
                <w:sz w:val="19"/>
              </w:rPr>
              <w:t>11. Provenance and change log</w:t>
            </w:r>
          </w:p>
        </w:tc>
        <w:tc>
          <w:tcPr>
            <w:tcW w:w="6739" w:type="dxa"/>
            <w:tcBorders/>
            <w:vAlign w:val="top"/>
          </w:tcPr>
          <w:p>
            <w:pPr>
              <w:pStyle w:val="Normal"/>
              <w:widowControl/>
              <w:bidi w:val="0"/>
              <w:spacing w:lineRule="auto" w:line="240" w:before="0" w:after="40"/>
              <w:jc w:val="start"/>
              <w:rPr/>
            </w:pPr>
            <w:r>
              <w:rPr>
                <w:sz w:val="19"/>
              </w:rPr>
              <w:t>Compatibility-source provenance and the six-part v2.2→v2.3 change account.</w:t>
            </w:r>
          </w:p>
        </w:tc>
      </w:tr>
      <w:tr>
        <w:trPr/>
        <w:tc>
          <w:tcPr>
            <w:tcW w:w="2621" w:type="dxa"/>
            <w:tcBorders/>
            <w:vAlign w:val="top"/>
            <w:shd w:fill="F7F9FB"/>
          </w:tcPr>
          <w:p>
            <w:pPr>
              <w:pStyle w:val="Normal"/>
              <w:spacing w:before="0" w:after="40" w:line="240" w:lineRule="auto"/>
              <w:rPr>
                <w:b/>
                <w:bCs/>
              </w:rPr>
            </w:pPr>
            <w:r>
              <w:rPr>
                <w:b/>
                <w:bCs/>
                <w:sz w:val="19"/>
              </w:rPr>
              <w:t>References and disclosure</w:t>
            </w:r>
          </w:p>
        </w:tc>
        <w:tc>
          <w:tcPr>
            <w:tcW w:w="6739" w:type="dxa"/>
            <w:tcBorders/>
            <w:vAlign w:val="top"/>
            <w:shd w:fill="F7F9FB"/>
          </w:tcPr>
          <w:p>
            <w:pPr>
              <w:pStyle w:val="Normal"/>
              <w:widowControl/>
              <w:bidi w:val="0"/>
              <w:spacing w:lineRule="auto" w:line="240" w:before="0" w:after="40"/>
              <w:jc w:val="start"/>
              <w:rPr/>
            </w:pPr>
            <w:r>
              <w:rPr>
                <w:sz w:val="19"/>
              </w:rPr>
              <w:t>Lineage, citation, license, assistance account, and end trace.</w:t>
            </w:r>
          </w:p>
        </w:tc>
      </w:tr>
    </w:tbl>
    <w:p>
      <w:pPr>
        <w:pStyle w:val="Heading1"/>
        <w:keepNext/>
        <w:keepLines/>
        <w:rPr/>
      </w:pPr>
      <w:bookmarkStart w:id="1" w:name="compatibility-claim"/>
      <w:r>
        <w:rPr/>
        <w:t>1. Compatibility claim</w:t>
      </w:r>
      <w:bookmarkEnd w:id="1"/>
    </w:p>
    <w:p>
      <w:pPr>
        <w:pStyle w:val="Normal"/>
        <w:keepNext/>
        <w:keepLines/>
        <w:rPr/>
      </w:pPr>
      <w:r>
        <w:rPr>
          <w:b/>
          <w:bCs/>
        </w:rPr>
        <w:t xml:space="preserve">PAL v2.0 is a major version because A0 changes identity from a one-class model envelope to the cut itself, Ω is corrected from </w:t>
      </w:r>
      <w:r>
        <w:rPr/>
        <w:t>‘</w:t>
      </w:r>
      <w:r>
        <w:rPr>
          <w:b/>
          <w:bCs/>
        </w:rPr>
        <w:t>unresolved exterior</w:t>
      </w:r>
      <w:r>
        <w:rPr/>
        <w:t>’</w:t>
      </w:r>
      <w:r>
        <w:rPr>
          <w:b/>
          <w:bCs/>
        </w:rPr>
        <w:t xml:space="preserve"> to unresolved possibility, and Ω* becomes a canonical cut-reflection address. The 1.x mathematics is retained by relocation, not discarded.</w:t>
      </w:r>
    </w:p>
    <w:p>
      <w:pPr>
        <w:pStyle w:val="BodyText"/>
        <w:rPr/>
      </w:pPr>
      <w:r>
        <w:rPr/>
        <w:t>Existing PAL 1.x proofs, implementations, and branches remain usable only to the claims and assumptions they actually establish. A v1.6 result does not automatically become a v2.0 spine identity. Migration adds explicit target cards, adapters, authority ceilings, residuals, and reopening handles.</w:t>
      </w:r>
    </w:p>
    <w:p>
      <w:pPr>
        <w:pStyle w:val="BodyText"/>
        <w:rPr>
          <w:b/>
          <w:bCs/>
        </w:rPr>
      </w:pPr>
      <w:r>
        <w:rPr>
          <w:b/>
          <w:bCs/>
        </w:rPr>
        <w:t>PAL v2.1 is a focused minor revision of v2.0. It does not reorder the primitive floor or change the identities of Ω, A0, Ω*, θ, or A1-A15. It clarifies account-relative firstness, typed cut cost, the A1/A2/A15 route to scoped occurrence closure, source underdetermination at cut-only interfaces, witnessed further inquiry, and append-only recovery evidence. D-FIRST-OCCURRENCE, O04, and O25 remain OPEN.</w:t>
      </w:r>
    </w:p>
    <w:p>
      <w:pPr>
        <w:pStyle w:val="BodyText"/>
        <w:rPr/>
      </w:pPr>
      <w:r>
        <w:rPr/>
        <w:t>PAL v2.0 artifacts and audit receipts retain their original release identity and results. They are not retroactively relabeled as v2.1 evidence. A downstream artifact needs a new version only if its own normative behavior or claim changes; a compatible unchanged artifact may defer a citation update.</w:t>
      </w:r>
    </w:p>
    <w:p>
      <w:pPr>
        <w:pStyle w:val="BodyText"/>
        <w:rPr>
          <w:b/>
          <w:bCs/>
        </w:rPr>
      </w:pPr>
      <w:r>
        <w:rPr>
          <w:b/>
          <w:bCs/>
        </w:rPr>
        <w:t>PAL v2.2 is a coordinated schema and lineage revision of v2.1. It preserves the primitive floor, A1–A15, the four-status grammar, and the existing obligation population while making account placement, immutable receipt identity, legacy wrapping, and the separation of TestReceipt evidence from ClosureReceipt status explicit.</w:t>
      </w:r>
    </w:p>
    <w:p>
      <w:pPr>
        <w:pStyle w:val="BodyText"/>
        <w:rPr>
          <w:b/>
          <w:bCs/>
        </w:rPr>
      </w:pPr>
      <w:r>
        <w:rPr>
          <w:b/>
          <w:bCs/>
        </w:rPr>
        <w:t>PAL v2.3 is Atlas-forward and spine-conservative. It preserves Ω, A0, Ω*, θ, A1–A15, SC-00–SC-20, the four statuses, ROOT/APPEND/CHILD/VERSION/SUCCESSOR operations, and frozen receipt lineage. It adds SC-21 and bounded realization, ledger, test, provenance, and compatibility material without retrofitting a v2.3 field or authority into an older release.</w:t>
      </w:r>
    </w:p>
    <w:p>
      <w:pPr>
        <w:pStyle w:val="BodyText"/>
        <w:rPr/>
      </w:pPr>
      <w:r>
        <w:rPr/>
        <w:t>Existing implementations remain conformant to the PAL release they actually satisfy. A v2.2 implementation does not lose its declared v2.2 conformance because v2.3 exists; it may claim v2.3 conformance only after every applicable v2.3 field, ceiling, adapter, fixture, and test has been satisfied.</w:t>
      </w:r>
    </w:p>
    <w:p>
      <w:pPr>
        <w:pStyle w:val="Heading1"/>
        <w:keepNext/>
        <w:keepLines/>
        <w:rPr/>
      </w:pPr>
      <w:bookmarkStart w:id="2" w:name="migration-principles"/>
      <w:r>
        <w:rPr/>
        <w:t>2. Migration principles</w:t>
      </w:r>
      <w:bookmarkEnd w:id="2"/>
    </w:p>
    <w:p>
      <w:pPr>
        <w:pStyle w:val="BodyText"/>
        <w:keepNext/>
        <w:keepLines/>
        <w:numPr>
          <w:ilvl w:val="0"/>
          <w:numId w:val="8"/>
        </w:numPr>
        <w:rPr/>
      </w:pPr>
      <w:r>
        <w:rPr/>
        <w:t>Preserve the historical receipt before changing its current address.</w:t>
      </w:r>
    </w:p>
    <w:p>
      <w:pPr>
        <w:pStyle w:val="BodyText"/>
        <w:numPr>
          <w:ilvl w:val="0"/>
          <w:numId w:val="8"/>
        </w:numPr>
        <w:rPr/>
      </w:pPr>
      <w:r>
        <w:rPr/>
        <w:t>Relocate mathematical objects to PAL v2.0-M when they realize but do not define a layer.</w:t>
      </w:r>
    </w:p>
    <w:p>
      <w:pPr>
        <w:pStyle w:val="BodyText"/>
        <w:numPr>
          <w:ilvl w:val="0"/>
          <w:numId w:val="8"/>
        </w:numPr>
        <w:rPr/>
      </w:pPr>
      <w:r>
        <w:rPr/>
        <w:t>Do not close O04/O25 by renaming the first-occurrence debt or moving its interface to A0.</w:t>
      </w:r>
    </w:p>
    <w:p>
      <w:pPr>
        <w:pStyle w:val="BodyText"/>
        <w:numPr>
          <w:ilvl w:val="0"/>
          <w:numId w:val="8"/>
        </w:numPr>
        <w:rPr/>
      </w:pPr>
      <w:r>
        <w:rPr/>
        <w:t>Carry source version, assumptions, costs, protected observations, tolerances, and negative results.</w:t>
      </w:r>
    </w:p>
    <w:p>
      <w:pPr>
        <w:pStyle w:val="BodyText"/>
        <w:numPr>
          <w:ilvl w:val="0"/>
          <w:numId w:val="8"/>
        </w:numPr>
        <w:rPr/>
      </w:pPr>
      <w:r>
        <w:rPr/>
        <w:t>Use typed adapters; do not silently translate correlation into cause, coupling into jointness, or structural closure into permission.</w:t>
      </w:r>
    </w:p>
    <w:p>
      <w:pPr>
        <w:pStyle w:val="BodyText"/>
        <w:numPr>
          <w:ilvl w:val="0"/>
          <w:numId w:val="8"/>
        </w:numPr>
        <w:rPr/>
      </w:pPr>
      <w:r>
        <w:rPr/>
        <w:t>Run delete-the-math, swap-the-realization, predecessor, trace, and no-authority-backflow tests after migration.</w:t>
      </w:r>
    </w:p>
    <w:p>
      <w:pPr>
        <w:pStyle w:val="BodyText"/>
        <w:numPr>
          <w:ilvl w:val="0"/>
          <w:numId w:val="8"/>
        </w:numPr>
        <w:rPr/>
      </w:pPr>
      <w:r>
        <w:rPr/>
        <w:t>If a reading is incompatible, label it deprecated/rejected in PAL v2.0-C rather than erasing it from the historical source.</w:t>
      </w:r>
    </w:p>
    <w:p>
      <w:pPr>
        <w:pStyle w:val="BodyText"/>
        <w:numPr>
          <w:ilvl w:val="0"/>
          <w:numId w:val="9"/>
        </w:numPr>
        <w:rPr/>
      </w:pPr>
      <w:r>
        <w:rPr/>
        <w:t>Never promote account-first to world-first.</w:t>
      </w:r>
    </w:p>
    <w:p>
      <w:pPr>
        <w:pStyle w:val="BodyText"/>
        <w:numPr>
          <w:ilvl w:val="0"/>
          <w:numId w:val="9"/>
        </w:numPr>
        <w:rPr/>
      </w:pPr>
      <w:r>
        <w:rPr/>
        <w:t>Never coerce cost into cause, truth, physical energy, permission, consent, standing, or authority.</w:t>
      </w:r>
    </w:p>
    <w:p>
      <w:pPr>
        <w:pStyle w:val="BodyText"/>
        <w:numPr>
          <w:ilvl w:val="0"/>
          <w:numId w:val="9"/>
        </w:numPr>
        <w:rPr/>
      </w:pPr>
      <w:r>
        <w:rPr/>
        <w:t>Never treat A0 admission as A2 occurrence evidence or A15 closure.</w:t>
      </w:r>
    </w:p>
    <w:p>
      <w:pPr>
        <w:pStyle w:val="BodyText"/>
        <w:numPr>
          <w:ilvl w:val="0"/>
          <w:numId w:val="9"/>
        </w:numPr>
        <w:rPr/>
      </w:pPr>
      <w:r>
        <w:rPr/>
        <w:t>Require injectivity or a supplied discriminating witness for unique-source claims.</w:t>
      </w:r>
    </w:p>
    <w:p>
      <w:pPr>
        <w:pStyle w:val="BodyText"/>
        <w:numPr>
          <w:ilvl w:val="0"/>
          <w:numId w:val="9"/>
        </w:numPr>
        <w:rPr/>
      </w:pPr>
      <w:r>
        <w:rPr/>
        <w:t>Give every further inquiry its own supplied witness, cost, and receipt.</w:t>
      </w:r>
    </w:p>
    <w:p>
      <w:pPr>
        <w:pStyle w:val="BodyText"/>
        <w:numPr>
          <w:ilvl w:val="0"/>
          <w:numId w:val="9"/>
        </w:numPr>
        <w:rPr/>
      </w:pPr>
      <w:r>
        <w:rPr/>
        <w:t>Append later evidence; do not rewrite earlier warrant or authority.</w:t>
      </w:r>
    </w:p>
    <w:p>
      <w:pPr>
        <w:pStyle w:val="BodyText"/>
        <w:numPr>
          <w:ilvl w:val="0"/>
          <w:numId w:val="9"/>
        </w:numPr>
        <w:rPr/>
      </w:pPr>
      <w:r>
        <w:rPr/>
        <w:t>Preserve the original release identity of old audits and receipts.</w:t>
      </w:r>
    </w:p>
    <w:p>
      <w:pPr>
        <w:pStyle w:val="Heading1"/>
        <w:keepNext/>
        <w:keepLines/>
        <w:rPr/>
      </w:pPr>
      <w:bookmarkStart w:id="3" w:name="address-map"/>
      <w:r>
        <w:rPr/>
        <w:t>3. Address map</w:t>
      </w:r>
      <w:bookmarkEnd w:id="3"/>
    </w:p>
    <w:p>
      <w:pPr>
        <w:pStyle w:val="Heading2"/>
        <w:keepNext/>
        <w:keepLines/>
        <w:rPr/>
      </w:pPr>
      <w:bookmarkStart w:id="4" w:name="ω"/>
      <w:r>
        <w:rPr/>
        <w:t>Ω</w:t>
      </w:r>
      <w:bookmarkEnd w:id="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Protected unresolved exterior / primitive firewall</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Unresolved possibility; never exterior or residue as primitive identity</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correction; O01 strengthened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Replace primitive ‘exterior’ with unresolved possibility. Use unresolved residue only after a cut/model.</w:t>
            </w:r>
          </w:p>
        </w:tc>
      </w:tr>
    </w:tbl>
    <w:p>
      <w:pPr>
        <w:pStyle w:val="Heading2"/>
        <w:keepNext/>
        <w:keepLines/>
        <w:rPr/>
      </w:pPr>
      <w:bookmarkStart w:id="5" w:name="v1.6-a0"/>
      <w:r>
        <w:rPr/>
        <w:t>v1.6 A0</w:t>
      </w:r>
      <w:bookmarkEnd w:id="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Paid one-class model envelope U0</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Unnumbered M0 mathematical scaffolding</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Relocated, not deleted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Rename U0/M0 support as M0; remove A0 identity claims; preserve cost and one-class theorem.</w:t>
            </w:r>
          </w:p>
        </w:tc>
      </w:tr>
    </w:tbl>
    <w:p>
      <w:pPr>
        <w:pStyle w:val="Heading2"/>
        <w:keepNext/>
        <w:keepLines/>
        <w:rPr/>
      </w:pPr>
      <w:bookmarkStart w:id="6" w:name="a0"/>
      <w:r>
        <w:rPr/>
        <w:t>A0</w:t>
      </w:r>
      <w:bookmarkEnd w:id="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First paid model envelope</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The supplied cut / first admitted asymmetry</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Breaking identity change</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Require CutReceipt and source/cost. Do not derive from Ω or from M0 alone.</w:t>
            </w:r>
          </w:p>
        </w:tc>
      </w:tr>
    </w:tbl>
    <w:p>
      <w:pPr>
        <w:pStyle w:val="Heading2"/>
        <w:keepNext/>
        <w:keepLines/>
        <w:rPr/>
      </w:pPr>
      <w:bookmarkStart w:id="7" w:name="ω-1"/>
      <w:r>
        <w:rPr/>
        <w:t>Ω*</w:t>
      </w:r>
      <w:bookmarkEnd w:id="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Branch/shadow vocabulary; sometimes nearest formal trace</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Cut-indexed reflection formed by A0</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Canonical primitive-floor companion</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Reject prompt/memory/output synonyms and any direct measurement/model-of-Ω claim.</w:t>
            </w:r>
          </w:p>
        </w:tc>
      </w:tr>
    </w:tbl>
    <w:p>
      <w:pPr>
        <w:pStyle w:val="Heading2"/>
        <w:keepNext/>
        <w:keepLines/>
        <w:rPr/>
      </w:pPr>
      <w:bookmarkStart w:id="8" w:name="θ"/>
      <w:r>
        <w:rPr/>
        <w:t>θ</w:t>
      </w:r>
      <w:bookmarkEnd w:id="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Opaque oriented nonclosure token</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Minimum trace-bearing turn with no A1 eliminator</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Deliberate authority clarification</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Preserve the countermodel; attach any angle/rotation only as a paid realization.</w:t>
            </w:r>
          </w:p>
        </w:tc>
      </w:tr>
    </w:tbl>
    <w:p>
      <w:pPr>
        <w:pStyle w:val="Heading2"/>
        <w:keepNext/>
        <w:keepLines/>
        <w:rPr/>
      </w:pPr>
      <w:bookmarkStart w:id="9" w:name="a1"/>
      <w:r>
        <w:rPr/>
        <w:t>A1</w:t>
      </w:r>
      <w:bookmarkEnd w:id="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Readable oriented distinction</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Readable distinction whose orientation is canonical by θ inheritance</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 inheritance sharpened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Carry θ predecessor; no retroactive orientation.</w:t>
            </w:r>
          </w:p>
        </w:tc>
      </w:tr>
    </w:tbl>
    <w:p>
      <w:pPr>
        <w:pStyle w:val="Heading2"/>
        <w:keepNext/>
        <w:keepLines/>
        <w:rPr/>
      </w:pPr>
      <w:bookmarkStart w:id="10" w:name="a2"/>
      <w:r>
        <w:rPr/>
        <w:t>A2</w:t>
      </w:r>
      <w:bookmarkEnd w:id="1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Immutable occurrence receipt and recoverable trace</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Recoverable consequence/occurrence receipt</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 duration language narrowed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Do not infer continuous existence without an added realization.</w:t>
            </w:r>
          </w:p>
        </w:tc>
      </w:tr>
    </w:tbl>
    <w:p>
      <w:pPr>
        <w:pStyle w:val="Heading2"/>
        <w:keepNext/>
        <w:keepLines/>
        <w:rPr/>
      </w:pPr>
      <w:bookmarkStart w:id="11" w:name="a3"/>
      <w:r>
        <w:rPr/>
        <w:t>A3</w:t>
      </w:r>
      <w:bookmarkEnd w:id="1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Typed retained relation architecture / graph</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Typed retained relation</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Graph demoted to realization</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Move multigraph formulas to v2.0-M; keep relation witness/ceiling in spine.</w:t>
            </w:r>
          </w:p>
        </w:tc>
      </w:tr>
    </w:tbl>
    <w:p>
      <w:pPr>
        <w:pStyle w:val="Heading2"/>
        <w:keepNext/>
        <w:keepLines/>
        <w:rPr/>
      </w:pPr>
      <w:bookmarkStart w:id="12" w:name="a4soop"/>
      <w:r>
        <w:rPr/>
        <w:t>A4/SOOP</w:t>
      </w:r>
      <w:bookmarkEnd w:id="1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Ordered-debt lawful transport</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Identity through budgeted lawful transport</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 math attached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Keep concrete monoid/metric choices on realization cards.</w:t>
            </w:r>
          </w:p>
        </w:tc>
      </w:tr>
    </w:tbl>
    <w:p>
      <w:pPr>
        <w:pStyle w:val="Heading2"/>
        <w:keepNext/>
        <w:keepLines/>
        <w:rPr/>
      </w:pPr>
      <w:bookmarkStart w:id="13" w:name="a5sore"/>
      <w:r>
        <w:rPr/>
        <w:t>A5/SORE</w:t>
      </w:r>
      <w:bookmarkEnd w:id="1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Extensional feedback core</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Retained output with nontrivial feedback dependence</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State dependence semantics before causal language.</w:t>
            </w:r>
          </w:p>
        </w:tc>
      </w:tr>
    </w:tbl>
    <w:p>
      <w:pPr>
        <w:pStyle w:val="Heading2"/>
        <w:keepNext/>
        <w:keepLines/>
        <w:rPr/>
      </w:pPr>
      <w:bookmarkStart w:id="14" w:name="a6sosa"/>
      <w:r>
        <w:rPr/>
        <w:t>A6/SOSA</w:t>
      </w:r>
      <w:bookmarkEnd w:id="1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Mode-split stability/viability</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Scoped viable or stable organization</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Keep mode tags and block cross-mode authority inheritance.</w:t>
            </w:r>
          </w:p>
        </w:tc>
      </w:tr>
    </w:tbl>
    <w:p>
      <w:pPr>
        <w:pStyle w:val="Heading2"/>
        <w:keepNext/>
        <w:keepLines/>
        <w:rPr/>
      </w:pPr>
      <w:bookmarkStart w:id="15" w:name="a7"/>
      <w:r>
        <w:rPr/>
        <w:t>A7</w:t>
      </w:r>
      <w:bookmarkEnd w:id="1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Access routing and refresh; two ledgers</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Organization-relative access routing and refresh</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Keep occurrence/access ledgers separate and root-linked.</w:t>
            </w:r>
          </w:p>
        </w:tc>
      </w:tr>
    </w:tbl>
    <w:p>
      <w:pPr>
        <w:pStyle w:val="Heading2"/>
        <w:keepNext/>
        <w:keepLines/>
        <w:rPr/>
      </w:pPr>
      <w:bookmarkStart w:id="16" w:name="a8sia-splat"/>
      <w:r>
        <w:rPr/>
        <w:t>A8/SIA-SPLAT</w:t>
      </w:r>
      <w:bookmarkEnd w:id="1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Conditional route response</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Route-caused organizational response; SIA/SPLAT favored labels</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 naming normalized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Do not infer effect from route receipt alone.</w:t>
            </w:r>
          </w:p>
        </w:tc>
      </w:tr>
    </w:tbl>
    <w:p>
      <w:pPr>
        <w:pStyle w:val="Heading2"/>
        <w:keepNext/>
        <w:keepLines/>
        <w:rPr/>
      </w:pPr>
      <w:bookmarkStart w:id="17" w:name="a9χ"/>
      <w:r>
        <w:rPr/>
        <w:t>A9/χ</w:t>
      </w:r>
      <w:bookmarkEnd w:id="1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Task right-congruence quotient / center</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Task-relative center of influence</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Mechanical identity 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Move Myhill-Nerode and predictive-state objects to v2.0-M.</w:t>
            </w:r>
          </w:p>
        </w:tc>
      </w:tr>
    </w:tbl>
    <w:p>
      <w:pPr>
        <w:pStyle w:val="Heading2"/>
        <w:keepNext/>
        <w:keepLines/>
        <w:rPr/>
      </w:pPr>
      <w:bookmarkStart w:id="18" w:name="a10"/>
      <w:r>
        <w:rPr/>
        <w:t>A10</w:t>
      </w:r>
      <w:bookmarkEnd w:id="1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Partial frame comparison</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Partial comparison among earned centers</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Keep INCOMPARABLE and UNRESOLVED as valid results.</w:t>
            </w:r>
          </w:p>
        </w:tc>
      </w:tr>
    </w:tbl>
    <w:p>
      <w:pPr>
        <w:pStyle w:val="Heading2"/>
        <w:keepNext/>
        <w:keepLines/>
        <w:rPr/>
      </w:pPr>
      <w:bookmarkStart w:id="19" w:name="a11"/>
      <w:r>
        <w:rPr/>
        <w:t>A11</w:t>
      </w:r>
      <w:bookmarkEnd w:id="1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Coupled field or doctrine-relative jointness</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Coequal coupling and jointness admission families</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clarified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Carry typed flexibility on jointness; require both witnesses for combined claims.</w:t>
            </w:r>
          </w:p>
        </w:tc>
      </w:tr>
    </w:tbl>
    <w:p>
      <w:pPr>
        <w:pStyle w:val="Heading2"/>
        <w:keepNext/>
        <w:keepLines/>
        <w:rPr/>
      </w:pPr>
      <w:bookmarkStart w:id="20" w:name="a12"/>
      <w:r>
        <w:rPr/>
        <w:t>A12</w:t>
      </w:r>
      <w:bookmarkEnd w:id="2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One-token safe route return</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One-token authority-safe route re-entry</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Keep concurrency/crash recovery in implementation branches.</w:t>
            </w:r>
          </w:p>
        </w:tc>
      </w:tr>
    </w:tbl>
    <w:p>
      <w:pPr>
        <w:pStyle w:val="Heading2"/>
        <w:keepNext/>
        <w:keepLines/>
        <w:rPr/>
      </w:pPr>
      <w:bookmarkStart w:id="21" w:name="a13"/>
      <w:r>
        <w:rPr/>
        <w:t>A13</w:t>
      </w:r>
      <w:bookmarkEnd w:id="2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Rank progress or liveness</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Certified cadence</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Keep rank and liveness typed; exclude physical time/tick cost by default.</w:t>
            </w:r>
          </w:p>
        </w:tc>
      </w:tr>
    </w:tbl>
    <w:p>
      <w:pPr>
        <w:pStyle w:val="Heading2"/>
        <w:keepNext/>
        <w:keepLines/>
        <w:rPr/>
      </w:pPr>
      <w:bookmarkStart w:id="22" w:name="a14"/>
      <w:r>
        <w:rPr/>
        <w:t>A14</w:t>
      </w:r>
      <w:bookmarkEnd w:id="2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Scalar/interval slack</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Cadence-relative quantitative slack</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Keep gradient optional and forbid free scalarization or ethical interpretation.</w:t>
            </w:r>
          </w:p>
        </w:tc>
      </w:tr>
    </w:tbl>
    <w:p>
      <w:pPr>
        <w:pStyle w:val="Heading2"/>
        <w:keepNext/>
        <w:keepLines/>
        <w:rPr/>
      </w:pPr>
      <w:bookmarkStart w:id="23" w:name="a15spi16"/>
      <w:r>
        <w:rPr/>
        <w:t>A15/SPI16</w:t>
      </w:r>
      <w:bookmarkEnd w:id="2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Scoped dependency-checked closure</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Receipt-counter closure with typed checker and route families</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Identity preserved; explanation sharpened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Use four statuses; retain residual/reopening handle; prohibit PAL_COMPLETE.</w:t>
            </w:r>
          </w:p>
        </w:tc>
      </w:tr>
    </w:tbl>
    <w:p>
      <w:pPr>
        <w:pStyle w:val="Heading2"/>
        <w:keepNext/>
        <w:keepLines/>
        <w:rPr/>
      </w:pPr>
      <w:bookmarkStart w:id="24" w:name="o04o25"/>
      <w:r>
        <w:rPr/>
        <w:t>O04/O25</w:t>
      </w:r>
      <w:bookmarkEnd w:id="2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Two rows, one open ontic debt</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Two interfaces to D-FIRST-OCCURRENCE</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Still open</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Do not merge rows, count two mysteries, or let certificates invent the witness.</w:t>
            </w:r>
          </w:p>
        </w:tc>
      </w:tr>
    </w:tbl>
    <w:p>
      <w:pPr>
        <w:pStyle w:val="Heading2"/>
        <w:keepNext/>
        <w:keepLines/>
        <w:rPr/>
      </w:pPr>
      <w:bookmarkStart w:id="25" w:name="branches"/>
      <w:r>
        <w:rPr/>
        <w:t>Branches</w:t>
      </w:r>
      <w:bookmarkEnd w:id="2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Formal and applied extensions around one dense spine</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Independent typed realizations around a mechanical spine</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Authority boundary strengthened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Add realization cards, delete/swap tests, and return-to-PAL handles.</w:t>
            </w:r>
          </w:p>
        </w:tc>
      </w:tr>
    </w:tbl>
    <w:p>
      <w:pPr>
        <w:pStyle w:val="Heading2"/>
        <w:keepNext/>
        <w:keepLines/>
        <w:rPr/>
      </w:pPr>
      <w:bookmarkStart w:id="26" w:name="pea"/>
      <w:r>
        <w:rPr/>
        <w:t>PEA</w:t>
      </w:r>
      <w:bookmarkEnd w:id="2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1.x reading</w:t>
            </w:r>
          </w:p>
        </w:tc>
        <w:tc>
          <w:tcPr>
            <w:tcW w:w="6739" w:type="dxa"/>
            <w:tcBorders/>
            <w:vAlign w:val="top"/>
          </w:tcPr>
          <w:p>
            <w:pPr>
              <w:pStyle w:val="Normal"/>
              <w:widowControl/>
              <w:bidi w:val="0"/>
              <w:spacing w:lineRule="auto" w:line="240" w:before="0" w:after="40"/>
              <w:jc w:val="start"/>
              <w:rPr/>
            </w:pPr>
            <w:r>
              <w:rPr>
                <w:sz w:val="19"/>
              </w:rPr>
              <w:t>Independent ethical review branch</w:t>
            </w:r>
          </w:p>
        </w:tc>
      </w:tr>
      <w:tr>
        <w:trPr/>
        <w:tc>
          <w:tcPr>
            <w:tcW w:w="2621" w:type="dxa"/>
            <w:tcBorders/>
            <w:vAlign w:val="top"/>
            <w:shd w:fill="F7F9FB"/>
          </w:tcPr>
          <w:p>
            <w:pPr>
              <w:pStyle w:val="Normal"/>
              <w:spacing w:before="0" w:after="40" w:line="240" w:lineRule="auto"/>
              <w:rPr>
                <w:b/>
                <w:bCs/>
              </w:rPr>
            </w:pPr>
            <w:r>
              <w:rPr>
                <w:b/>
                <w:bCs/>
                <w:sz w:val="19"/>
              </w:rPr>
              <w:t>PAL v2.0 reading</w:t>
            </w:r>
          </w:p>
        </w:tc>
        <w:tc>
          <w:tcPr>
            <w:tcW w:w="6739" w:type="dxa"/>
            <w:tcBorders/>
            <w:vAlign w:val="top"/>
            <w:shd w:fill="F7F9FB"/>
          </w:tcPr>
          <w:p>
            <w:pPr>
              <w:pStyle w:val="Normal"/>
              <w:widowControl/>
              <w:bidi w:val="0"/>
              <w:spacing w:lineRule="auto" w:line="240" w:before="0" w:after="40"/>
              <w:jc w:val="start"/>
              <w:rPr/>
            </w:pPr>
            <w:r>
              <w:rPr>
                <w:sz w:val="19"/>
              </w:rPr>
              <w:t>Quiet independent authorization branch</w:t>
            </w:r>
          </w:p>
        </w:tc>
      </w:tr>
      <w:tr>
        <w:trPr/>
        <w:tc>
          <w:tcPr>
            <w:tcW w:w="2621" w:type="dxa"/>
            <w:tcBorders/>
            <w:vAlign w:val="top"/>
          </w:tcPr>
          <w:p>
            <w:pPr>
              <w:pStyle w:val="Normal"/>
              <w:spacing w:before="0" w:after="40" w:line="240" w:lineRule="auto"/>
              <w:rPr>
                <w:b/>
                <w:bCs/>
              </w:rPr>
            </w:pPr>
            <w:r>
              <w:rPr>
                <w:b/>
                <w:bCs/>
                <w:sz w:val="19"/>
              </w:rPr>
              <w:t>Compatibility status</w:t>
            </w:r>
          </w:p>
        </w:tc>
        <w:tc>
          <w:tcPr>
            <w:tcW w:w="6739" w:type="dxa"/>
            <w:tcBorders/>
            <w:vAlign w:val="top"/>
          </w:tcPr>
          <w:p>
            <w:pPr>
              <w:pStyle w:val="Normal"/>
              <w:widowControl/>
              <w:bidi w:val="0"/>
              <w:spacing w:lineRule="auto" w:line="240" w:before="0" w:after="40"/>
              <w:jc w:val="start"/>
              <w:rPr/>
            </w:pPr>
            <w:r>
              <w:rPr>
                <w:sz w:val="19"/>
              </w:rPr>
              <w:t>Preserved</w:t>
            </w:r>
          </w:p>
        </w:tc>
      </w:tr>
      <w:tr>
        <w:trPr/>
        <w:tc>
          <w:tcPr>
            <w:tcW w:w="2621" w:type="dxa"/>
            <w:tcBorders/>
            <w:vAlign w:val="top"/>
            <w:shd w:fill="F7F9FB"/>
          </w:tcPr>
          <w:p>
            <w:pPr>
              <w:pStyle w:val="Normal"/>
              <w:spacing w:before="0" w:after="40" w:line="240" w:lineRule="auto"/>
              <w:rPr>
                <w:b/>
                <w:bCs/>
              </w:rPr>
            </w:pPr>
            <w:r>
              <w:rPr>
                <w:b/>
                <w:bCs/>
                <w:sz w:val="19"/>
              </w:rPr>
              <w:t>Required migration</w:t>
            </w:r>
          </w:p>
        </w:tc>
        <w:tc>
          <w:tcPr>
            <w:tcW w:w="6739" w:type="dxa"/>
            <w:tcBorders/>
            <w:vAlign w:val="top"/>
            <w:shd w:fill="F7F9FB"/>
          </w:tcPr>
          <w:p>
            <w:pPr>
              <w:pStyle w:val="Normal"/>
              <w:widowControl/>
              <w:bidi w:val="0"/>
              <w:spacing w:lineRule="auto" w:line="240" w:before="0" w:after="40"/>
              <w:jc w:val="start"/>
              <w:rPr/>
            </w:pPr>
            <w:r>
              <w:rPr>
                <w:sz w:val="19"/>
              </w:rPr>
              <w:t>No structural closure implies consent, permission, or acceptability.</w:t>
            </w:r>
          </w:p>
        </w:tc>
      </w:tr>
    </w:tbl>
    <w:p>
      <w:pPr>
        <w:pStyle w:val="Heading1"/>
        <w:keepNext/>
        <w:keepLines/>
        <w:rPr/>
      </w:pPr>
      <w:bookmarkStart w:id="27" w:name="core-law-migration"/>
      <w:r>
        <w:rPr/>
        <w:t>4. Core-law migration</w:t>
      </w:r>
      <w:bookmarkEnd w:id="2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239"/>
        <w:gridCol w:w="7121"/>
      </w:tblGrid>
      <w:tr>
        <w:trPr>
          <w:tblHeader w:val="true"/>
        </w:trPr>
        <w:tc>
          <w:tcPr>
            <w:tcW w:w="2239" w:type="dxa"/>
            <w:tcBorders/>
            <w:vAlign w:val="top"/>
            <w:shd w:fill="DCE6F1"/>
          </w:tcPr>
          <w:p>
            <w:pPr>
              <w:pStyle w:val="Normal"/>
              <w:spacing w:before="0" w:after="40" w:line="240" w:lineRule="auto"/>
              <w:rPr>
                <w:b/>
                <w:bCs/>
              </w:rPr>
            </w:pPr>
            <w:r>
              <w:rPr>
                <w:b/>
                <w:bCs/>
                <w:color w:val="1F4D78"/>
                <w:sz w:val="19"/>
              </w:rPr>
              <w:t>PAL 1.x law</w:t>
            </w:r>
          </w:p>
        </w:tc>
        <w:tc>
          <w:tcPr>
            <w:tcW w:w="7121" w:type="dxa"/>
            <w:tcBorders/>
            <w:vAlign w:val="top"/>
            <w:shd w:fill="DCE6F1"/>
          </w:tcPr>
          <w:p>
            <w:pPr>
              <w:pStyle w:val="Normal"/>
              <w:spacing w:before="0" w:after="40" w:line="240" w:lineRule="auto"/>
              <w:rPr>
                <w:b/>
                <w:bCs/>
              </w:rPr>
            </w:pPr>
            <w:r>
              <w:rPr>
                <w:b/>
                <w:bCs/>
                <w:color w:val="1F4D78"/>
                <w:sz w:val="19"/>
              </w:rPr>
              <w:t>PAL v2.0 disposition</w:t>
            </w:r>
          </w:p>
        </w:tc>
      </w:tr>
      <w:tr>
        <w:trPr/>
        <w:tc>
          <w:tcPr>
            <w:tcW w:w="2239" w:type="dxa"/>
            <w:tcBorders/>
            <w:vAlign w:val="top"/>
          </w:tcPr>
          <w:p>
            <w:pPr>
              <w:pStyle w:val="Normal"/>
              <w:spacing w:before="0" w:after="40" w:line="240" w:lineRule="auto"/>
              <w:rPr>
                <w:b/>
                <w:bCs/>
              </w:rPr>
            </w:pPr>
            <w:r>
              <w:rPr>
                <w:b/>
                <w:bCs/>
                <w:sz w:val="19"/>
              </w:rPr>
              <w:t>Strict extension / conservativity</w:t>
            </w:r>
          </w:p>
        </w:tc>
        <w:tc>
          <w:tcPr>
            <w:tcW w:w="7121" w:type="dxa"/>
            <w:tcBorders/>
            <w:vAlign w:val="top"/>
          </w:tcPr>
          <w:p>
            <w:pPr>
              <w:pStyle w:val="Normal"/>
              <w:widowControl/>
              <w:bidi w:val="0"/>
              <w:spacing w:lineRule="auto" w:line="240" w:before="0" w:after="40"/>
              <w:jc w:val="start"/>
              <w:rPr/>
            </w:pPr>
            <w:r>
              <w:rPr>
                <w:sz w:val="19"/>
              </w:rPr>
              <w:t>Retained as mechanical novelty + predecessor recovery in the spine; Build/Forget proofs move to v2.0-M.</w:t>
            </w:r>
          </w:p>
        </w:tc>
      </w:tr>
      <w:tr>
        <w:trPr/>
        <w:tc>
          <w:tcPr>
            <w:tcW w:w="2239" w:type="dxa"/>
            <w:tcBorders/>
            <w:vAlign w:val="top"/>
            <w:shd w:fill="F7F9FB"/>
          </w:tcPr>
          <w:p>
            <w:pPr>
              <w:pStyle w:val="Normal"/>
              <w:spacing w:before="0" w:after="40" w:line="240" w:lineRule="auto"/>
              <w:rPr>
                <w:b/>
                <w:bCs/>
              </w:rPr>
            </w:pPr>
            <w:r>
              <w:rPr>
                <w:b/>
                <w:bCs/>
                <w:sz w:val="19"/>
              </w:rPr>
              <w:t>Witness discipline</w:t>
            </w:r>
          </w:p>
        </w:tc>
        <w:tc>
          <w:tcPr>
            <w:tcW w:w="7121" w:type="dxa"/>
            <w:tcBorders/>
            <w:vAlign w:val="top"/>
            <w:shd w:fill="F7F9FB"/>
          </w:tcPr>
          <w:p>
            <w:pPr>
              <w:pStyle w:val="Normal"/>
              <w:widowControl/>
              <w:bidi w:val="0"/>
              <w:spacing w:lineRule="auto" w:line="240" w:before="0" w:after="40"/>
              <w:jc w:val="start"/>
              <w:rPr/>
            </w:pPr>
            <w:r>
              <w:rPr>
                <w:sz w:val="19"/>
              </w:rPr>
              <w:t>Strengthened: supplied witnesses are named on every spine and realization card; grammar never inhabits O04/O25.</w:t>
            </w:r>
          </w:p>
        </w:tc>
      </w:tr>
      <w:tr>
        <w:trPr/>
        <w:tc>
          <w:tcPr>
            <w:tcW w:w="2239" w:type="dxa"/>
            <w:tcBorders/>
            <w:vAlign w:val="top"/>
          </w:tcPr>
          <w:p>
            <w:pPr>
              <w:pStyle w:val="Normal"/>
              <w:spacing w:before="0" w:after="40" w:line="240" w:lineRule="auto"/>
              <w:rPr>
                <w:b/>
                <w:bCs/>
              </w:rPr>
            </w:pPr>
            <w:r>
              <w:rPr>
                <w:b/>
                <w:bCs/>
                <w:sz w:val="19"/>
              </w:rPr>
              <w:t>Two-sorted Ω firewall</w:t>
            </w:r>
          </w:p>
        </w:tc>
        <w:tc>
          <w:tcPr>
            <w:tcW w:w="7121" w:type="dxa"/>
            <w:tcBorders/>
            <w:vAlign w:val="top"/>
          </w:tcPr>
          <w:p>
            <w:pPr>
              <w:pStyle w:val="Normal"/>
              <w:widowControl/>
              <w:bidi w:val="0"/>
              <w:spacing w:lineRule="auto" w:line="240" w:before="0" w:after="40"/>
              <w:jc w:val="start"/>
              <w:rPr/>
            </w:pPr>
            <w:r>
              <w:rPr>
                <w:sz w:val="19"/>
              </w:rPr>
              <w:t>Strengthened and corrected: Ω is unresolved possibility and cannot be formal input, exterior model, or residue.</w:t>
            </w:r>
          </w:p>
        </w:tc>
      </w:tr>
      <w:tr>
        <w:trPr/>
        <w:tc>
          <w:tcPr>
            <w:tcW w:w="2239" w:type="dxa"/>
            <w:tcBorders/>
            <w:vAlign w:val="top"/>
            <w:shd w:fill="F7F9FB"/>
          </w:tcPr>
          <w:p>
            <w:pPr>
              <w:pStyle w:val="Normal"/>
              <w:spacing w:before="0" w:after="40" w:line="240" w:lineRule="auto"/>
              <w:rPr>
                <w:b/>
                <w:bCs/>
              </w:rPr>
            </w:pPr>
            <w:r>
              <w:rPr>
                <w:b/>
                <w:bCs/>
                <w:sz w:val="19"/>
              </w:rPr>
              <w:t>Trace persistence</w:t>
            </w:r>
          </w:p>
        </w:tc>
        <w:tc>
          <w:tcPr>
            <w:tcW w:w="7121" w:type="dxa"/>
            <w:tcBorders/>
            <w:vAlign w:val="top"/>
            <w:shd w:fill="F7F9FB"/>
          </w:tcPr>
          <w:p>
            <w:pPr>
              <w:pStyle w:val="Normal"/>
              <w:widowControl/>
              <w:bidi w:val="0"/>
              <w:spacing w:lineRule="auto" w:line="240" w:before="0" w:after="40"/>
              <w:jc w:val="start"/>
              <w:rPr/>
            </w:pPr>
            <w:r>
              <w:rPr>
                <w:sz w:val="19"/>
              </w:rPr>
              <w:t>Retained as carry-what-persists invariant; append-only and provenance mathematics move to v2.0-M.</w:t>
            </w:r>
          </w:p>
        </w:tc>
      </w:tr>
      <w:tr>
        <w:trPr/>
        <w:tc>
          <w:tcPr>
            <w:tcW w:w="2239" w:type="dxa"/>
            <w:tcBorders/>
            <w:vAlign w:val="top"/>
          </w:tcPr>
          <w:p>
            <w:pPr>
              <w:pStyle w:val="Normal"/>
              <w:spacing w:before="0" w:after="40" w:line="240" w:lineRule="auto"/>
              <w:rPr>
                <w:b/>
                <w:bCs/>
              </w:rPr>
            </w:pPr>
            <w:r>
              <w:rPr>
                <w:b/>
                <w:bCs/>
                <w:sz w:val="19"/>
              </w:rPr>
              <w:t>Typed relation/evidence</w:t>
            </w:r>
          </w:p>
        </w:tc>
        <w:tc>
          <w:tcPr>
            <w:tcW w:w="7121" w:type="dxa"/>
            <w:tcBorders/>
            <w:vAlign w:val="top"/>
          </w:tcPr>
          <w:p>
            <w:pPr>
              <w:pStyle w:val="Normal"/>
              <w:widowControl/>
              <w:bidi w:val="0"/>
              <w:spacing w:lineRule="auto" w:line="240" w:before="0" w:after="40"/>
              <w:jc w:val="start"/>
              <w:rPr/>
            </w:pPr>
            <w:r>
              <w:rPr>
                <w:sz w:val="19"/>
              </w:rPr>
              <w:t>Retained mechanically; graphs, paths, and evidence-kind implementations move to v2.0-M.</w:t>
            </w:r>
          </w:p>
        </w:tc>
      </w:tr>
      <w:tr>
        <w:trPr/>
        <w:tc>
          <w:tcPr>
            <w:tcW w:w="2239" w:type="dxa"/>
            <w:tcBorders/>
            <w:vAlign w:val="top"/>
            <w:shd w:fill="F7F9FB"/>
          </w:tcPr>
          <w:p>
            <w:pPr>
              <w:pStyle w:val="Normal"/>
              <w:spacing w:before="0" w:after="40" w:line="240" w:lineRule="auto"/>
              <w:rPr>
                <w:b/>
                <w:bCs/>
              </w:rPr>
            </w:pPr>
            <w:r>
              <w:rPr>
                <w:b/>
                <w:bCs/>
                <w:sz w:val="19"/>
              </w:rPr>
              <w:t>Transport debt</w:t>
            </w:r>
          </w:p>
        </w:tc>
        <w:tc>
          <w:tcPr>
            <w:tcW w:w="7121" w:type="dxa"/>
            <w:tcBorders/>
            <w:vAlign w:val="top"/>
            <w:shd w:fill="F7F9FB"/>
          </w:tcPr>
          <w:p>
            <w:pPr>
              <w:pStyle w:val="Normal"/>
              <w:widowControl/>
              <w:bidi w:val="0"/>
              <w:spacing w:lineRule="auto" w:line="240" w:before="0" w:after="40"/>
              <w:jc w:val="start"/>
              <w:rPr/>
            </w:pPr>
            <w:r>
              <w:rPr>
                <w:sz w:val="19"/>
              </w:rPr>
              <w:t>Retained at A4; ordered monoids/metrics are realization choices.</w:t>
            </w:r>
          </w:p>
        </w:tc>
      </w:tr>
      <w:tr>
        <w:trPr/>
        <w:tc>
          <w:tcPr>
            <w:tcW w:w="2239" w:type="dxa"/>
            <w:tcBorders/>
            <w:vAlign w:val="top"/>
          </w:tcPr>
          <w:p>
            <w:pPr>
              <w:pStyle w:val="Normal"/>
              <w:spacing w:before="0" w:after="40" w:line="240" w:lineRule="auto"/>
              <w:rPr>
                <w:b/>
                <w:bCs/>
              </w:rPr>
            </w:pPr>
            <w:r>
              <w:rPr>
                <w:b/>
                <w:bCs/>
                <w:sz w:val="19"/>
              </w:rPr>
              <w:t>No universal A7-to-A8 bridge</w:t>
            </w:r>
          </w:p>
        </w:tc>
        <w:tc>
          <w:tcPr>
            <w:tcW w:w="7121" w:type="dxa"/>
            <w:tcBorders/>
            <w:vAlign w:val="top"/>
          </w:tcPr>
          <w:p>
            <w:pPr>
              <w:pStyle w:val="Normal"/>
              <w:widowControl/>
              <w:bidi w:val="0"/>
              <w:spacing w:lineRule="auto" w:line="240" w:before="0" w:after="40"/>
              <w:jc w:val="start"/>
              <w:rPr/>
            </w:pPr>
            <w:r>
              <w:rPr>
                <w:sz w:val="19"/>
              </w:rPr>
              <w:t>Retained as a core negative result and T16/T19-style countermodel.</w:t>
            </w:r>
          </w:p>
        </w:tc>
      </w:tr>
      <w:tr>
        <w:trPr/>
        <w:tc>
          <w:tcPr>
            <w:tcW w:w="2239" w:type="dxa"/>
            <w:tcBorders/>
            <w:vAlign w:val="top"/>
            <w:shd w:fill="F7F9FB"/>
          </w:tcPr>
          <w:p>
            <w:pPr>
              <w:pStyle w:val="Normal"/>
              <w:spacing w:before="0" w:after="40" w:line="240" w:lineRule="auto"/>
              <w:rPr>
                <w:b/>
                <w:bCs/>
              </w:rPr>
            </w:pPr>
            <w:r>
              <w:rPr>
                <w:b/>
                <w:bCs/>
                <w:sz w:val="19"/>
              </w:rPr>
              <w:t>Mode separation</w:t>
            </w:r>
          </w:p>
        </w:tc>
        <w:tc>
          <w:tcPr>
            <w:tcW w:w="7121" w:type="dxa"/>
            <w:tcBorders/>
            <w:vAlign w:val="top"/>
            <w:shd w:fill="F7F9FB"/>
          </w:tcPr>
          <w:p>
            <w:pPr>
              <w:pStyle w:val="Normal"/>
              <w:widowControl/>
              <w:bidi w:val="0"/>
              <w:spacing w:lineRule="auto" w:line="240" w:before="0" w:after="40"/>
              <w:jc w:val="start"/>
              <w:rPr/>
            </w:pPr>
            <w:r>
              <w:rPr>
                <w:sz w:val="19"/>
              </w:rPr>
              <w:t>Retained and strengthened as an A6 authority ceiling.</w:t>
            </w:r>
          </w:p>
        </w:tc>
      </w:tr>
      <w:tr>
        <w:trPr/>
        <w:tc>
          <w:tcPr>
            <w:tcW w:w="2239" w:type="dxa"/>
            <w:tcBorders/>
            <w:vAlign w:val="top"/>
          </w:tcPr>
          <w:p>
            <w:pPr>
              <w:pStyle w:val="Normal"/>
              <w:spacing w:before="0" w:after="40" w:line="240" w:lineRule="auto"/>
              <w:rPr>
                <w:b/>
                <w:bCs/>
              </w:rPr>
            </w:pPr>
            <w:r>
              <w:rPr>
                <w:b/>
                <w:bCs/>
                <w:sz w:val="19"/>
              </w:rPr>
              <w:t>Partial comparison</w:t>
            </w:r>
          </w:p>
        </w:tc>
        <w:tc>
          <w:tcPr>
            <w:tcW w:w="7121" w:type="dxa"/>
            <w:tcBorders/>
            <w:vAlign w:val="top"/>
          </w:tcPr>
          <w:p>
            <w:pPr>
              <w:pStyle w:val="Normal"/>
              <w:widowControl/>
              <w:bidi w:val="0"/>
              <w:spacing w:lineRule="auto" w:line="240" w:before="0" w:after="40"/>
              <w:jc w:val="start"/>
              <w:rPr/>
            </w:pPr>
            <w:r>
              <w:rPr>
                <w:sz w:val="19"/>
              </w:rPr>
              <w:t>Retained; incomparability and unresolved results remain valid.</w:t>
            </w:r>
          </w:p>
        </w:tc>
      </w:tr>
      <w:tr>
        <w:trPr/>
        <w:tc>
          <w:tcPr>
            <w:tcW w:w="2239" w:type="dxa"/>
            <w:tcBorders/>
            <w:vAlign w:val="top"/>
            <w:shd w:fill="F7F9FB"/>
          </w:tcPr>
          <w:p>
            <w:pPr>
              <w:pStyle w:val="Normal"/>
              <w:spacing w:before="0" w:after="40" w:line="240" w:lineRule="auto"/>
              <w:rPr>
                <w:b/>
                <w:bCs/>
              </w:rPr>
            </w:pPr>
            <w:r>
              <w:rPr>
                <w:b/>
                <w:bCs/>
                <w:sz w:val="19"/>
              </w:rPr>
              <w:t>A11 path/joint structure</w:t>
            </w:r>
          </w:p>
        </w:tc>
        <w:tc>
          <w:tcPr>
            <w:tcW w:w="7121" w:type="dxa"/>
            <w:tcBorders/>
            <w:vAlign w:val="top"/>
            <w:shd w:fill="F7F9FB"/>
          </w:tcPr>
          <w:p>
            <w:pPr>
              <w:pStyle w:val="Normal"/>
              <w:widowControl/>
              <w:bidi w:val="0"/>
              <w:spacing w:lineRule="auto" w:line="240" w:before="0" w:after="40"/>
              <w:jc w:val="start"/>
              <w:rPr/>
            </w:pPr>
            <w:r>
              <w:rPr>
                <w:sz w:val="19"/>
              </w:rPr>
              <w:t>Split into coequal typed coupling and doctrine-relative jointness realizations with carried flexibility.</w:t>
            </w:r>
          </w:p>
        </w:tc>
      </w:tr>
      <w:tr>
        <w:trPr/>
        <w:tc>
          <w:tcPr>
            <w:tcW w:w="2239" w:type="dxa"/>
            <w:tcBorders/>
            <w:vAlign w:val="top"/>
          </w:tcPr>
          <w:p>
            <w:pPr>
              <w:pStyle w:val="Normal"/>
              <w:spacing w:before="0" w:after="40" w:line="240" w:lineRule="auto"/>
              <w:rPr>
                <w:b/>
                <w:bCs/>
              </w:rPr>
            </w:pPr>
            <w:r>
              <w:rPr>
                <w:b/>
                <w:bCs/>
                <w:sz w:val="19"/>
              </w:rPr>
              <w:t>A12 conservation</w:t>
            </w:r>
          </w:p>
        </w:tc>
        <w:tc>
          <w:tcPr>
            <w:tcW w:w="7121" w:type="dxa"/>
            <w:tcBorders/>
            <w:vAlign w:val="top"/>
          </w:tcPr>
          <w:p>
            <w:pPr>
              <w:pStyle w:val="Normal"/>
              <w:widowControl/>
              <w:bidi w:val="0"/>
              <w:spacing w:lineRule="auto" w:line="240" w:before="0" w:after="40"/>
              <w:jc w:val="start"/>
              <w:rPr/>
            </w:pPr>
            <w:r>
              <w:rPr>
                <w:sz w:val="19"/>
              </w:rPr>
              <w:t>Retained as one-token minimum; concurrency remains a branch.</w:t>
            </w:r>
          </w:p>
        </w:tc>
      </w:tr>
      <w:tr>
        <w:trPr/>
        <w:tc>
          <w:tcPr>
            <w:tcW w:w="2239" w:type="dxa"/>
            <w:tcBorders/>
            <w:vAlign w:val="top"/>
            <w:shd w:fill="F7F9FB"/>
          </w:tcPr>
          <w:p>
            <w:pPr>
              <w:pStyle w:val="Normal"/>
              <w:spacing w:before="0" w:after="40" w:line="240" w:lineRule="auto"/>
              <w:rPr>
                <w:b/>
                <w:bCs/>
              </w:rPr>
            </w:pPr>
            <w:r>
              <w:rPr>
                <w:b/>
                <w:bCs/>
                <w:sz w:val="19"/>
              </w:rPr>
              <w:t>A13 rank/liveness</w:t>
            </w:r>
          </w:p>
        </w:tc>
        <w:tc>
          <w:tcPr>
            <w:tcW w:w="7121" w:type="dxa"/>
            <w:tcBorders/>
            <w:vAlign w:val="top"/>
            <w:shd w:fill="F7F9FB"/>
          </w:tcPr>
          <w:p>
            <w:pPr>
              <w:pStyle w:val="Normal"/>
              <w:widowControl/>
              <w:bidi w:val="0"/>
              <w:spacing w:lineRule="auto" w:line="240" w:before="0" w:after="40"/>
              <w:jc w:val="start"/>
              <w:rPr/>
            </w:pPr>
            <w:r>
              <w:rPr>
                <w:sz w:val="19"/>
              </w:rPr>
              <w:t>Retained as separately typed cadence families; no physical time or tick cost inherited.</w:t>
            </w:r>
          </w:p>
        </w:tc>
      </w:tr>
      <w:tr>
        <w:trPr/>
        <w:tc>
          <w:tcPr>
            <w:tcW w:w="2239" w:type="dxa"/>
            <w:tcBorders/>
            <w:vAlign w:val="top"/>
          </w:tcPr>
          <w:p>
            <w:pPr>
              <w:pStyle w:val="Normal"/>
              <w:spacing w:before="0" w:after="40" w:line="240" w:lineRule="auto"/>
              <w:rPr>
                <w:b/>
                <w:bCs/>
              </w:rPr>
            </w:pPr>
            <w:r>
              <w:rPr>
                <w:b/>
                <w:bCs/>
                <w:sz w:val="19"/>
              </w:rPr>
              <w:t>A14 slack</w:t>
            </w:r>
          </w:p>
        </w:tc>
        <w:tc>
          <w:tcPr>
            <w:tcW w:w="7121" w:type="dxa"/>
            <w:tcBorders/>
            <w:vAlign w:val="top"/>
          </w:tcPr>
          <w:p>
            <w:pPr>
              <w:pStyle w:val="Normal"/>
              <w:widowControl/>
              <w:bidi w:val="0"/>
              <w:spacing w:lineRule="auto" w:line="240" w:before="0" w:after="40"/>
              <w:jc w:val="start"/>
              <w:rPr/>
            </w:pPr>
            <w:r>
              <w:rPr>
                <w:sz w:val="19"/>
              </w:rPr>
              <w:t>Retained at scalar/interval minimum; vector, gradient, and aggregation remain branches.</w:t>
            </w:r>
          </w:p>
        </w:tc>
      </w:tr>
      <w:tr>
        <w:trPr/>
        <w:tc>
          <w:tcPr>
            <w:tcW w:w="2239" w:type="dxa"/>
            <w:tcBorders/>
            <w:vAlign w:val="top"/>
            <w:shd w:fill="F7F9FB"/>
          </w:tcPr>
          <w:p>
            <w:pPr>
              <w:pStyle w:val="Normal"/>
              <w:spacing w:before="0" w:after="40" w:line="240" w:lineRule="auto"/>
              <w:rPr>
                <w:b/>
                <w:bCs/>
              </w:rPr>
            </w:pPr>
            <w:r>
              <w:rPr>
                <w:b/>
                <w:bCs/>
                <w:sz w:val="19"/>
              </w:rPr>
              <w:t>A15 dependency closure</w:t>
            </w:r>
          </w:p>
        </w:tc>
        <w:tc>
          <w:tcPr>
            <w:tcW w:w="7121" w:type="dxa"/>
            <w:tcBorders/>
            <w:vAlign w:val="top"/>
            <w:shd w:fill="F7F9FB"/>
          </w:tcPr>
          <w:p>
            <w:pPr>
              <w:pStyle w:val="Normal"/>
              <w:widowControl/>
              <w:bidi w:val="0"/>
              <w:spacing w:lineRule="auto" w:line="240" w:before="0" w:after="40"/>
              <w:jc w:val="start"/>
              <w:rPr/>
            </w:pPr>
            <w:r>
              <w:rPr>
                <w:sz w:val="19"/>
              </w:rPr>
              <w:t>Retained as receipt-counter closure with separate proof-checker and route lanes; every closure carries residual/reopening.</w:t>
            </w:r>
          </w:p>
        </w:tc>
      </w:tr>
    </w:tbl>
    <w:p>
      <w:pPr>
        <w:pStyle w:val="Heading1"/>
        <w:keepNext/>
        <w:keepLines/>
        <w:rPr/>
      </w:pPr>
      <w:bookmarkStart w:id="28" w:name="deprecated-or-rejected-readings"/>
      <w:r>
        <w:rPr/>
        <w:t>5. Deprecated or rejected readings</w:t>
      </w:r>
      <w:bookmarkEnd w:id="2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016"/>
        <w:gridCol w:w="5344"/>
      </w:tblGrid>
      <w:tr>
        <w:trPr>
          <w:tblHeader w:val="true"/>
        </w:trPr>
        <w:tc>
          <w:tcPr>
            <w:tcW w:w="4016" w:type="dxa"/>
            <w:tcBorders/>
            <w:vAlign w:val="top"/>
            <w:shd w:fill="DCE6F1"/>
          </w:tcPr>
          <w:p>
            <w:pPr>
              <w:pStyle w:val="Normal"/>
              <w:spacing w:before="0" w:after="40" w:line="240" w:lineRule="auto"/>
              <w:rPr>
                <w:b/>
                <w:bCs/>
              </w:rPr>
            </w:pPr>
            <w:r>
              <w:rPr>
                <w:b/>
                <w:bCs/>
                <w:color w:val="1F4D78"/>
                <w:sz w:val="19"/>
              </w:rPr>
              <w:t>Legacy reading</w:t>
            </w:r>
          </w:p>
        </w:tc>
        <w:tc>
          <w:tcPr>
            <w:tcW w:w="5344" w:type="dxa"/>
            <w:tcBorders/>
            <w:vAlign w:val="top"/>
            <w:shd w:fill="DCE6F1"/>
          </w:tcPr>
          <w:p>
            <w:pPr>
              <w:pStyle w:val="Normal"/>
              <w:spacing w:before="0" w:after="40" w:line="240" w:lineRule="auto"/>
              <w:rPr>
                <w:b/>
                <w:bCs/>
              </w:rPr>
            </w:pPr>
            <w:r>
              <w:rPr>
                <w:b/>
                <w:bCs/>
                <w:color w:val="1F4D78"/>
                <w:sz w:val="19"/>
              </w:rPr>
              <w:t>v2.0 disposition</w:t>
            </w:r>
          </w:p>
        </w:tc>
      </w:tr>
      <w:tr>
        <w:trPr/>
        <w:tc>
          <w:tcPr>
            <w:tcW w:w="4016" w:type="dxa"/>
            <w:tcBorders/>
            <w:vAlign w:val="top"/>
          </w:tcPr>
          <w:p>
            <w:pPr>
              <w:pStyle w:val="Normal"/>
              <w:spacing w:before="0" w:after="40" w:line="240" w:lineRule="auto"/>
              <w:rPr>
                <w:b/>
                <w:bCs/>
              </w:rPr>
            </w:pPr>
            <w:r>
              <w:rPr>
                <w:b/>
                <w:bCs/>
                <w:sz w:val="19"/>
              </w:rPr>
              <w:t>Ω is unresolved exterior</w:t>
            </w:r>
          </w:p>
        </w:tc>
        <w:tc>
          <w:tcPr>
            <w:tcW w:w="5344" w:type="dxa"/>
            <w:tcBorders/>
            <w:vAlign w:val="top"/>
          </w:tcPr>
          <w:p>
            <w:pPr>
              <w:pStyle w:val="Normal"/>
              <w:widowControl/>
              <w:bidi w:val="0"/>
              <w:spacing w:lineRule="auto" w:line="240" w:before="0" w:after="40"/>
              <w:jc w:val="start"/>
              <w:rPr/>
            </w:pPr>
            <w:r>
              <w:rPr>
                <w:sz w:val="19"/>
              </w:rPr>
              <w:t>Rejected as primitive identity. Use ‘Ω is unresolved possibility.’ Exterior may describe only residue relative to an admitted interior.</w:t>
            </w:r>
          </w:p>
        </w:tc>
      </w:tr>
      <w:tr>
        <w:trPr/>
        <w:tc>
          <w:tcPr>
            <w:tcW w:w="4016" w:type="dxa"/>
            <w:tcBorders/>
            <w:vAlign w:val="top"/>
            <w:shd w:fill="F7F9FB"/>
          </w:tcPr>
          <w:p>
            <w:pPr>
              <w:pStyle w:val="Normal"/>
              <w:spacing w:before="0" w:after="40" w:line="240" w:lineRule="auto"/>
              <w:rPr>
                <w:b/>
                <w:bCs/>
              </w:rPr>
            </w:pPr>
            <w:r>
              <w:rPr>
                <w:b/>
                <w:bCs/>
                <w:sz w:val="19"/>
              </w:rPr>
              <w:t>A0 is Ω / A0 is the one-class model envelope</w:t>
            </w:r>
          </w:p>
        </w:tc>
        <w:tc>
          <w:tcPr>
            <w:tcW w:w="5344" w:type="dxa"/>
            <w:tcBorders/>
            <w:vAlign w:val="top"/>
            <w:shd w:fill="F7F9FB"/>
          </w:tcPr>
          <w:p>
            <w:pPr>
              <w:pStyle w:val="Normal"/>
              <w:widowControl/>
              <w:bidi w:val="0"/>
              <w:spacing w:lineRule="auto" w:line="240" w:before="0" w:after="40"/>
              <w:jc w:val="start"/>
              <w:rPr/>
            </w:pPr>
            <w:r>
              <w:rPr>
                <w:sz w:val="19"/>
              </w:rPr>
              <w:t>Rejected. A0 is the cut. The old envelope becomes M0.</w:t>
            </w:r>
          </w:p>
        </w:tc>
      </w:tr>
      <w:tr>
        <w:trPr/>
        <w:tc>
          <w:tcPr>
            <w:tcW w:w="4016" w:type="dxa"/>
            <w:tcBorders/>
            <w:vAlign w:val="top"/>
          </w:tcPr>
          <w:p>
            <w:pPr>
              <w:pStyle w:val="Normal"/>
              <w:spacing w:before="0" w:after="40" w:line="240" w:lineRule="auto"/>
              <w:rPr>
                <w:b/>
                <w:bCs/>
              </w:rPr>
            </w:pPr>
            <w:r>
              <w:rPr>
                <w:b/>
                <w:bCs/>
                <w:sz w:val="19"/>
              </w:rPr>
              <w:t>Ω* is the nearest trace/model/copy of Ω’s contents</w:t>
            </w:r>
          </w:p>
        </w:tc>
        <w:tc>
          <w:tcPr>
            <w:tcW w:w="5344" w:type="dxa"/>
            <w:tcBorders/>
            <w:vAlign w:val="top"/>
          </w:tcPr>
          <w:p>
            <w:pPr>
              <w:pStyle w:val="Normal"/>
              <w:widowControl/>
              <w:bidi w:val="0"/>
              <w:spacing w:lineRule="auto" w:line="240" w:before="0" w:after="40"/>
              <w:jc w:val="start"/>
              <w:rPr/>
            </w:pPr>
            <w:r>
              <w:rPr>
                <w:sz w:val="19"/>
              </w:rPr>
              <w:t>Rejected. Ω* is the reflection formed by the cut and has no direct map from Ω.</w:t>
            </w:r>
          </w:p>
        </w:tc>
      </w:tr>
      <w:tr>
        <w:trPr/>
        <w:tc>
          <w:tcPr>
            <w:tcW w:w="4016" w:type="dxa"/>
            <w:tcBorders/>
            <w:vAlign w:val="top"/>
            <w:shd w:fill="F7F9FB"/>
          </w:tcPr>
          <w:p>
            <w:pPr>
              <w:pStyle w:val="Normal"/>
              <w:spacing w:before="0" w:after="40" w:line="240" w:lineRule="auto"/>
              <w:rPr>
                <w:b/>
                <w:bCs/>
              </w:rPr>
            </w:pPr>
            <w:r>
              <w:rPr>
                <w:b/>
                <w:bCs/>
                <w:sz w:val="19"/>
              </w:rPr>
              <w:t>Prompt, memory, or output is Ω* by default</w:t>
            </w:r>
          </w:p>
        </w:tc>
        <w:tc>
          <w:tcPr>
            <w:tcW w:w="5344" w:type="dxa"/>
            <w:tcBorders/>
            <w:vAlign w:val="top"/>
            <w:shd w:fill="F7F9FB"/>
          </w:tcPr>
          <w:p>
            <w:pPr>
              <w:pStyle w:val="Normal"/>
              <w:widowControl/>
              <w:bidi w:val="0"/>
              <w:spacing w:lineRule="auto" w:line="240" w:before="0" w:after="40"/>
              <w:jc w:val="start"/>
              <w:rPr/>
            </w:pPr>
            <w:r>
              <w:rPr>
                <w:sz w:val="19"/>
              </w:rPr>
              <w:t>Rejected. Those are later readout/trace/representation objects and require A1/A2/A7 typing.</w:t>
            </w:r>
          </w:p>
        </w:tc>
      </w:tr>
      <w:tr>
        <w:trPr/>
        <w:tc>
          <w:tcPr>
            <w:tcW w:w="4016" w:type="dxa"/>
            <w:tcBorders/>
            <w:vAlign w:val="top"/>
          </w:tcPr>
          <w:p>
            <w:pPr>
              <w:pStyle w:val="Normal"/>
              <w:spacing w:before="0" w:after="40" w:line="240" w:lineRule="auto"/>
              <w:rPr>
                <w:b/>
                <w:bCs/>
              </w:rPr>
            </w:pPr>
            <w:r>
              <w:rPr>
                <w:b/>
                <w:bCs/>
                <w:sz w:val="19"/>
              </w:rPr>
              <w:t>Ω becomes layer-local</w:t>
            </w:r>
          </w:p>
        </w:tc>
        <w:tc>
          <w:tcPr>
            <w:tcW w:w="5344" w:type="dxa"/>
            <w:tcBorders/>
            <w:vAlign w:val="top"/>
          </w:tcPr>
          <w:p>
            <w:pPr>
              <w:pStyle w:val="Normal"/>
              <w:widowControl/>
              <w:bidi w:val="0"/>
              <w:spacing w:lineRule="auto" w:line="240" w:before="0" w:after="40"/>
              <w:jc w:val="start"/>
              <w:rPr/>
            </w:pPr>
            <w:r>
              <w:rPr>
                <w:sz w:val="19"/>
              </w:rPr>
              <w:t>Rejected. Only cut-indexed residue and downstream accounts are local.</w:t>
            </w:r>
          </w:p>
        </w:tc>
      </w:tr>
      <w:tr>
        <w:trPr/>
        <w:tc>
          <w:tcPr>
            <w:tcW w:w="4016" w:type="dxa"/>
            <w:tcBorders/>
            <w:vAlign w:val="top"/>
            <w:shd w:fill="F7F9FB"/>
          </w:tcPr>
          <w:p>
            <w:pPr>
              <w:pStyle w:val="Normal"/>
              <w:spacing w:before="0" w:after="40" w:line="240" w:lineRule="auto"/>
              <w:rPr>
                <w:b/>
                <w:bCs/>
              </w:rPr>
            </w:pPr>
            <w:r>
              <w:rPr>
                <w:b/>
                <w:bCs/>
                <w:sz w:val="19"/>
              </w:rPr>
              <w:t>A3 is a graph</w:t>
            </w:r>
          </w:p>
        </w:tc>
        <w:tc>
          <w:tcPr>
            <w:tcW w:w="5344" w:type="dxa"/>
            <w:tcBorders/>
            <w:vAlign w:val="top"/>
            <w:shd w:fill="F7F9FB"/>
          </w:tcPr>
          <w:p>
            <w:pPr>
              <w:pStyle w:val="Normal"/>
              <w:widowControl/>
              <w:bidi w:val="0"/>
              <w:spacing w:lineRule="auto" w:line="240" w:before="0" w:after="40"/>
              <w:jc w:val="start"/>
              <w:rPr/>
            </w:pPr>
            <w:r>
              <w:rPr>
                <w:sz w:val="19"/>
              </w:rPr>
              <w:t>Deprecated as identity. A graph is one A3 realization.</w:t>
            </w:r>
          </w:p>
        </w:tc>
      </w:tr>
      <w:tr>
        <w:trPr/>
        <w:tc>
          <w:tcPr>
            <w:tcW w:w="4016" w:type="dxa"/>
            <w:tcBorders/>
            <w:vAlign w:val="top"/>
          </w:tcPr>
          <w:p>
            <w:pPr>
              <w:pStyle w:val="Normal"/>
              <w:spacing w:before="0" w:after="40" w:line="240" w:lineRule="auto"/>
              <w:rPr>
                <w:b/>
                <w:bCs/>
              </w:rPr>
            </w:pPr>
            <w:r>
              <w:rPr>
                <w:b/>
                <w:bCs/>
                <w:sz w:val="19"/>
              </w:rPr>
              <w:t>A9/χ is the Myhill-Nerode quotient</w:t>
            </w:r>
          </w:p>
        </w:tc>
        <w:tc>
          <w:tcPr>
            <w:tcW w:w="5344" w:type="dxa"/>
            <w:tcBorders/>
            <w:vAlign w:val="top"/>
          </w:tcPr>
          <w:p>
            <w:pPr>
              <w:pStyle w:val="Normal"/>
              <w:widowControl/>
              <w:bidi w:val="0"/>
              <w:spacing w:lineRule="auto" w:line="240" w:before="0" w:after="40"/>
              <w:jc w:val="start"/>
              <w:rPr/>
            </w:pPr>
            <w:r>
              <w:rPr>
                <w:sz w:val="19"/>
              </w:rPr>
              <w:t>Deprecated as identity. The quotient is one deterministic realization of task-relative centerhood.</w:t>
            </w:r>
          </w:p>
        </w:tc>
      </w:tr>
      <w:tr>
        <w:trPr/>
        <w:tc>
          <w:tcPr>
            <w:tcW w:w="4016" w:type="dxa"/>
            <w:tcBorders/>
            <w:vAlign w:val="top"/>
            <w:shd w:fill="F7F9FB"/>
          </w:tcPr>
          <w:p>
            <w:pPr>
              <w:pStyle w:val="Normal"/>
              <w:spacing w:before="0" w:after="40" w:line="240" w:lineRule="auto"/>
              <w:rPr>
                <w:b/>
                <w:bCs/>
              </w:rPr>
            </w:pPr>
            <w:r>
              <w:rPr>
                <w:b/>
                <w:bCs/>
                <w:sz w:val="19"/>
              </w:rPr>
              <w:t>A11 coupling implies jointness, or jointness implies coupling</w:t>
            </w:r>
          </w:p>
        </w:tc>
        <w:tc>
          <w:tcPr>
            <w:tcW w:w="5344" w:type="dxa"/>
            <w:tcBorders/>
            <w:vAlign w:val="top"/>
            <w:shd w:fill="F7F9FB"/>
          </w:tcPr>
          <w:p>
            <w:pPr>
              <w:pStyle w:val="Normal"/>
              <w:widowControl/>
              <w:bidi w:val="0"/>
              <w:spacing w:lineRule="auto" w:line="240" w:before="0" w:after="40"/>
              <w:jc w:val="start"/>
              <w:rPr/>
            </w:pPr>
            <w:r>
              <w:rPr>
                <w:sz w:val="19"/>
              </w:rPr>
              <w:t>Rejected. The admission families are coequal and noncoercive.</w:t>
            </w:r>
          </w:p>
        </w:tc>
      </w:tr>
      <w:tr>
        <w:trPr/>
        <w:tc>
          <w:tcPr>
            <w:tcW w:w="4016" w:type="dxa"/>
            <w:tcBorders/>
            <w:vAlign w:val="top"/>
          </w:tcPr>
          <w:p>
            <w:pPr>
              <w:pStyle w:val="Normal"/>
              <w:spacing w:before="0" w:after="40" w:line="240" w:lineRule="auto"/>
              <w:rPr>
                <w:b/>
                <w:bCs/>
              </w:rPr>
            </w:pPr>
            <w:r>
              <w:rPr>
                <w:b/>
                <w:bCs/>
                <w:sz w:val="19"/>
              </w:rPr>
              <w:t>A15 returns PAL_COMPLETE or final truth</w:t>
            </w:r>
          </w:p>
        </w:tc>
        <w:tc>
          <w:tcPr>
            <w:tcW w:w="5344" w:type="dxa"/>
            <w:tcBorders/>
            <w:vAlign w:val="top"/>
          </w:tcPr>
          <w:p>
            <w:pPr>
              <w:pStyle w:val="Normal"/>
              <w:widowControl/>
              <w:bidi w:val="0"/>
              <w:spacing w:lineRule="auto" w:line="240" w:before="0" w:after="40"/>
              <w:jc w:val="start"/>
              <w:rPr/>
            </w:pPr>
            <w:r>
              <w:rPr>
                <w:sz w:val="19"/>
              </w:rPr>
              <w:t>Rejected. Only the four scoped statuses are valid.</w:t>
            </w:r>
          </w:p>
        </w:tc>
      </w:tr>
      <w:tr>
        <w:trPr/>
        <w:tc>
          <w:tcPr>
            <w:tcW w:w="4016" w:type="dxa"/>
            <w:tcBorders/>
            <w:vAlign w:val="top"/>
            <w:shd w:fill="F7F9FB"/>
          </w:tcPr>
          <w:p>
            <w:pPr>
              <w:pStyle w:val="Normal"/>
              <w:spacing w:before="0" w:after="40" w:line="240" w:lineRule="auto"/>
              <w:rPr>
                <w:b/>
                <w:bCs/>
              </w:rPr>
            </w:pPr>
            <w:r>
              <w:rPr>
                <w:b/>
                <w:bCs/>
                <w:sz w:val="19"/>
              </w:rPr>
              <w:t>Reopening resets the account to Ω</w:t>
            </w:r>
          </w:p>
        </w:tc>
        <w:tc>
          <w:tcPr>
            <w:tcW w:w="5344" w:type="dxa"/>
            <w:tcBorders/>
            <w:vAlign w:val="top"/>
            <w:shd w:fill="F7F9FB"/>
          </w:tcPr>
          <w:p>
            <w:pPr>
              <w:pStyle w:val="Normal"/>
              <w:widowControl/>
              <w:bidi w:val="0"/>
              <w:spacing w:lineRule="auto" w:line="240" w:before="0" w:after="40"/>
              <w:jc w:val="start"/>
              <w:rPr/>
            </w:pPr>
            <w:r>
              <w:rPr>
                <w:sz w:val="19"/>
              </w:rPr>
              <w:t>Rejected. Reopening preserves trace and the former certificate.</w:t>
            </w:r>
          </w:p>
        </w:tc>
      </w:tr>
      <w:tr>
        <w:trPr/>
        <w:tc>
          <w:tcPr>
            <w:tcW w:w="4016" w:type="dxa"/>
            <w:tcBorders/>
            <w:vAlign w:val="top"/>
          </w:tcPr>
          <w:p>
            <w:pPr>
              <w:pStyle w:val="Normal"/>
              <w:spacing w:before="0" w:after="40" w:line="240" w:lineRule="auto"/>
              <w:rPr>
                <w:b/>
                <w:bCs/>
              </w:rPr>
            </w:pPr>
            <w:r>
              <w:rPr>
                <w:b/>
                <w:bCs/>
                <w:sz w:val="19"/>
              </w:rPr>
              <w:t>A0 is temporally, ontically, causally, or globally first because it is first in an account.</w:t>
            </w:r>
          </w:p>
        </w:tc>
        <w:tc>
          <w:tcPr>
            <w:tcW w:w="5344" w:type="dxa"/>
            <w:tcBorders/>
            <w:vAlign w:val="top"/>
          </w:tcPr>
          <w:p>
            <w:pPr>
              <w:pStyle w:val="Normal"/>
              <w:widowControl/>
              <w:bidi w:val="0"/>
              <w:spacing w:lineRule="auto" w:line="240" w:before="0" w:after="40"/>
              <w:jc w:val="start"/>
              <w:rPr/>
            </w:pPr>
            <w:r>
              <w:rPr>
                <w:sz w:val="19"/>
              </w:rPr>
              <w:t>Rejected. A0 is first only in its declared account unless stronger evidence and scope are separately supplied.</w:t>
            </w:r>
          </w:p>
        </w:tc>
      </w:tr>
      <w:tr>
        <w:trPr/>
        <w:tc>
          <w:tcPr>
            <w:tcW w:w="4016" w:type="dxa"/>
            <w:tcBorders/>
            <w:vAlign w:val="top"/>
            <w:shd w:fill="F7F9FB"/>
          </w:tcPr>
          <w:p>
            <w:pPr>
              <w:pStyle w:val="Normal"/>
              <w:spacing w:before="0" w:after="40" w:line="240" w:lineRule="auto"/>
              <w:rPr>
                <w:b/>
                <w:bCs/>
              </w:rPr>
            </w:pPr>
            <w:r>
              <w:rPr>
                <w:b/>
                <w:bCs/>
                <w:sz w:val="19"/>
              </w:rPr>
              <w:t>Cut cost is causal source, truth, physical energy, permission, consent, standing, or authority.</w:t>
            </w:r>
          </w:p>
        </w:tc>
        <w:tc>
          <w:tcPr>
            <w:tcW w:w="5344" w:type="dxa"/>
            <w:tcBorders/>
            <w:vAlign w:val="top"/>
            <w:shd w:fill="F7F9FB"/>
          </w:tcPr>
          <w:p>
            <w:pPr>
              <w:pStyle w:val="Normal"/>
              <w:widowControl/>
              <w:bidi w:val="0"/>
              <w:spacing w:lineRule="auto" w:line="240" w:before="0" w:after="40"/>
              <w:jc w:val="start"/>
              <w:rPr/>
            </w:pPr>
            <w:r>
              <w:rPr>
                <w:sz w:val="19"/>
              </w:rPr>
              <w:t>Rejected. These are distinct typed fields or claims and require explicit bridges.</w:t>
            </w:r>
          </w:p>
        </w:tc>
      </w:tr>
      <w:tr>
        <w:trPr/>
        <w:tc>
          <w:tcPr>
            <w:tcW w:w="4016" w:type="dxa"/>
            <w:tcBorders/>
            <w:vAlign w:val="top"/>
          </w:tcPr>
          <w:p>
            <w:pPr>
              <w:pStyle w:val="Normal"/>
              <w:spacing w:before="0" w:after="40" w:line="240" w:lineRule="auto"/>
              <w:rPr>
                <w:b/>
                <w:bCs/>
              </w:rPr>
            </w:pPr>
            <w:r>
              <w:rPr>
                <w:b/>
                <w:bCs/>
                <w:sz w:val="19"/>
              </w:rPr>
              <w:t>An A0 cut receipt is an occurrence receipt, or A2 alone emits CLOSED_IN_SCOPE.</w:t>
            </w:r>
          </w:p>
        </w:tc>
        <w:tc>
          <w:tcPr>
            <w:tcW w:w="5344" w:type="dxa"/>
            <w:tcBorders/>
            <w:vAlign w:val="top"/>
          </w:tcPr>
          <w:p>
            <w:pPr>
              <w:pStyle w:val="Normal"/>
              <w:widowControl/>
              <w:bidi w:val="0"/>
              <w:spacing w:lineRule="auto" w:line="240" w:before="0" w:after="40"/>
              <w:jc w:val="start"/>
              <w:rPr/>
            </w:pPr>
            <w:r>
              <w:rPr>
                <w:sz w:val="19"/>
              </w:rPr>
              <w:t>Rejected. The earned A1/A2 route supplies recoverable occurrence evidence; an A15 receipt closes the scoped claim.</w:t>
            </w:r>
          </w:p>
        </w:tc>
      </w:tr>
      <w:tr>
        <w:trPr/>
        <w:tc>
          <w:tcPr>
            <w:tcW w:w="4016" w:type="dxa"/>
            <w:tcBorders/>
            <w:vAlign w:val="top"/>
            <w:shd w:fill="F7F9FB"/>
          </w:tcPr>
          <w:p>
            <w:pPr>
              <w:pStyle w:val="Normal"/>
              <w:widowControl/>
              <w:bidi w:val="0"/>
              <w:spacing w:lineRule="auto" w:line="240" w:before="0" w:after="40"/>
              <w:jc w:val="start"/>
              <w:rPr/>
            </w:pPr>
            <w:r>
              <w:rPr>
                <w:sz w:val="19"/>
              </w:rPr>
              <w:t>“</w:t>
            </w:r>
            <w:r>
              <w:rPr>
                <w:b/>
                <w:bCs/>
                <w:sz w:val="19"/>
              </w:rPr>
              <w:t>Occurrence-closed, source-open</w:t>
            </w:r>
            <w:r>
              <w:rPr>
                <w:sz w:val="19"/>
              </w:rPr>
              <w:t>”</w:t>
            </w:r>
            <w:r>
              <w:rPr>
                <w:b/>
                <w:bCs/>
                <w:sz w:val="19"/>
              </w:rPr>
              <w:t xml:space="preserve"> is a primitive or status.</w:t>
            </w:r>
          </w:p>
        </w:tc>
        <w:tc>
          <w:tcPr>
            <w:tcW w:w="5344" w:type="dxa"/>
            <w:tcBorders/>
            <w:vAlign w:val="top"/>
            <w:shd w:fill="F7F9FB"/>
          </w:tcPr>
          <w:p>
            <w:pPr>
              <w:pStyle w:val="Normal"/>
              <w:widowControl/>
              <w:bidi w:val="0"/>
              <w:spacing w:lineRule="auto" w:line="240" w:before="0" w:after="40"/>
              <w:jc w:val="start"/>
              <w:rPr/>
            </w:pPr>
            <w:r>
              <w:rPr>
                <w:sz w:val="19"/>
              </w:rPr>
              <w:t>Rejected. It is explanatory shorthand only and must expand into separate scoped statuses.</w:t>
            </w:r>
          </w:p>
        </w:tc>
      </w:tr>
      <w:tr>
        <w:trPr/>
        <w:tc>
          <w:tcPr>
            <w:tcW w:w="4016" w:type="dxa"/>
            <w:tcBorders/>
            <w:vAlign w:val="top"/>
          </w:tcPr>
          <w:p>
            <w:pPr>
              <w:pStyle w:val="Normal"/>
              <w:spacing w:before="0" w:after="40" w:line="240" w:lineRule="auto"/>
              <w:rPr>
                <w:b/>
                <w:bCs/>
              </w:rPr>
            </w:pPr>
            <w:r>
              <w:rPr>
                <w:b/>
                <w:bCs/>
                <w:sz w:val="19"/>
              </w:rPr>
              <w:t>Equal accessible cuts prove identical upstream sources.</w:t>
            </w:r>
          </w:p>
        </w:tc>
        <w:tc>
          <w:tcPr>
            <w:tcW w:w="5344" w:type="dxa"/>
            <w:tcBorders/>
            <w:vAlign w:val="top"/>
          </w:tcPr>
          <w:p>
            <w:pPr>
              <w:pStyle w:val="Normal"/>
              <w:widowControl/>
              <w:bidi w:val="0"/>
              <w:spacing w:lineRule="auto" w:line="240" w:before="0" w:after="40"/>
              <w:jc w:val="start"/>
              <w:rPr/>
            </w:pPr>
            <w:r>
              <w:rPr>
                <w:sz w:val="19"/>
              </w:rPr>
              <w:t>Rejected at a cut-only interface without injectivity or a supplied discriminating witness.</w:t>
            </w:r>
          </w:p>
        </w:tc>
      </w:tr>
      <w:tr>
        <w:trPr/>
        <w:tc>
          <w:tcPr>
            <w:tcW w:w="4016" w:type="dxa"/>
            <w:tcBorders/>
            <w:vAlign w:val="top"/>
            <w:shd w:fill="F7F9FB"/>
          </w:tcPr>
          <w:p>
            <w:pPr>
              <w:pStyle w:val="Normal"/>
              <w:spacing w:before="0" w:after="40" w:line="240" w:lineRule="auto"/>
              <w:rPr>
                <w:b/>
                <w:bCs/>
              </w:rPr>
            </w:pPr>
            <w:r>
              <w:rPr>
                <w:b/>
                <w:bCs/>
                <w:sz w:val="19"/>
              </w:rPr>
              <w:t>Asking proves the asker’s ontology, consciousness, standing, or the original cut’s causal source.</w:t>
            </w:r>
          </w:p>
        </w:tc>
        <w:tc>
          <w:tcPr>
            <w:tcW w:w="5344" w:type="dxa"/>
            <w:tcBorders/>
            <w:vAlign w:val="top"/>
            <w:shd w:fill="F7F9FB"/>
          </w:tcPr>
          <w:p>
            <w:pPr>
              <w:pStyle w:val="Normal"/>
              <w:widowControl/>
              <w:bidi w:val="0"/>
              <w:spacing w:lineRule="auto" w:line="240" w:before="0" w:after="40"/>
              <w:jc w:val="start"/>
              <w:rPr/>
            </w:pPr>
            <w:r>
              <w:rPr>
                <w:sz w:val="19"/>
              </w:rPr>
              <w:t>Rejected. Only a supplied inquiry-event witness supports a present inquiry receipt.</w:t>
            </w:r>
          </w:p>
        </w:tc>
      </w:tr>
      <w:tr>
        <w:trPr/>
        <w:tc>
          <w:tcPr>
            <w:tcW w:w="4016" w:type="dxa"/>
            <w:tcBorders/>
            <w:vAlign w:val="top"/>
          </w:tcPr>
          <w:p>
            <w:pPr>
              <w:pStyle w:val="Normal"/>
              <w:spacing w:before="0" w:after="40" w:line="240" w:lineRule="auto"/>
              <w:rPr>
                <w:b/>
                <w:bCs/>
              </w:rPr>
            </w:pPr>
            <w:r>
              <w:rPr>
                <w:b/>
                <w:bCs/>
                <w:sz w:val="19"/>
              </w:rPr>
              <w:t>Later recovery retroactively supplies earlier warrant, consent, standing, or authority.</w:t>
            </w:r>
          </w:p>
        </w:tc>
        <w:tc>
          <w:tcPr>
            <w:tcW w:w="5344" w:type="dxa"/>
            <w:tcBorders/>
            <w:vAlign w:val="top"/>
          </w:tcPr>
          <w:p>
            <w:pPr>
              <w:pStyle w:val="Normal"/>
              <w:widowControl/>
              <w:bidi w:val="0"/>
              <w:spacing w:lineRule="auto" w:line="240" w:before="0" w:after="40"/>
              <w:jc w:val="start"/>
              <w:rPr/>
            </w:pPr>
            <w:r>
              <w:rPr>
                <w:sz w:val="19"/>
              </w:rPr>
              <w:t>Rejected. Recovery appends a linked record and preserves the earlier receipt exactly.</w:t>
            </w:r>
          </w:p>
        </w:tc>
      </w:tr>
      <w:tr>
        <w:trPr/>
        <w:tc>
          <w:tcPr>
            <w:tcW w:w="4016" w:type="dxa"/>
            <w:tcBorders/>
            <w:vAlign w:val="top"/>
            <w:shd w:fill="F7F9FB"/>
          </w:tcPr>
          <w:p>
            <w:pPr>
              <w:pStyle w:val="Normal"/>
              <w:spacing w:before="0" w:after="40" w:line="240" w:lineRule="auto"/>
              <w:rPr>
                <w:b/>
                <w:bCs/>
              </w:rPr>
            </w:pPr>
            <w:r>
              <w:rPr>
                <w:b/>
                <w:bCs/>
                <w:sz w:val="19"/>
              </w:rPr>
              <w:t>Reopenable source inquiry proves an actually infinite causal ontology.</w:t>
            </w:r>
          </w:p>
        </w:tc>
        <w:tc>
          <w:tcPr>
            <w:tcW w:w="5344" w:type="dxa"/>
            <w:tcBorders/>
            <w:vAlign w:val="top"/>
            <w:shd w:fill="F7F9FB"/>
          </w:tcPr>
          <w:p>
            <w:pPr>
              <w:pStyle w:val="Normal"/>
              <w:widowControl/>
              <w:bidi w:val="0"/>
              <w:spacing w:lineRule="auto" w:line="240" w:before="0" w:after="40"/>
              <w:jc w:val="start"/>
              <w:rPr/>
            </w:pPr>
            <w:r>
              <w:rPr>
                <w:sz w:val="19"/>
              </w:rPr>
              <w:t>Rejected. Finite or repeatable inquiry does not establish an actual infinite regress.</w:t>
            </w:r>
          </w:p>
        </w:tc>
      </w:tr>
    </w:tbl>
    <w:p>
      <w:pPr>
        <w:pStyle w:val="Heading1"/>
        <w:keepNext/>
        <w:keepLines/>
        <w:rPr/>
      </w:pPr>
      <w:bookmarkStart w:id="29" w:name="branch-adapter-checklist"/>
      <w:r>
        <w:rPr/>
        <w:t>6. Branch adapter checklist</w:t>
      </w:r>
      <w:bookmarkEnd w:id="2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826"/>
        <w:gridCol w:w="7534"/>
      </w:tblGrid>
      <w:tr>
        <w:trPr>
          <w:tblHeader w:val="true"/>
        </w:trPr>
        <w:tc>
          <w:tcPr>
            <w:tcW w:w="1826" w:type="dxa"/>
            <w:tcBorders/>
            <w:vAlign w:val="top"/>
            <w:shd w:fill="DCE6F1"/>
          </w:tcPr>
          <w:p>
            <w:pPr>
              <w:pStyle w:val="Normal"/>
              <w:spacing w:before="0" w:after="40" w:line="240" w:lineRule="auto"/>
              <w:rPr>
                <w:b/>
                <w:bCs/>
              </w:rPr>
            </w:pPr>
            <w:r>
              <w:rPr>
                <w:b/>
                <w:bCs/>
                <w:color w:val="1F4D78"/>
                <w:sz w:val="19"/>
              </w:rPr>
              <w:t>Branch</w:t>
            </w:r>
          </w:p>
        </w:tc>
        <w:tc>
          <w:tcPr>
            <w:tcW w:w="7534" w:type="dxa"/>
            <w:tcBorders/>
            <w:vAlign w:val="top"/>
            <w:shd w:fill="DCE6F1"/>
          </w:tcPr>
          <w:p>
            <w:pPr>
              <w:pStyle w:val="Normal"/>
              <w:spacing w:before="0" w:after="40" w:line="240" w:lineRule="auto"/>
              <w:rPr>
                <w:b/>
                <w:bCs/>
              </w:rPr>
            </w:pPr>
            <w:r>
              <w:rPr>
                <w:b/>
                <w:bCs/>
                <w:color w:val="1F4D78"/>
                <w:sz w:val="19"/>
              </w:rPr>
              <w:t>Required v2.0 adapter</w:t>
            </w:r>
          </w:p>
        </w:tc>
      </w:tr>
      <w:tr>
        <w:trPr/>
        <w:tc>
          <w:tcPr>
            <w:tcW w:w="1826" w:type="dxa"/>
            <w:tcBorders/>
            <w:vAlign w:val="top"/>
          </w:tcPr>
          <w:p>
            <w:pPr>
              <w:pStyle w:val="Normal"/>
              <w:spacing w:before="0" w:after="40" w:line="240" w:lineRule="auto"/>
              <w:rPr>
                <w:b/>
                <w:bCs/>
              </w:rPr>
            </w:pPr>
            <w:r>
              <w:rPr>
                <w:b/>
                <w:bCs/>
                <w:sz w:val="19"/>
              </w:rPr>
              <w:t>A0 Boundary Kernel</w:t>
            </w:r>
          </w:p>
        </w:tc>
        <w:tc>
          <w:tcPr>
            <w:tcW w:w="7534" w:type="dxa"/>
            <w:tcBorders/>
            <w:vAlign w:val="top"/>
          </w:tcPr>
          <w:p>
            <w:pPr>
              <w:pStyle w:val="Normal"/>
              <w:widowControl/>
              <w:bidi w:val="0"/>
              <w:spacing w:lineRule="auto" w:line="240" w:before="0" w:after="40"/>
              <w:jc w:val="start"/>
              <w:rPr/>
            </w:pPr>
            <w:r>
              <w:rPr>
                <w:sz w:val="19"/>
              </w:rPr>
              <w:t>Replace A0=Ω or boundary=Ω identities; add CutReceipt, Ω*[c], R[c], source/cost, and reopen status.</w:t>
            </w:r>
          </w:p>
        </w:tc>
      </w:tr>
      <w:tr>
        <w:trPr/>
        <w:tc>
          <w:tcPr>
            <w:tcW w:w="1826" w:type="dxa"/>
            <w:tcBorders/>
            <w:vAlign w:val="top"/>
            <w:shd w:fill="F7F9FB"/>
          </w:tcPr>
          <w:p>
            <w:pPr>
              <w:pStyle w:val="Normal"/>
              <w:spacing w:before="0" w:after="40" w:line="240" w:lineRule="auto"/>
              <w:rPr>
                <w:b/>
                <w:bCs/>
              </w:rPr>
            </w:pPr>
            <w:r>
              <w:rPr>
                <w:b/>
                <w:bCs/>
                <w:sz w:val="19"/>
              </w:rPr>
              <w:t>Measuring Ω-Shadow</w:t>
            </w:r>
          </w:p>
        </w:tc>
        <w:tc>
          <w:tcPr>
            <w:tcW w:w="7534" w:type="dxa"/>
            <w:tcBorders/>
            <w:vAlign w:val="top"/>
            <w:shd w:fill="F7F9FB"/>
          </w:tcPr>
          <w:p>
            <w:pPr>
              <w:pStyle w:val="Normal"/>
              <w:widowControl/>
              <w:bidi w:val="0"/>
              <w:spacing w:lineRule="auto" w:line="240" w:before="0" w:after="40"/>
              <w:jc w:val="start"/>
              <w:rPr/>
            </w:pPr>
            <w:r>
              <w:rPr>
                <w:sz w:val="19"/>
              </w:rPr>
              <w:t>Keep Ω≠Ω* and reflection intuition; remove nearest-trace, layer-local Ω, and prompt/memory/output equivalences.</w:t>
            </w:r>
          </w:p>
        </w:tc>
      </w:tr>
      <w:tr>
        <w:trPr/>
        <w:tc>
          <w:tcPr>
            <w:tcW w:w="1826" w:type="dxa"/>
            <w:tcBorders/>
            <w:vAlign w:val="top"/>
          </w:tcPr>
          <w:p>
            <w:pPr>
              <w:pStyle w:val="Normal"/>
              <w:spacing w:before="0" w:after="40" w:line="240" w:lineRule="auto"/>
              <w:rPr>
                <w:b/>
                <w:bCs/>
              </w:rPr>
            </w:pPr>
            <w:r>
              <w:rPr>
                <w:b/>
                <w:bCs/>
                <w:sz w:val="19"/>
              </w:rPr>
              <w:t>BRT</w:t>
            </w:r>
          </w:p>
        </w:tc>
        <w:tc>
          <w:tcPr>
            <w:tcW w:w="7534" w:type="dxa"/>
            <w:tcBorders/>
            <w:vAlign w:val="top"/>
          </w:tcPr>
          <w:p>
            <w:pPr>
              <w:pStyle w:val="Normal"/>
              <w:widowControl/>
              <w:bidi w:val="0"/>
              <w:spacing w:lineRule="auto" w:line="240" w:before="0" w:after="40"/>
              <w:jc w:val="start"/>
              <w:rPr/>
            </w:pPr>
            <w:r>
              <w:rPr>
                <w:sz w:val="19"/>
              </w:rPr>
              <w:t>Replace Ω→expression diagrams with supplied model-data presentation; type A1/A2/A15 outputs and retain latent/unresolved response.</w:t>
            </w:r>
          </w:p>
        </w:tc>
      </w:tr>
      <w:tr>
        <w:trPr/>
        <w:tc>
          <w:tcPr>
            <w:tcW w:w="1826" w:type="dxa"/>
            <w:tcBorders/>
            <w:vAlign w:val="top"/>
            <w:shd w:fill="F7F9FB"/>
          </w:tcPr>
          <w:p>
            <w:pPr>
              <w:pStyle w:val="Normal"/>
              <w:spacing w:before="0" w:after="40" w:line="240" w:lineRule="auto"/>
              <w:rPr>
                <w:b/>
                <w:bCs/>
              </w:rPr>
            </w:pPr>
            <w:r>
              <w:rPr>
                <w:b/>
                <w:bCs/>
                <w:sz w:val="19"/>
              </w:rPr>
              <w:t>CLEF</w:t>
            </w:r>
          </w:p>
        </w:tc>
        <w:tc>
          <w:tcPr>
            <w:tcW w:w="7534" w:type="dxa"/>
            <w:tcBorders/>
            <w:vAlign w:val="top"/>
            <w:shd w:fill="F7F9FB"/>
          </w:tcPr>
          <w:p>
            <w:pPr>
              <w:pStyle w:val="Normal"/>
              <w:widowControl/>
              <w:bidi w:val="0"/>
              <w:spacing w:lineRule="auto" w:line="240" w:before="0" w:after="40"/>
              <w:jc w:val="start"/>
              <w:rPr/>
            </w:pPr>
            <w:r>
              <w:rPr>
                <w:sz w:val="19"/>
              </w:rPr>
              <w:t>Bind every measurement to aperture, baseline, noise, cost, uncertainty, tolerance, and stopping rule.</w:t>
            </w:r>
          </w:p>
        </w:tc>
      </w:tr>
      <w:tr>
        <w:trPr/>
        <w:tc>
          <w:tcPr>
            <w:tcW w:w="1826" w:type="dxa"/>
            <w:tcBorders/>
            <w:vAlign w:val="top"/>
          </w:tcPr>
          <w:p>
            <w:pPr>
              <w:pStyle w:val="Normal"/>
              <w:spacing w:before="0" w:after="40" w:line="240" w:lineRule="auto"/>
              <w:rPr>
                <w:b/>
                <w:bCs/>
              </w:rPr>
            </w:pPr>
            <w:r>
              <w:rPr>
                <w:b/>
                <w:bCs/>
                <w:sz w:val="19"/>
              </w:rPr>
              <w:t>SOOP/SORE/SOSA</w:t>
            </w:r>
          </w:p>
        </w:tc>
        <w:tc>
          <w:tcPr>
            <w:tcW w:w="7534" w:type="dxa"/>
            <w:tcBorders/>
            <w:vAlign w:val="top"/>
          </w:tcPr>
          <w:p>
            <w:pPr>
              <w:pStyle w:val="Normal"/>
              <w:widowControl/>
              <w:bidi w:val="0"/>
              <w:spacing w:lineRule="auto" w:line="240" w:before="0" w:after="40"/>
              <w:jc w:val="start"/>
              <w:rPr/>
            </w:pPr>
            <w:r>
              <w:rPr>
                <w:sz w:val="19"/>
              </w:rPr>
              <w:t>Keep named branch titles; target A4/A5/A6 mechanical cards and state all formal assumptions.</w:t>
            </w:r>
          </w:p>
        </w:tc>
      </w:tr>
      <w:tr>
        <w:trPr/>
        <w:tc>
          <w:tcPr>
            <w:tcW w:w="1826" w:type="dxa"/>
            <w:tcBorders/>
            <w:vAlign w:val="top"/>
            <w:shd w:fill="F7F9FB"/>
          </w:tcPr>
          <w:p>
            <w:pPr>
              <w:pStyle w:val="Normal"/>
              <w:spacing w:before="0" w:after="40" w:line="240" w:lineRule="auto"/>
              <w:rPr>
                <w:b/>
                <w:bCs/>
              </w:rPr>
            </w:pPr>
            <w:r>
              <w:rPr>
                <w:b/>
                <w:bCs/>
                <w:sz w:val="19"/>
              </w:rPr>
              <w:t>SIA/SPLAT</w:t>
            </w:r>
          </w:p>
        </w:tc>
        <w:tc>
          <w:tcPr>
            <w:tcW w:w="7534" w:type="dxa"/>
            <w:tcBorders/>
            <w:vAlign w:val="top"/>
            <w:shd w:fill="F7F9FB"/>
          </w:tcPr>
          <w:p>
            <w:pPr>
              <w:pStyle w:val="Normal"/>
              <w:widowControl/>
              <w:bidi w:val="0"/>
              <w:spacing w:lineRule="auto" w:line="240" w:before="0" w:after="40"/>
              <w:jc w:val="start"/>
              <w:rPr/>
            </w:pPr>
            <w:r>
              <w:rPr>
                <w:sz w:val="19"/>
              </w:rPr>
              <w:t>Retain as favored A8 response labels; declare effect map, thresholds, horizon, units, and no-authority ceiling.</w:t>
            </w:r>
          </w:p>
        </w:tc>
      </w:tr>
      <w:tr>
        <w:trPr/>
        <w:tc>
          <w:tcPr>
            <w:tcW w:w="1826" w:type="dxa"/>
            <w:tcBorders/>
            <w:vAlign w:val="top"/>
          </w:tcPr>
          <w:p>
            <w:pPr>
              <w:pStyle w:val="Normal"/>
              <w:spacing w:before="0" w:after="40" w:line="240" w:lineRule="auto"/>
              <w:rPr>
                <w:b/>
                <w:bCs/>
              </w:rPr>
            </w:pPr>
            <w:r>
              <w:rPr>
                <w:b/>
                <w:bCs/>
                <w:sz w:val="19"/>
              </w:rPr>
              <w:t>SPI/SPI16 / Riemann Ledger</w:t>
            </w:r>
          </w:p>
        </w:tc>
        <w:tc>
          <w:tcPr>
            <w:tcW w:w="7534" w:type="dxa"/>
            <w:tcBorders/>
            <w:vAlign w:val="top"/>
          </w:tcPr>
          <w:p>
            <w:pPr>
              <w:pStyle w:val="Normal"/>
              <w:widowControl/>
              <w:bidi w:val="0"/>
              <w:spacing w:lineRule="auto" w:line="240" w:before="0" w:after="40"/>
              <w:jc w:val="start"/>
              <w:rPr/>
            </w:pPr>
            <w:r>
              <w:rPr>
                <w:sz w:val="19"/>
              </w:rPr>
              <w:t>Map proof and route lanes separately; use four statuses; preserve former receipts on reopen.</w:t>
            </w:r>
          </w:p>
        </w:tc>
      </w:tr>
      <w:tr>
        <w:trPr/>
        <w:tc>
          <w:tcPr>
            <w:tcW w:w="1826" w:type="dxa"/>
            <w:tcBorders/>
            <w:vAlign w:val="top"/>
            <w:shd w:fill="F7F9FB"/>
          </w:tcPr>
          <w:p>
            <w:pPr>
              <w:pStyle w:val="Normal"/>
              <w:spacing w:before="0" w:after="40" w:line="240" w:lineRule="auto"/>
              <w:rPr>
                <w:b/>
                <w:bCs/>
              </w:rPr>
            </w:pPr>
            <w:r>
              <w:rPr>
                <w:b/>
                <w:bCs/>
                <w:sz w:val="19"/>
              </w:rPr>
              <w:t>PEA</w:t>
            </w:r>
          </w:p>
        </w:tc>
        <w:tc>
          <w:tcPr>
            <w:tcW w:w="7534" w:type="dxa"/>
            <w:tcBorders/>
            <w:vAlign w:val="top"/>
            <w:shd w:fill="F7F9FB"/>
          </w:tcPr>
          <w:p>
            <w:pPr>
              <w:pStyle w:val="Normal"/>
              <w:widowControl/>
              <w:bidi w:val="0"/>
              <w:spacing w:lineRule="auto" w:line="240" w:before="0" w:after="40"/>
              <w:jc w:val="start"/>
              <w:rPr/>
            </w:pPr>
            <w:r>
              <w:rPr>
                <w:sz w:val="19"/>
              </w:rPr>
              <w:t>Keep independent authorization authority and accept PAL receipts only as evidence, never as consent or permission.</w:t>
            </w:r>
          </w:p>
        </w:tc>
      </w:tr>
      <w:tr>
        <w:trPr/>
        <w:tc>
          <w:tcPr>
            <w:tcW w:w="1826" w:type="dxa"/>
            <w:tcBorders/>
            <w:vAlign w:val="top"/>
          </w:tcPr>
          <w:p>
            <w:pPr>
              <w:pStyle w:val="Normal"/>
              <w:spacing w:before="0" w:after="40" w:line="240" w:lineRule="auto"/>
              <w:rPr>
                <w:b/>
                <w:bCs/>
              </w:rPr>
            </w:pPr>
            <w:r>
              <w:rPr>
                <w:b/>
                <w:bCs/>
                <w:sz w:val="19"/>
              </w:rPr>
              <w:t>PECAN/PPP/P3LA/P-Gate</w:t>
            </w:r>
          </w:p>
        </w:tc>
        <w:tc>
          <w:tcPr>
            <w:tcW w:w="7534" w:type="dxa"/>
            <w:tcBorders/>
            <w:vAlign w:val="top"/>
          </w:tcPr>
          <w:p>
            <w:pPr>
              <w:pStyle w:val="Normal"/>
              <w:widowControl/>
              <w:bidi w:val="0"/>
              <w:spacing w:lineRule="auto" w:line="240" w:before="0" w:after="40"/>
              <w:jc w:val="start"/>
              <w:rPr/>
            </w:pPr>
            <w:r>
              <w:rPr>
                <w:sz w:val="19"/>
              </w:rPr>
              <w:t>Version crossings, packets, roots, repairs, tokens, and branch authority; add return-to-PAL handles.</w:t>
            </w:r>
          </w:p>
        </w:tc>
      </w:tr>
      <w:tr>
        <w:trPr/>
        <w:tc>
          <w:tcPr>
            <w:tcW w:w="1826" w:type="dxa"/>
            <w:tcBorders/>
            <w:vAlign w:val="top"/>
            <w:shd w:fill="F7F9FB"/>
          </w:tcPr>
          <w:p>
            <w:pPr>
              <w:pStyle w:val="Normal"/>
              <w:spacing w:before="0" w:after="40" w:line="240" w:lineRule="auto"/>
              <w:rPr>
                <w:b/>
                <w:bCs/>
              </w:rPr>
            </w:pPr>
            <w:r>
              <w:rPr>
                <w:b/>
                <w:bCs/>
                <w:sz w:val="19"/>
              </w:rPr>
              <w:t>SEED / other mathematics</w:t>
            </w:r>
          </w:p>
        </w:tc>
        <w:tc>
          <w:tcPr>
            <w:tcW w:w="7534" w:type="dxa"/>
            <w:tcBorders/>
            <w:vAlign w:val="top"/>
            <w:shd w:fill="F7F9FB"/>
          </w:tcPr>
          <w:p>
            <w:pPr>
              <w:pStyle w:val="Normal"/>
              <w:widowControl/>
              <w:bidi w:val="0"/>
              <w:spacing w:lineRule="auto" w:line="240" w:before="0" w:after="40"/>
              <w:jc w:val="start"/>
              <w:rPr/>
            </w:pPr>
            <w:r>
              <w:rPr>
                <w:sz w:val="19"/>
              </w:rPr>
              <w:t>Attach each theorem to a v2.0-M card with delete/swap/predecessor tests and an explicit ceiling.</w:t>
            </w:r>
          </w:p>
        </w:tc>
      </w:tr>
    </w:tbl>
    <w:p>
      <w:pPr>
        <w:pStyle w:val="Heading1"/>
        <w:keepNext/>
        <w:keepLines/>
        <w:rPr/>
      </w:pPr>
      <w:bookmarkStart w:id="30" w:name="upgrade-procedure"/>
      <w:r>
        <w:rPr/>
        <w:t>7. Upgrade procedure</w:t>
      </w:r>
      <w:bookmarkEnd w:id="30"/>
    </w:p>
    <w:p>
      <w:pPr>
        <w:pStyle w:val="BodyText"/>
        <w:keepNext/>
        <w:keepLines/>
        <w:numPr>
          <w:ilvl w:val="0"/>
          <w:numId w:val="10"/>
        </w:numPr>
        <w:rPr/>
      </w:pPr>
      <w:r>
        <w:rPr/>
        <w:t>Freeze the PAL 1.x artifact and compute its source hash.</w:t>
      </w:r>
    </w:p>
    <w:p>
      <w:pPr>
        <w:pStyle w:val="BodyText"/>
        <w:numPr>
          <w:ilvl w:val="0"/>
          <w:numId w:val="10"/>
        </w:numPr>
        <w:rPr/>
      </w:pPr>
      <w:r>
        <w:rPr/>
        <w:t>Identify every normative use of Ω, A0, Ω*, θ, and A1 before migrating later layers.</w:t>
      </w:r>
    </w:p>
    <w:p>
      <w:pPr>
        <w:pStyle w:val="BodyText"/>
        <w:numPr>
          <w:ilvl w:val="0"/>
          <w:numId w:val="10"/>
        </w:numPr>
        <w:rPr/>
      </w:pPr>
      <w:r>
        <w:rPr/>
        <w:t>Move one-class model-envelope mathematics to M0 and add a supplied A0 cut receipt.</w:t>
      </w:r>
    </w:p>
    <w:p>
      <w:pPr>
        <w:pStyle w:val="BodyText"/>
        <w:numPr>
          <w:ilvl w:val="0"/>
          <w:numId w:val="10"/>
        </w:numPr>
        <w:rPr/>
      </w:pPr>
      <w:r>
        <w:rPr/>
        <w:t>Add cut-indexed Ω* reflection and θ turn lineage; do not infer a readable side.</w:t>
      </w:r>
    </w:p>
    <w:p>
      <w:pPr>
        <w:pStyle w:val="BodyText"/>
        <w:numPr>
          <w:ilvl w:val="0"/>
          <w:numId w:val="10"/>
        </w:numPr>
        <w:rPr/>
      </w:pPr>
      <w:r>
        <w:rPr/>
        <w:t>Align A1 readout orientation to θ and preserve O04/O25 as D-FIRST-OCCURRENCE when no independent witness exists.</w:t>
      </w:r>
    </w:p>
    <w:p>
      <w:pPr>
        <w:pStyle w:val="BodyText"/>
        <w:numPr>
          <w:ilvl w:val="0"/>
          <w:numId w:val="10"/>
        </w:numPr>
        <w:rPr/>
      </w:pPr>
      <w:r>
        <w:rPr/>
        <w:t>Map A2-A15 claims to the mechanical cards; relocate formal objects into realization cards with assumptions and return handles.</w:t>
      </w:r>
    </w:p>
    <w:p>
      <w:pPr>
        <w:pStyle w:val="BodyText"/>
        <w:numPr>
          <w:ilvl w:val="0"/>
          <w:numId w:val="10"/>
        </w:numPr>
        <w:rPr/>
      </w:pPr>
      <w:r>
        <w:rPr/>
        <w:t>Add decision/obligation links, compatibility status, residuals, and reopening conditions.</w:t>
      </w:r>
    </w:p>
    <w:p>
      <w:pPr>
        <w:pStyle w:val="BodyText"/>
        <w:numPr>
          <w:ilvl w:val="0"/>
          <w:numId w:val="10"/>
        </w:numPr>
        <w:rPr/>
      </w:pPr>
      <w:r>
        <w:rPr/>
        <w:t>Run PAL v2.0-T; repair the earliest failing address and retain the failed receipt.</w:t>
      </w:r>
    </w:p>
    <w:p>
      <w:pPr>
        <w:pStyle w:val="BodyText"/>
        <w:numPr>
          <w:ilvl w:val="0"/>
          <w:numId w:val="10"/>
        </w:numPr>
        <w:rPr/>
      </w:pPr>
      <w:r>
        <w:rPr/>
        <w:t>Publish a new version rather than overwriting any already published Zenodo record or frozen receipt.</w:t>
      </w:r>
    </w:p>
    <w:p>
      <w:pPr>
        <w:pStyle w:val="Heading1"/>
        <w:keepNext/>
        <w:keepLines/>
        <w:rPr/>
      </w:pPr>
      <w:bookmarkStart w:id="31" w:name="pal-v2.0-to-v2.1-migration"/>
      <w:r>
        <w:rPr/>
        <w:t>8. PAL v2.0 to v2.1 migration</w:t>
      </w:r>
      <w:bookmarkEnd w:id="31"/>
    </w:p>
    <w:p>
      <w:pPr>
        <w:pStyle w:val="Normal"/>
        <w:keepNext/>
        <w:keepLines/>
        <w:rPr>
          <w:b/>
          <w:bCs/>
        </w:rPr>
      </w:pPr>
      <w:r>
        <w:rPr>
          <w:b/>
          <w:bCs/>
        </w:rPr>
        <w:t>The table below controls the focused migration from PAL v2.0 to v2.1. The historical 1.x→v2.0 map above remains valid and visible.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108"/>
        <w:gridCol w:w="4926"/>
        <w:gridCol w:w="3326"/>
      </w:tblGrid>
      <w:tr>
        <w:trPr>
          <w:tblHeader w:val="true"/>
        </w:trPr>
        <w:tc>
          <w:tcPr>
            <w:tcW w:w="1108" w:type="dxa"/>
            <w:tcBorders/>
            <w:vAlign w:val="top"/>
            <w:shd w:fill="DCE6F1"/>
          </w:tcPr>
          <w:p>
            <w:pPr>
              <w:pStyle w:val="Normal"/>
              <w:spacing w:before="0" w:after="40" w:line="240" w:lineRule="auto"/>
              <w:rPr>
                <w:b/>
                <w:bCs/>
              </w:rPr>
            </w:pPr>
            <w:r>
              <w:rPr>
                <w:b/>
                <w:bCs/>
                <w:color w:val="1F4D78"/>
                <w:sz w:val="18"/>
              </w:rPr>
              <w:t>Area</w:t>
            </w:r>
          </w:p>
        </w:tc>
        <w:tc>
          <w:tcPr>
            <w:tcW w:w="4926" w:type="dxa"/>
            <w:tcBorders/>
            <w:vAlign w:val="top"/>
            <w:shd w:fill="DCE6F1"/>
          </w:tcPr>
          <w:p>
            <w:pPr>
              <w:pStyle w:val="Normal"/>
              <w:spacing w:before="0" w:after="40" w:line="240" w:lineRule="auto"/>
              <w:rPr>
                <w:b/>
                <w:bCs/>
              </w:rPr>
            </w:pPr>
            <w:r>
              <w:rPr>
                <w:b/>
                <w:bCs/>
                <w:color w:val="1F4D78"/>
                <w:sz w:val="18"/>
              </w:rPr>
              <w:t>PAL v2.1 migration</w:t>
            </w:r>
          </w:p>
        </w:tc>
        <w:tc>
          <w:tcPr>
            <w:tcW w:w="3326" w:type="dxa"/>
            <w:tcBorders/>
            <w:vAlign w:val="top"/>
            <w:shd w:fill="DCE6F1"/>
          </w:tcPr>
          <w:p>
            <w:pPr>
              <w:pStyle w:val="Normal"/>
              <w:spacing w:before="0" w:after="40" w:line="240" w:lineRule="auto"/>
              <w:rPr>
                <w:b/>
                <w:bCs/>
              </w:rPr>
            </w:pPr>
            <w:r>
              <w:rPr>
                <w:b/>
                <w:bCs/>
                <w:color w:val="1F4D78"/>
                <w:sz w:val="18"/>
              </w:rPr>
              <w:t>Required ceiling</w:t>
            </w:r>
          </w:p>
        </w:tc>
      </w:tr>
      <w:tr>
        <w:trPr/>
        <w:tc>
          <w:tcPr>
            <w:tcW w:w="1108" w:type="dxa"/>
            <w:tcBorders/>
            <w:vAlign w:val="top"/>
          </w:tcPr>
          <w:p>
            <w:pPr>
              <w:pStyle w:val="Normal"/>
              <w:spacing w:before="0" w:after="40" w:line="240" w:lineRule="auto"/>
              <w:rPr>
                <w:b/>
                <w:bCs/>
              </w:rPr>
            </w:pPr>
            <w:r>
              <w:rPr>
                <w:b/>
                <w:bCs/>
                <w:sz w:val="18"/>
              </w:rPr>
              <w:t>Ω</w:t>
            </w:r>
          </w:p>
        </w:tc>
        <w:tc>
          <w:tcPr>
            <w:tcW w:w="4926" w:type="dxa"/>
            <w:tcBorders/>
            <w:vAlign w:val="top"/>
          </w:tcPr>
          <w:p>
            <w:pPr>
              <w:pStyle w:val="Normal"/>
              <w:widowControl/>
              <w:bidi w:val="0"/>
              <w:spacing w:lineRule="auto" w:line="240" w:before="0" w:after="40"/>
              <w:jc w:val="start"/>
              <w:rPr/>
            </w:pPr>
            <w:r>
              <w:rPr>
                <w:sz w:val="18"/>
              </w:rPr>
              <w:t>Unchanged: metalinguistic unresolved possibility; no constructor consumes or represents it.</w:t>
            </w:r>
          </w:p>
        </w:tc>
        <w:tc>
          <w:tcPr>
            <w:tcW w:w="3326" w:type="dxa"/>
            <w:tcBorders/>
            <w:vAlign w:val="top"/>
          </w:tcPr>
          <w:p>
            <w:pPr>
              <w:pStyle w:val="Normal"/>
              <w:widowControl/>
              <w:bidi w:val="0"/>
              <w:spacing w:lineRule="auto" w:line="240" w:before="0" w:after="40"/>
              <w:jc w:val="start"/>
              <w:rPr/>
            </w:pPr>
            <w:r>
              <w:rPr>
                <w:sz w:val="18"/>
              </w:rPr>
              <w:t>No source object, infinity object, or semantic surrogate.</w:t>
            </w:r>
          </w:p>
        </w:tc>
      </w:tr>
      <w:tr>
        <w:trPr/>
        <w:tc>
          <w:tcPr>
            <w:tcW w:w="1108" w:type="dxa"/>
            <w:tcBorders/>
            <w:vAlign w:val="top"/>
            <w:shd w:fill="F7F9FB"/>
          </w:tcPr>
          <w:p>
            <w:pPr>
              <w:pStyle w:val="Normal"/>
              <w:spacing w:before="0" w:after="40" w:line="240" w:lineRule="auto"/>
              <w:rPr>
                <w:b/>
                <w:bCs/>
              </w:rPr>
            </w:pPr>
            <w:r>
              <w:rPr>
                <w:b/>
                <w:bCs/>
                <w:sz w:val="18"/>
              </w:rPr>
              <w:t>A0</w:t>
            </w:r>
          </w:p>
        </w:tc>
        <w:tc>
          <w:tcPr>
            <w:tcW w:w="4926" w:type="dxa"/>
            <w:tcBorders/>
            <w:vAlign w:val="top"/>
            <w:shd w:fill="F7F9FB"/>
          </w:tcPr>
          <w:p>
            <w:pPr>
              <w:pStyle w:val="Normal"/>
              <w:widowControl/>
              <w:bidi w:val="0"/>
              <w:spacing w:lineRule="auto" w:line="240" w:before="0" w:after="40"/>
              <w:jc w:val="start"/>
              <w:rPr/>
            </w:pPr>
            <w:r>
              <w:rPr>
                <w:sz w:val="18"/>
              </w:rPr>
              <w:t>First admitted supplied cut only within a declared account; typed CutReceipt; no occurrence receipt by itself.</w:t>
            </w:r>
          </w:p>
        </w:tc>
        <w:tc>
          <w:tcPr>
            <w:tcW w:w="3326" w:type="dxa"/>
            <w:tcBorders/>
            <w:vAlign w:val="top"/>
            <w:shd w:fill="F7F9FB"/>
          </w:tcPr>
          <w:p>
            <w:pPr>
              <w:pStyle w:val="Normal"/>
              <w:widowControl/>
              <w:bidi w:val="0"/>
              <w:spacing w:lineRule="auto" w:line="240" w:before="0" w:after="40"/>
              <w:jc w:val="start"/>
              <w:rPr/>
            </w:pPr>
            <w:r>
              <w:rPr>
                <w:sz w:val="18"/>
              </w:rPr>
              <w:t>Do not promote account order to temporal, ontic, causal, or global primacy.</w:t>
            </w:r>
          </w:p>
        </w:tc>
      </w:tr>
      <w:tr>
        <w:trPr/>
        <w:tc>
          <w:tcPr>
            <w:tcW w:w="1108" w:type="dxa"/>
            <w:tcBorders/>
            <w:vAlign w:val="top"/>
          </w:tcPr>
          <w:p>
            <w:pPr>
              <w:pStyle w:val="Normal"/>
              <w:spacing w:before="0" w:after="40" w:line="240" w:lineRule="auto"/>
              <w:rPr>
                <w:b/>
                <w:bCs/>
              </w:rPr>
            </w:pPr>
            <w:r>
              <w:rPr>
                <w:b/>
                <w:bCs/>
                <w:sz w:val="18"/>
              </w:rPr>
              <w:t>A1/A2/A15</w:t>
            </w:r>
          </w:p>
        </w:tc>
        <w:tc>
          <w:tcPr>
            <w:tcW w:w="4926" w:type="dxa"/>
            <w:tcBorders/>
            <w:vAlign w:val="top"/>
          </w:tcPr>
          <w:p>
            <w:pPr>
              <w:pStyle w:val="Normal"/>
              <w:widowControl/>
              <w:bidi w:val="0"/>
              <w:spacing w:lineRule="auto" w:line="240" w:before="0" w:after="40"/>
              <w:jc w:val="start"/>
              <w:rPr/>
            </w:pPr>
            <w:r>
              <w:rPr>
                <w:sz w:val="18"/>
              </w:rPr>
              <w:t>Readable oriented distinction → recoverable occurrence trace → scoped status under a complete A15 receipt.</w:t>
            </w:r>
          </w:p>
        </w:tc>
        <w:tc>
          <w:tcPr>
            <w:tcW w:w="3326" w:type="dxa"/>
            <w:tcBorders/>
            <w:vAlign w:val="top"/>
          </w:tcPr>
          <w:p>
            <w:pPr>
              <w:pStyle w:val="Normal"/>
              <w:widowControl/>
              <w:bidi w:val="0"/>
              <w:spacing w:lineRule="auto" w:line="240" w:before="0" w:after="40"/>
              <w:jc w:val="start"/>
              <w:rPr/>
            </w:pPr>
            <w:r>
              <w:rPr>
                <w:sz w:val="18"/>
              </w:rPr>
              <w:t>A2 evidence alone does not emit CLOSED_IN_SCOPE.</w:t>
            </w:r>
          </w:p>
        </w:tc>
      </w:tr>
      <w:tr>
        <w:trPr/>
        <w:tc>
          <w:tcPr>
            <w:tcW w:w="1108" w:type="dxa"/>
            <w:tcBorders/>
            <w:vAlign w:val="top"/>
            <w:shd w:fill="F7F9FB"/>
          </w:tcPr>
          <w:p>
            <w:pPr>
              <w:pStyle w:val="Normal"/>
              <w:spacing w:before="0" w:after="40" w:line="240" w:lineRule="auto"/>
              <w:rPr>
                <w:b/>
                <w:bCs/>
              </w:rPr>
            </w:pPr>
            <w:r>
              <w:rPr>
                <w:b/>
                <w:bCs/>
                <w:sz w:val="18"/>
              </w:rPr>
              <w:t>Cost</w:t>
            </w:r>
          </w:p>
        </w:tc>
        <w:tc>
          <w:tcPr>
            <w:tcW w:w="4926" w:type="dxa"/>
            <w:tcBorders/>
            <w:vAlign w:val="top"/>
            <w:shd w:fill="F7F9FB"/>
          </w:tcPr>
          <w:p>
            <w:pPr>
              <w:pStyle w:val="Normal"/>
              <w:widowControl/>
              <w:bidi w:val="0"/>
              <w:spacing w:lineRule="auto" w:line="240" w:before="0" w:after="40"/>
              <w:jc w:val="start"/>
              <w:rPr/>
            </w:pPr>
            <w:r>
              <w:rPr>
                <w:sz w:val="18"/>
              </w:rPr>
              <w:t>Admission/accounting datum distinct from witness, source, truth, energy, permission, consent, standing, and authority.</w:t>
            </w:r>
          </w:p>
        </w:tc>
        <w:tc>
          <w:tcPr>
            <w:tcW w:w="3326" w:type="dxa"/>
            <w:tcBorders/>
            <w:vAlign w:val="top"/>
            <w:shd w:fill="F7F9FB"/>
          </w:tcPr>
          <w:p>
            <w:pPr>
              <w:pStyle w:val="Normal"/>
              <w:widowControl/>
              <w:bidi w:val="0"/>
              <w:spacing w:lineRule="auto" w:line="240" w:before="0" w:after="40"/>
              <w:jc w:val="start"/>
              <w:rPr/>
            </w:pPr>
            <w:r>
              <w:rPr>
                <w:sz w:val="18"/>
              </w:rPr>
              <w:t>Any domain bridge states assumptions, units, scope, and ceiling.</w:t>
            </w:r>
          </w:p>
        </w:tc>
      </w:tr>
      <w:tr>
        <w:trPr/>
        <w:tc>
          <w:tcPr>
            <w:tcW w:w="1108" w:type="dxa"/>
            <w:tcBorders/>
            <w:vAlign w:val="top"/>
          </w:tcPr>
          <w:p>
            <w:pPr>
              <w:pStyle w:val="Normal"/>
              <w:spacing w:before="0" w:after="40" w:line="240" w:lineRule="auto"/>
              <w:rPr>
                <w:b/>
                <w:bCs/>
              </w:rPr>
            </w:pPr>
            <w:r>
              <w:rPr>
                <w:b/>
                <w:bCs/>
                <w:sz w:val="18"/>
              </w:rPr>
              <w:t>Source inference</w:t>
            </w:r>
          </w:p>
        </w:tc>
        <w:tc>
          <w:tcPr>
            <w:tcW w:w="4926" w:type="dxa"/>
            <w:tcBorders/>
            <w:vAlign w:val="top"/>
          </w:tcPr>
          <w:p>
            <w:pPr>
              <w:pStyle w:val="Normal"/>
              <w:widowControl/>
              <w:bidi w:val="0"/>
              <w:spacing w:lineRule="auto" w:line="240" w:before="0" w:after="40"/>
              <w:jc w:val="start"/>
              <w:rPr/>
            </w:pPr>
            <w:r>
              <w:rPr>
                <w:sz w:val="18"/>
              </w:rPr>
              <w:t>Equal cut values do not identify upstream sources at a cut-only interface.</w:t>
            </w:r>
          </w:p>
        </w:tc>
        <w:tc>
          <w:tcPr>
            <w:tcW w:w="3326" w:type="dxa"/>
            <w:tcBorders/>
            <w:vAlign w:val="top"/>
          </w:tcPr>
          <w:p>
            <w:pPr>
              <w:pStyle w:val="Normal"/>
              <w:widowControl/>
              <w:bidi w:val="0"/>
              <w:spacing w:lineRule="auto" w:line="240" w:before="0" w:after="40"/>
              <w:jc w:val="start"/>
              <w:rPr/>
            </w:pPr>
            <w:r>
              <w:rPr>
                <w:sz w:val="18"/>
              </w:rPr>
              <w:t>Unique-source claims require injectivity or a supplied discriminating witness.</w:t>
            </w:r>
          </w:p>
        </w:tc>
      </w:tr>
      <w:tr>
        <w:trPr/>
        <w:tc>
          <w:tcPr>
            <w:tcW w:w="1108" w:type="dxa"/>
            <w:tcBorders/>
            <w:vAlign w:val="top"/>
            <w:shd w:fill="F7F9FB"/>
          </w:tcPr>
          <w:p>
            <w:pPr>
              <w:pStyle w:val="Normal"/>
              <w:spacing w:before="0" w:after="40" w:line="240" w:lineRule="auto"/>
              <w:rPr>
                <w:b/>
                <w:bCs/>
              </w:rPr>
            </w:pPr>
            <w:r>
              <w:rPr>
                <w:b/>
                <w:bCs/>
                <w:sz w:val="18"/>
              </w:rPr>
              <w:t>Inquiry</w:t>
            </w:r>
          </w:p>
        </w:tc>
        <w:tc>
          <w:tcPr>
            <w:tcW w:w="4926" w:type="dxa"/>
            <w:tcBorders/>
            <w:vAlign w:val="top"/>
            <w:shd w:fill="F7F9FB"/>
          </w:tcPr>
          <w:p>
            <w:pPr>
              <w:pStyle w:val="Normal"/>
              <w:widowControl/>
              <w:bidi w:val="0"/>
              <w:spacing w:lineRule="auto" w:line="240" w:before="0" w:after="40"/>
              <w:jc w:val="start"/>
              <w:rPr/>
            </w:pPr>
            <w:r>
              <w:rPr>
                <w:sz w:val="18"/>
              </w:rPr>
              <w:t>A further source inquiry needs its own supplied witness, cost, receipt, and parent link.</w:t>
            </w:r>
          </w:p>
        </w:tc>
        <w:tc>
          <w:tcPr>
            <w:tcW w:w="3326" w:type="dxa"/>
            <w:tcBorders/>
            <w:vAlign w:val="top"/>
            <w:shd w:fill="F7F9FB"/>
          </w:tcPr>
          <w:p>
            <w:pPr>
              <w:pStyle w:val="Normal"/>
              <w:widowControl/>
              <w:bidi w:val="0"/>
              <w:spacing w:lineRule="auto" w:line="240" w:before="0" w:after="40"/>
              <w:jc w:val="start"/>
              <w:rPr/>
            </w:pPr>
            <w:r>
              <w:rPr>
                <w:sz w:val="18"/>
              </w:rPr>
              <w:t>No self-certification, original-source witness, or infinite-ontology inference.</w:t>
            </w:r>
          </w:p>
        </w:tc>
      </w:tr>
      <w:tr>
        <w:trPr/>
        <w:tc>
          <w:tcPr>
            <w:tcW w:w="1108" w:type="dxa"/>
            <w:tcBorders/>
            <w:vAlign w:val="top"/>
          </w:tcPr>
          <w:p>
            <w:pPr>
              <w:pStyle w:val="Normal"/>
              <w:spacing w:before="0" w:after="40" w:line="240" w:lineRule="auto"/>
              <w:rPr>
                <w:b/>
                <w:bCs/>
              </w:rPr>
            </w:pPr>
            <w:r>
              <w:rPr>
                <w:b/>
                <w:bCs/>
                <w:sz w:val="18"/>
              </w:rPr>
              <w:t>Recovery/reopening</w:t>
            </w:r>
          </w:p>
        </w:tc>
        <w:tc>
          <w:tcPr>
            <w:tcW w:w="4926" w:type="dxa"/>
            <w:tcBorders/>
            <w:vAlign w:val="top"/>
          </w:tcPr>
          <w:p>
            <w:pPr>
              <w:pStyle w:val="Normal"/>
              <w:widowControl/>
              <w:bidi w:val="0"/>
              <w:spacing w:lineRule="auto" w:line="240" w:before="0" w:after="40"/>
              <w:jc w:val="start"/>
              <w:rPr/>
            </w:pPr>
            <w:r>
              <w:rPr>
                <w:sz w:val="18"/>
              </w:rPr>
              <w:t>Append a linked later record; preserve earlier receipt, cost, witness basis, and authority snapshot exactly.</w:t>
            </w:r>
          </w:p>
        </w:tc>
        <w:tc>
          <w:tcPr>
            <w:tcW w:w="3326" w:type="dxa"/>
            <w:tcBorders/>
            <w:vAlign w:val="top"/>
          </w:tcPr>
          <w:p>
            <w:pPr>
              <w:pStyle w:val="Normal"/>
              <w:widowControl/>
              <w:bidi w:val="0"/>
              <w:spacing w:lineRule="auto" w:line="240" w:before="0" w:after="40"/>
              <w:jc w:val="start"/>
              <w:rPr/>
            </w:pPr>
            <w:r>
              <w:rPr>
                <w:sz w:val="18"/>
              </w:rPr>
              <w:t>Never backdate or mutate the prior receipt.</w:t>
            </w:r>
          </w:p>
        </w:tc>
      </w:tr>
      <w:tr>
        <w:trPr/>
        <w:tc>
          <w:tcPr>
            <w:tcW w:w="1108" w:type="dxa"/>
            <w:tcBorders/>
            <w:vAlign w:val="top"/>
            <w:shd w:fill="F7F9FB"/>
          </w:tcPr>
          <w:p>
            <w:pPr>
              <w:pStyle w:val="Normal"/>
              <w:spacing w:before="0" w:after="40" w:line="240" w:lineRule="auto"/>
              <w:rPr>
                <w:b/>
                <w:bCs/>
              </w:rPr>
            </w:pPr>
            <w:r>
              <w:rPr>
                <w:b/>
                <w:bCs/>
                <w:sz w:val="18"/>
              </w:rPr>
              <w:t>D-FIRST-OCCURRENCE</w:t>
            </w:r>
          </w:p>
        </w:tc>
        <w:tc>
          <w:tcPr>
            <w:tcW w:w="4926" w:type="dxa"/>
            <w:tcBorders/>
            <w:vAlign w:val="top"/>
            <w:shd w:fill="F7F9FB"/>
          </w:tcPr>
          <w:p>
            <w:pPr>
              <w:pStyle w:val="Normal"/>
              <w:widowControl/>
              <w:bidi w:val="0"/>
              <w:spacing w:lineRule="auto" w:line="240" w:before="0" w:after="40"/>
              <w:jc w:val="start"/>
              <w:rPr/>
            </w:pPr>
            <w:r>
              <w:rPr>
                <w:sz w:val="18"/>
              </w:rPr>
              <w:t>O04 and O25 remain separate interfaces to one OPEN debt.</w:t>
            </w:r>
          </w:p>
        </w:tc>
        <w:tc>
          <w:tcPr>
            <w:tcW w:w="3326" w:type="dxa"/>
            <w:tcBorders/>
            <w:vAlign w:val="top"/>
            <w:shd w:fill="F7F9FB"/>
          </w:tcPr>
          <w:p>
            <w:pPr>
              <w:pStyle w:val="Normal"/>
              <w:widowControl/>
              <w:bidi w:val="0"/>
              <w:spacing w:lineRule="auto" w:line="240" w:before="0" w:after="40"/>
              <w:jc w:val="start"/>
              <w:rPr/>
            </w:pPr>
            <w:r>
              <w:rPr>
                <w:sz w:val="18"/>
              </w:rPr>
              <w:t>A local admission or occurrence receipt closes neither interface.</w:t>
            </w:r>
          </w:p>
        </w:tc>
      </w:tr>
      <w:tr>
        <w:trPr/>
        <w:tc>
          <w:tcPr>
            <w:tcW w:w="1108" w:type="dxa"/>
            <w:tcBorders/>
            <w:vAlign w:val="top"/>
          </w:tcPr>
          <w:p>
            <w:pPr>
              <w:pStyle w:val="Normal"/>
              <w:spacing w:before="0" w:after="40" w:line="240" w:lineRule="auto"/>
              <w:rPr>
                <w:b/>
                <w:bCs/>
              </w:rPr>
            </w:pPr>
            <w:r>
              <w:rPr>
                <w:b/>
                <w:bCs/>
                <w:sz w:val="18"/>
              </w:rPr>
              <w:t>Explanatory shorthand</w:t>
            </w:r>
          </w:p>
        </w:tc>
        <w:tc>
          <w:tcPr>
            <w:tcW w:w="4926" w:type="dxa"/>
            <w:tcBorders/>
            <w:vAlign w:val="top"/>
          </w:tcPr>
          <w:p>
            <w:pPr>
              <w:pStyle w:val="Normal"/>
              <w:widowControl/>
              <w:bidi w:val="0"/>
              <w:spacing w:lineRule="auto" w:line="240" w:before="0" w:after="40"/>
              <w:jc w:val="start"/>
              <w:rPr/>
            </w:pPr>
            <w:r>
              <w:rPr>
                <w:sz w:val="18"/>
              </w:rPr>
              <w:t>“</w:t>
            </w:r>
            <w:r>
              <w:rPr>
                <w:sz w:val="18"/>
              </w:rPr>
              <w:t>Occurrence-closed, source-open” remains prose only.</w:t>
            </w:r>
          </w:p>
        </w:tc>
        <w:tc>
          <w:tcPr>
            <w:tcW w:w="3326" w:type="dxa"/>
            <w:tcBorders/>
            <w:vAlign w:val="top"/>
          </w:tcPr>
          <w:p>
            <w:pPr>
              <w:pStyle w:val="Normal"/>
              <w:widowControl/>
              <w:bidi w:val="0"/>
              <w:spacing w:lineRule="auto" w:line="240" w:before="0" w:after="40"/>
              <w:jc w:val="start"/>
              <w:rPr/>
            </w:pPr>
            <w:r>
              <w:rPr>
                <w:sz w:val="18"/>
              </w:rPr>
              <w:t>Not a primitive, layer, or fifth claim status.</w:t>
            </w:r>
          </w:p>
        </w:tc>
      </w:tr>
      <w:tr>
        <w:trPr/>
        <w:tc>
          <w:tcPr>
            <w:tcW w:w="1108" w:type="dxa"/>
            <w:tcBorders/>
            <w:vAlign w:val="top"/>
            <w:shd w:fill="F7F9FB"/>
          </w:tcPr>
          <w:p>
            <w:pPr>
              <w:pStyle w:val="Normal"/>
              <w:spacing w:before="0" w:after="40" w:line="240" w:lineRule="auto"/>
              <w:rPr>
                <w:b/>
                <w:bCs/>
              </w:rPr>
            </w:pPr>
            <w:r>
              <w:rPr>
                <w:b/>
                <w:bCs/>
                <w:sz w:val="18"/>
              </w:rPr>
              <w:t>Audit provenance</w:t>
            </w:r>
          </w:p>
        </w:tc>
        <w:tc>
          <w:tcPr>
            <w:tcW w:w="4926" w:type="dxa"/>
            <w:tcBorders/>
            <w:vAlign w:val="top"/>
            <w:shd w:fill="F7F9FB"/>
          </w:tcPr>
          <w:p>
            <w:pPr>
              <w:pStyle w:val="Normal"/>
              <w:widowControl/>
              <w:bidi w:val="0"/>
              <w:spacing w:lineRule="auto" w:line="240" w:before="0" w:after="40"/>
              <w:jc w:val="start"/>
              <w:rPr/>
            </w:pPr>
            <w:r>
              <w:rPr>
                <w:sz w:val="18"/>
              </w:rPr>
              <w:t>Each result remains tied to exact source bytes, tool versions, assumptions, commits, and authority class.</w:t>
            </w:r>
          </w:p>
        </w:tc>
        <w:tc>
          <w:tcPr>
            <w:tcW w:w="3326" w:type="dxa"/>
            <w:tcBorders/>
            <w:vAlign w:val="top"/>
            <w:shd w:fill="F7F9FB"/>
          </w:tcPr>
          <w:p>
            <w:pPr>
              <w:pStyle w:val="Normal"/>
              <w:widowControl/>
              <w:bidi w:val="0"/>
              <w:spacing w:lineRule="auto" w:line="240" w:before="0" w:after="40"/>
              <w:jc w:val="start"/>
              <w:rPr/>
            </w:pPr>
            <w:r>
              <w:rPr>
                <w:sz w:val="18"/>
              </w:rPr>
              <w:t>Old audits retain their original controlling release and result identity.</w:t>
            </w:r>
          </w:p>
        </w:tc>
      </w:tr>
    </w:tbl>
    <w:p>
      <w:pPr>
        <w:pStyle w:val="Heading2"/>
        <w:keepNext/>
        <w:keepLines/>
        <w:rPr/>
      </w:pPr>
      <w:bookmarkStart w:id="32" w:name="pal-v2.0-v2.1-upgrade-procedure"/>
      <w:r>
        <w:rPr/>
        <w:t>PAL v2.0 → v2.1 upgrade procedure</w:t>
      </w:r>
      <w:bookmarkEnd w:id="32"/>
    </w:p>
    <w:p>
      <w:pPr>
        <w:pStyle w:val="BodyText"/>
        <w:keepNext/>
        <w:keepLines/>
        <w:numPr>
          <w:ilvl w:val="0"/>
          <w:numId w:val="11"/>
        </w:numPr>
        <w:rPr/>
      </w:pPr>
      <w:r>
        <w:rPr/>
        <w:t>Freeze and hash the v2.0 artifact and retain its DOI and audit receipts.</w:t>
      </w:r>
    </w:p>
    <w:p>
      <w:pPr>
        <w:pStyle w:val="BodyText"/>
        <w:numPr>
          <w:ilvl w:val="0"/>
          <w:numId w:val="11"/>
        </w:numPr>
        <w:rPr/>
      </w:pPr>
      <w:r>
        <w:rPr/>
        <w:t>Add SC-19 and align A0, A1, A2, A15, L01, L04, L05, and L08 without changing the layer order.</w:t>
      </w:r>
    </w:p>
    <w:p>
      <w:pPr>
        <w:pStyle w:val="BodyText"/>
        <w:numPr>
          <w:ilvl w:val="0"/>
          <w:numId w:val="11"/>
        </w:numPr>
        <w:rPr/>
      </w:pPr>
      <w:r>
        <w:rPr/>
        <w:t>Coordinate the four Atlas realizations, D16-D23, T33-T40, and this migration map.</w:t>
      </w:r>
    </w:p>
    <w:p>
      <w:pPr>
        <w:pStyle w:val="BodyText"/>
        <w:numPr>
          <w:ilvl w:val="0"/>
          <w:numId w:val="11"/>
        </w:numPr>
        <w:rPr/>
      </w:pPr>
      <w:r>
        <w:rPr/>
        <w:t>Replay T01-T32, execute T33-T40, and preserve every OPEN or UNRESOLVED receipt honestly.</w:t>
      </w:r>
    </w:p>
    <w:p>
      <w:pPr>
        <w:pStyle w:val="BodyText"/>
        <w:numPr>
          <w:ilvl w:val="0"/>
          <w:numId w:val="11"/>
        </w:numPr>
        <w:rPr/>
      </w:pPr>
      <w:r>
        <w:rPr/>
        <w:t>Keep O04 and O25 OPEN under D-FIRST-OCCURRENCE and preserve the distinction between human adoption and formal-audit evidence.</w:t>
      </w:r>
    </w:p>
    <w:p>
      <w:pPr>
        <w:pStyle w:val="BodyText"/>
        <w:numPr>
          <w:ilvl w:val="0"/>
          <w:numId w:val="11"/>
        </w:numPr>
        <w:rPr/>
      </w:pPr>
      <w:r>
        <w:rPr/>
        <w:t>Classify downstream artifacts before editing them; do not create version changes solely for citation freshness.</w:t>
      </w:r>
    </w:p>
    <w:p>
      <w:pPr>
        <w:pStyle w:val="BodyText"/>
        <w:numPr>
          <w:ilvl w:val="0"/>
          <w:numId w:val="11"/>
        </w:numPr>
        <w:rPr/>
      </w:pPr>
      <w:r>
        <w:rPr/>
        <w:t>Publish v2.1 as a new linked record under its reserved DOI rather than overwriting v2.0.</w:t>
      </w:r>
    </w:p>
    <w:p>
      <w:pPr>
        <w:pStyle w:val="Normal"/>
        <w:rPr/>
      </w:pPr>
      <w:r>
        <w:rPr/>
        <w:t>Immediate prior release: PAL v2.0, DOI 10.5281/zenodo.21754097. PAL v2.1 DOI: 10.5281/zenodo.21864767.</w:t>
      </w:r>
    </w:p>
    <w:p>
      <w:pPr>
        <w:pStyle w:val="Heading1"/>
        <w:keepNext/>
        <w:keepLines/>
        <w:rPr/>
      </w:pPr>
      <w:bookmarkStart w:id="33" w:name="pal-v2.1-to-v2.2-migration"/>
      <w:r>
        <w:rPr/>
        <w:t>9. PAL v2.1 to v2.2 migration</w:t>
      </w:r>
      <w:bookmarkEnd w:id="33"/>
    </w:p>
    <w:p>
      <w:pPr>
        <w:pStyle w:val="Normal"/>
        <w:keepNext/>
        <w:keepLines/>
        <w:rPr/>
      </w:pPr>
      <w:r>
        <w:rPr/>
        <w:t>PAL v2.2 is a coordinated schema and lineage revision. It preserves Ω, A0, Ω*, θ, A1-A15, D-FIRST-OCCURRENCE, O01-O51, and the four-status grammar. It adds no primitive and does not rewrite v2.1 evidence.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936"/>
        <w:gridCol w:w="7450"/>
        <w:gridCol w:w="974"/>
      </w:tblGrid>
      <w:tr>
        <w:trPr>
          <w:tblHeader w:val="true"/>
        </w:trPr>
        <w:tc>
          <w:tcPr>
            <w:tcW w:w="936" w:type="dxa"/>
            <w:tcBorders/>
            <w:vAlign w:val="top"/>
            <w:shd w:fill="DCE6F1"/>
          </w:tcPr>
          <w:p>
            <w:pPr>
              <w:pStyle w:val="Normal"/>
              <w:spacing w:before="0" w:after="40" w:line="240" w:lineRule="auto"/>
              <w:rPr>
                <w:b/>
                <w:bCs/>
              </w:rPr>
            </w:pPr>
            <w:r>
              <w:rPr>
                <w:b/>
                <w:bCs/>
                <w:color w:val="1F4D78"/>
                <w:sz w:val="18"/>
              </w:rPr>
              <w:t>v2.1 surface</w:t>
            </w:r>
          </w:p>
        </w:tc>
        <w:tc>
          <w:tcPr>
            <w:tcW w:w="7450" w:type="dxa"/>
            <w:tcBorders/>
            <w:vAlign w:val="top"/>
            <w:shd w:fill="DCE6F1"/>
          </w:tcPr>
          <w:p>
            <w:pPr>
              <w:pStyle w:val="Normal"/>
              <w:spacing w:before="0" w:after="40" w:line="240" w:lineRule="auto"/>
              <w:rPr>
                <w:b/>
                <w:bCs/>
              </w:rPr>
            </w:pPr>
            <w:r>
              <w:rPr>
                <w:b/>
                <w:bCs/>
                <w:color w:val="1F4D78"/>
                <w:sz w:val="18"/>
              </w:rPr>
              <w:t>v2.2 disposition</w:t>
            </w:r>
          </w:p>
        </w:tc>
        <w:tc>
          <w:tcPr>
            <w:tcW w:w="974" w:type="dxa"/>
            <w:tcBorders/>
            <w:vAlign w:val="top"/>
            <w:shd w:fill="DCE6F1"/>
          </w:tcPr>
          <w:p>
            <w:pPr>
              <w:pStyle w:val="Normal"/>
              <w:spacing w:before="0" w:after="40" w:line="240" w:lineRule="auto"/>
              <w:rPr>
                <w:b/>
                <w:bCs/>
              </w:rPr>
            </w:pPr>
            <w:r>
              <w:rPr>
                <w:b/>
                <w:bCs/>
                <w:color w:val="1F4D78"/>
                <w:sz w:val="18"/>
              </w:rPr>
              <w:t>Required receipt</w:t>
            </w:r>
          </w:p>
        </w:tc>
      </w:tr>
      <w:tr>
        <w:trPr/>
        <w:tc>
          <w:tcPr>
            <w:tcW w:w="936" w:type="dxa"/>
            <w:tcBorders/>
            <w:vAlign w:val="top"/>
          </w:tcPr>
          <w:p>
            <w:pPr>
              <w:pStyle w:val="Normal"/>
              <w:widowControl/>
              <w:bidi w:val="0"/>
              <w:spacing w:lineRule="auto" w:line="240" w:before="0" w:after="40"/>
              <w:jc w:val="start"/>
              <w:rPr/>
            </w:pPr>
            <w:r>
              <w:rPr>
                <w:sz w:val="18"/>
              </w:rPr>
              <w:t>Account opening</w:t>
            </w:r>
          </w:p>
        </w:tc>
        <w:tc>
          <w:tcPr>
            <w:tcW w:w="7450" w:type="dxa"/>
            <w:tcBorders/>
            <w:vAlign w:val="top"/>
          </w:tcPr>
          <w:p>
            <w:pPr>
              <w:pStyle w:val="Normal"/>
              <w:widowControl/>
              <w:bidi w:val="0"/>
              <w:spacing w:lineRule="auto" w:line="240" w:before="0" w:after="40"/>
              <w:jc w:val="start"/>
              <w:rPr/>
            </w:pPr>
            <w:r>
              <w:rPr>
                <w:sz w:val="18"/>
              </w:rPr>
              <w:t>AccountHeader is metadata, not the cut. ROOT/CHILD/SUCCESSOR open atomically with their own supplied A0 CutReceipt.</w:t>
            </w:r>
          </w:p>
        </w:tc>
        <w:tc>
          <w:tcPr>
            <w:tcW w:w="974" w:type="dxa"/>
            <w:tcBorders/>
            <w:vAlign w:val="top"/>
          </w:tcPr>
          <w:p>
            <w:pPr>
              <w:pStyle w:val="Normal"/>
              <w:widowControl/>
              <w:bidi w:val="0"/>
              <w:spacing w:lineRule="auto" w:line="240" w:before="0" w:after="40"/>
              <w:jc w:val="start"/>
              <w:rPr/>
            </w:pPr>
            <w:r>
              <w:rPr>
                <w:sz w:val="18"/>
              </w:rPr>
              <w:t>D24; SC-20; T41</w:t>
            </w:r>
          </w:p>
        </w:tc>
      </w:tr>
      <w:tr>
        <w:trPr/>
        <w:tc>
          <w:tcPr>
            <w:tcW w:w="936" w:type="dxa"/>
            <w:tcBorders/>
            <w:vAlign w:val="top"/>
            <w:shd w:fill="F7F9FB"/>
          </w:tcPr>
          <w:p>
            <w:pPr>
              <w:pStyle w:val="Normal"/>
              <w:widowControl/>
              <w:bidi w:val="0"/>
              <w:spacing w:lineRule="auto" w:line="240" w:before="0" w:after="40"/>
              <w:jc w:val="start"/>
              <w:rPr/>
            </w:pPr>
            <w:r>
              <w:rPr>
                <w:sz w:val="18"/>
              </w:rPr>
              <w:t>Further cuts</w:t>
            </w:r>
          </w:p>
        </w:tc>
        <w:tc>
          <w:tcPr>
            <w:tcW w:w="7450" w:type="dxa"/>
            <w:tcBorders/>
            <w:vAlign w:val="top"/>
            <w:shd w:fill="F7F9FB"/>
          </w:tcPr>
          <w:p>
            <w:pPr>
              <w:pStyle w:val="Normal"/>
              <w:widowControl/>
              <w:bidi w:val="0"/>
              <w:spacing w:lineRule="auto" w:line="240" w:before="0" w:after="40"/>
              <w:jc w:val="start"/>
              <w:rPr/>
            </w:pPr>
            <w:r>
              <w:rPr>
                <w:sz w:val="18"/>
              </w:rPr>
              <w:t>A detail cut APPENDs inside the same account unless it opens an explicitly CHILD or SUCCESSOR account. It still owes its witness and admission obligation.</w:t>
            </w:r>
          </w:p>
        </w:tc>
        <w:tc>
          <w:tcPr>
            <w:tcW w:w="974" w:type="dxa"/>
            <w:tcBorders/>
            <w:vAlign w:val="top"/>
            <w:shd w:fill="F7F9FB"/>
          </w:tcPr>
          <w:p>
            <w:pPr>
              <w:pStyle w:val="Normal"/>
              <w:widowControl/>
              <w:bidi w:val="0"/>
              <w:spacing w:lineRule="auto" w:line="240" w:before="0" w:after="40"/>
              <w:jc w:val="start"/>
              <w:rPr/>
            </w:pPr>
            <w:r>
              <w:rPr>
                <w:sz w:val="18"/>
              </w:rPr>
              <w:t>D24/D28; T41/T34</w:t>
            </w:r>
          </w:p>
        </w:tc>
      </w:tr>
      <w:tr>
        <w:trPr/>
        <w:tc>
          <w:tcPr>
            <w:tcW w:w="936" w:type="dxa"/>
            <w:tcBorders/>
            <w:vAlign w:val="top"/>
          </w:tcPr>
          <w:p>
            <w:pPr>
              <w:pStyle w:val="Normal"/>
              <w:widowControl/>
              <w:bidi w:val="0"/>
              <w:spacing w:lineRule="auto" w:line="240" w:before="0" w:after="40"/>
              <w:jc w:val="start"/>
              <w:rPr/>
            </w:pPr>
            <w:r>
              <w:rPr>
                <w:sz w:val="18"/>
              </w:rPr>
              <w:t>Version change</w:t>
            </w:r>
          </w:p>
        </w:tc>
        <w:tc>
          <w:tcPr>
            <w:tcW w:w="7450" w:type="dxa"/>
            <w:tcBorders/>
            <w:vAlign w:val="top"/>
          </w:tcPr>
          <w:p>
            <w:pPr>
              <w:pStyle w:val="Normal"/>
              <w:widowControl/>
              <w:bidi w:val="0"/>
              <w:spacing w:lineRule="auto" w:line="240" w:before="0" w:after="40"/>
              <w:jc w:val="start"/>
              <w:rPr/>
            </w:pPr>
            <w:r>
              <w:rPr>
                <w:sz w:val="18"/>
              </w:rPr>
              <w:t>VERSION preserves account ID and origin A0 and records an exact delta from the immediate prior version. A cut-identity change uses SUCCESSOR.</w:t>
            </w:r>
          </w:p>
        </w:tc>
        <w:tc>
          <w:tcPr>
            <w:tcW w:w="974" w:type="dxa"/>
            <w:tcBorders/>
            <w:vAlign w:val="top"/>
          </w:tcPr>
          <w:p>
            <w:pPr>
              <w:pStyle w:val="Normal"/>
              <w:widowControl/>
              <w:bidi w:val="0"/>
              <w:spacing w:lineRule="auto" w:line="240" w:before="0" w:after="40"/>
              <w:jc w:val="start"/>
              <w:rPr/>
            </w:pPr>
            <w:r>
              <w:rPr>
                <w:sz w:val="18"/>
              </w:rPr>
              <w:t>D24; T41</w:t>
            </w:r>
          </w:p>
        </w:tc>
      </w:tr>
      <w:tr>
        <w:trPr/>
        <w:tc>
          <w:tcPr>
            <w:tcW w:w="936" w:type="dxa"/>
            <w:tcBorders/>
            <w:vAlign w:val="top"/>
            <w:shd w:fill="F7F9FB"/>
          </w:tcPr>
          <w:p>
            <w:pPr>
              <w:pStyle w:val="Normal"/>
              <w:widowControl/>
              <w:bidi w:val="0"/>
              <w:spacing w:lineRule="auto" w:line="240" w:before="0" w:after="40"/>
              <w:jc w:val="start"/>
              <w:rPr/>
            </w:pPr>
            <w:r>
              <w:rPr>
                <w:sz w:val="18"/>
              </w:rPr>
              <w:t>Legacy receipts</w:t>
            </w:r>
          </w:p>
        </w:tc>
        <w:tc>
          <w:tcPr>
            <w:tcW w:w="7450" w:type="dxa"/>
            <w:tcBorders/>
            <w:vAlign w:val="top"/>
            <w:shd w:fill="F7F9FB"/>
          </w:tcPr>
          <w:p>
            <w:pPr>
              <w:pStyle w:val="Normal"/>
              <w:widowControl/>
              <w:bidi w:val="0"/>
              <w:spacing w:lineRule="auto" w:line="240" w:before="0" w:after="40"/>
              <w:jc w:val="start"/>
              <w:rPr/>
            </w:pPr>
            <w:r>
              <w:rPr>
                <w:sz w:val="18"/>
              </w:rPr>
              <w:t>Wrap without rewriting. LegacyReceiptRef.wrapper_receipt_id = ReceiptHeader.receipt_id; the wrapper cannot increase historical authority.</w:t>
            </w:r>
          </w:p>
        </w:tc>
        <w:tc>
          <w:tcPr>
            <w:tcW w:w="974" w:type="dxa"/>
            <w:tcBorders/>
            <w:vAlign w:val="top"/>
            <w:shd w:fill="F7F9FB"/>
          </w:tcPr>
          <w:p>
            <w:pPr>
              <w:pStyle w:val="Normal"/>
              <w:widowControl/>
              <w:bidi w:val="0"/>
              <w:spacing w:lineRule="auto" w:line="240" w:before="0" w:after="40"/>
              <w:jc w:val="start"/>
              <w:rPr/>
            </w:pPr>
            <w:r>
              <w:rPr>
                <w:sz w:val="18"/>
              </w:rPr>
              <w:t>D25/D30; T42/T44</w:t>
            </w:r>
          </w:p>
        </w:tc>
      </w:tr>
      <w:tr>
        <w:trPr/>
        <w:tc>
          <w:tcPr>
            <w:tcW w:w="936" w:type="dxa"/>
            <w:tcBorders/>
            <w:vAlign w:val="top"/>
          </w:tcPr>
          <w:p>
            <w:pPr>
              <w:pStyle w:val="Normal"/>
              <w:widowControl/>
              <w:bidi w:val="0"/>
              <w:spacing w:lineRule="auto" w:line="240" w:before="0" w:after="40"/>
              <w:jc w:val="start"/>
              <w:rPr/>
            </w:pPr>
            <w:r>
              <w:rPr>
                <w:sz w:val="18"/>
              </w:rPr>
              <w:t>A15/Test</w:t>
            </w:r>
          </w:p>
        </w:tc>
        <w:tc>
          <w:tcPr>
            <w:tcW w:w="7450" w:type="dxa"/>
            <w:tcBorders/>
            <w:vAlign w:val="top"/>
          </w:tcPr>
          <w:p>
            <w:pPr>
              <w:pStyle w:val="Normal"/>
              <w:widowControl/>
              <w:bidi w:val="0"/>
              <w:spacing w:lineRule="auto" w:line="240" w:before="0" w:after="40"/>
              <w:jc w:val="start"/>
              <w:rPr/>
            </w:pPr>
            <w:r>
              <w:rPr>
                <w:sz w:val="18"/>
              </w:rPr>
              <w:t>TestReceipt is evidence only; a distinct ClosureReceipt alone owns claim status.</w:t>
            </w:r>
          </w:p>
        </w:tc>
        <w:tc>
          <w:tcPr>
            <w:tcW w:w="974" w:type="dxa"/>
            <w:tcBorders/>
            <w:vAlign w:val="top"/>
          </w:tcPr>
          <w:p>
            <w:pPr>
              <w:pStyle w:val="Normal"/>
              <w:widowControl/>
              <w:bidi w:val="0"/>
              <w:spacing w:lineRule="auto" w:line="240" w:before="0" w:after="40"/>
              <w:jc w:val="start"/>
              <w:rPr/>
            </w:pPr>
            <w:r>
              <w:rPr>
                <w:sz w:val="18"/>
              </w:rPr>
              <w:t>D26/D27; T21/T43</w:t>
            </w:r>
          </w:p>
        </w:tc>
      </w:tr>
      <w:tr>
        <w:trPr/>
        <w:tc>
          <w:tcPr>
            <w:tcW w:w="936" w:type="dxa"/>
            <w:tcBorders/>
            <w:vAlign w:val="top"/>
            <w:shd w:fill="F7F9FB"/>
          </w:tcPr>
          <w:p>
            <w:pPr>
              <w:pStyle w:val="Normal"/>
              <w:widowControl/>
              <w:bidi w:val="0"/>
              <w:spacing w:lineRule="auto" w:line="240" w:before="0" w:after="40"/>
              <w:jc w:val="start"/>
              <w:rPr/>
            </w:pPr>
            <w:r>
              <w:rPr>
                <w:sz w:val="18"/>
              </w:rPr>
              <w:t>Layer cost</w:t>
            </w:r>
          </w:p>
        </w:tc>
        <w:tc>
          <w:tcPr>
            <w:tcW w:w="7450" w:type="dxa"/>
            <w:tcBorders/>
            <w:vAlign w:val="top"/>
            <w:shd w:fill="F7F9FB"/>
          </w:tcPr>
          <w:p>
            <w:pPr>
              <w:pStyle w:val="Normal"/>
              <w:widowControl/>
              <w:bidi w:val="0"/>
              <w:spacing w:lineRule="auto" w:line="240" w:before="0" w:after="40"/>
              <w:jc w:val="start"/>
              <w:rPr/>
            </w:pPr>
            <w:r>
              <w:rPr>
                <w:sz w:val="18"/>
              </w:rPr>
              <w:t>Every A0-A15 card carries a typed admission obligation/cost; Ω uses NOT_APPLICABLE.</w:t>
            </w:r>
          </w:p>
        </w:tc>
        <w:tc>
          <w:tcPr>
            <w:tcW w:w="974" w:type="dxa"/>
            <w:tcBorders/>
            <w:vAlign w:val="top"/>
            <w:shd w:fill="F7F9FB"/>
          </w:tcPr>
          <w:p>
            <w:pPr>
              <w:pStyle w:val="Normal"/>
              <w:widowControl/>
              <w:bidi w:val="0"/>
              <w:spacing w:lineRule="auto" w:line="240" w:before="0" w:after="40"/>
              <w:jc w:val="start"/>
              <w:rPr/>
            </w:pPr>
            <w:r>
              <w:rPr>
                <w:sz w:val="18"/>
              </w:rPr>
              <w:t>D28; T34</w:t>
            </w:r>
          </w:p>
        </w:tc>
      </w:tr>
      <w:tr>
        <w:trPr/>
        <w:tc>
          <w:tcPr>
            <w:tcW w:w="936" w:type="dxa"/>
            <w:tcBorders/>
            <w:vAlign w:val="top"/>
          </w:tcPr>
          <w:p>
            <w:pPr>
              <w:pStyle w:val="Normal"/>
              <w:widowControl/>
              <w:bidi w:val="0"/>
              <w:spacing w:lineRule="auto" w:line="240" w:before="0" w:after="40"/>
              <w:jc w:val="start"/>
              <w:rPr/>
            </w:pPr>
            <w:r>
              <w:rPr>
                <w:sz w:val="18"/>
              </w:rPr>
              <w:t>Residuals</w:t>
            </w:r>
          </w:p>
        </w:tc>
        <w:tc>
          <w:tcPr>
            <w:tcW w:w="7450" w:type="dxa"/>
            <w:tcBorders/>
            <w:vAlign w:val="top"/>
          </w:tcPr>
          <w:p>
            <w:pPr>
              <w:pStyle w:val="Normal"/>
              <w:widowControl/>
              <w:bidi w:val="0"/>
              <w:spacing w:lineRule="auto" w:line="240" w:before="0" w:after="40"/>
              <w:jc w:val="start"/>
              <w:rPr/>
            </w:pPr>
            <w:r>
              <w:rPr>
                <w:sz w:val="18"/>
              </w:rPr>
              <w:t>Stable identity and append-only split/discharge/reopen/supersede lineage.</w:t>
            </w:r>
          </w:p>
        </w:tc>
        <w:tc>
          <w:tcPr>
            <w:tcW w:w="974" w:type="dxa"/>
            <w:tcBorders/>
            <w:vAlign w:val="top"/>
          </w:tcPr>
          <w:p>
            <w:pPr>
              <w:pStyle w:val="Normal"/>
              <w:widowControl/>
              <w:bidi w:val="0"/>
              <w:spacing w:lineRule="auto" w:line="240" w:before="0" w:after="40"/>
              <w:jc w:val="start"/>
              <w:rPr/>
            </w:pPr>
            <w:r>
              <w:rPr>
                <w:sz w:val="18"/>
              </w:rPr>
              <w:t>D29; T44</w:t>
            </w:r>
          </w:p>
        </w:tc>
      </w:tr>
    </w:tbl>
    <w:p>
      <w:pPr>
        <w:pStyle w:val="Normal"/>
        <w:rPr/>
      </w:pPr>
      <w:r>
        <w:rPr/>
        <w:t>Released v2.1 defaults to a native v2.2 SUCCESSOR account. A LegacyReceiptRef preserves provenance but cannot invent the complete prior AccountHeader, origin-A0 identity, or immediate transition required by VERSION. VERSION is allowed only when independent immutable records already establish every invariant.</w:t>
      </w:r>
    </w:p>
    <w:p>
      <w:pPr>
        <w:pStyle w:val="Heading2"/>
        <w:keepNext/>
        <w:keepLines/>
        <w:rPr/>
      </w:pPr>
      <w:bookmarkStart w:id="34" w:name="upgrade-procedure-1"/>
      <w:r>
        <w:rPr/>
        <w:t>Upgrade procedure</w:t>
      </w:r>
      <w:bookmarkEnd w:id="34"/>
    </w:p>
    <w:p>
      <w:pPr>
        <w:pStyle w:val="BodyText"/>
        <w:keepNext/>
        <w:keepLines/>
        <w:numPr>
          <w:ilvl w:val="0"/>
          <w:numId w:val="12"/>
        </w:numPr>
        <w:rPr/>
      </w:pPr>
      <w:r>
        <w:rPr/>
        <w:t>Freeze each v2.1 source and its released DOI; retain its wording and authority.</w:t>
      </w:r>
    </w:p>
    <w:p>
      <w:pPr>
        <w:pStyle w:val="BodyText"/>
        <w:numPr>
          <w:ilvl w:val="0"/>
          <w:numId w:val="12"/>
        </w:numPr>
        <w:rPr/>
      </w:pPr>
      <w:r>
        <w:rPr/>
        <w:t>Create a LegacyReceiptRef for every older record used normatively; citation-only references need no authority migration.</w:t>
      </w:r>
    </w:p>
    <w:p>
      <w:pPr>
        <w:pStyle w:val="BodyText"/>
        <w:numPr>
          <w:ilvl w:val="0"/>
          <w:numId w:val="12"/>
        </w:numPr>
        <w:rPr/>
      </w:pPr>
      <w:r>
        <w:rPr/>
        <w:t>Open the v2.2 native account by SUCCESSOR unless complete VERSION continuity is independently proved.</w:t>
      </w:r>
    </w:p>
    <w:p>
      <w:pPr>
        <w:pStyle w:val="BodyText"/>
        <w:numPr>
          <w:ilvl w:val="0"/>
          <w:numId w:val="12"/>
        </w:numPr>
        <w:rPr/>
      </w:pPr>
      <w:r>
        <w:rPr/>
        <w:t>Install the D25 ReceiptHeader and typed D26 payload schemas without rewriting imported evidence.</w:t>
      </w:r>
    </w:p>
    <w:p>
      <w:pPr>
        <w:pStyle w:val="BodyText"/>
        <w:numPr>
          <w:ilvl w:val="0"/>
          <w:numId w:val="12"/>
        </w:numPr>
        <w:rPr/>
      </w:pPr>
      <w:r>
        <w:rPr/>
        <w:t>Add typed admission obligations to A0-A15, preserve Ω as NOT_APPLICABLE, and retain O01-O51 unchanged.</w:t>
      </w:r>
    </w:p>
    <w:p>
      <w:pPr>
        <w:pStyle w:val="BodyText"/>
        <w:numPr>
          <w:ilvl w:val="0"/>
          <w:numId w:val="12"/>
        </w:numPr>
        <w:rPr/>
      </w:pPr>
      <w:r>
        <w:rPr/>
        <w:t>Separate TestReceipt evidence from any later ClosureReceipt and bind complete A15 invalidation rules.</w:t>
      </w:r>
    </w:p>
    <w:p>
      <w:pPr>
        <w:pStyle w:val="BodyText"/>
        <w:numPr>
          <w:ilvl w:val="0"/>
          <w:numId w:val="12"/>
        </w:numPr>
        <w:rPr/>
      </w:pPr>
      <w:r>
        <w:rPr/>
        <w:t>Run T01-T48 against the frozen v2.2 target, retain contrary evidence, and keep all OPEN boundaries explicit.</w:t>
      </w:r>
    </w:p>
    <w:p>
      <w:pPr>
        <w:pStyle w:val="BodyText"/>
        <w:numPr>
          <w:ilvl w:val="0"/>
          <w:numId w:val="12"/>
        </w:numPr>
        <w:rPr/>
      </w:pPr>
      <w:r>
        <w:rPr/>
        <w:t>Bind the released v2.2 bytes to their public manifest and receipt trail. The predecessor workflow imposes no current v2.3 release condition, and AI output supplies no release authority.</w:t>
      </w:r>
    </w:p>
    <w:p>
      <w:pPr>
        <w:pStyle w:val="BodyText"/>
        <w:numPr>
          <w:ilvl w:val="0"/>
          <w:numId w:val="12"/>
        </w:numPr>
        <w:rPr/>
      </w:pPr>
      <w:r>
        <w:rPr/>
        <w:t>Publish as a new linked record at DOI 10.5281/zenodo.21891598; do not overwrite PAL v2.1 DOI 10.5281/zenodo.21864767.</w:t>
      </w:r>
    </w:p>
    <w:p>
      <w:pPr>
        <w:pStyle w:val="Heading1"/>
        <w:keepNext/>
        <w:keepLines/>
        <w:rPr/>
      </w:pPr>
      <w:bookmarkStart w:id="35" w:name="pal-v2.2-to-v2.3-migration"/>
      <w:r>
        <w:rPr/>
        <w:t>10. PAL v2.2 to v2.3 migration</w:t>
      </w:r>
      <w:bookmarkEnd w:id="35"/>
    </w:p>
    <w:p>
      <w:pPr>
        <w:pStyle w:val="Normal"/>
        <w:keepNext/>
        <w:keepLines/>
        <w:rPr/>
      </w:pPr>
      <w:r>
        <w:rPr/>
        <w:t>The Compatibility Note controls migration claims only. It cannot redefine the spine, enlarge an Atlas theorem, close a ledger debt, or turn a TestReceipt into A15 status. Its role is to preserve prior release meaning, identify the v2.3 disposition of each authority surface, and state what an implementation must do before changing its declared conformance version.</w:t>
      </w:r>
    </w:p>
    <w:p>
      <w:pPr>
        <w:pStyle w:val="Heading2"/>
        <w:keepNext/>
        <w:keepLines/>
        <w:rPr/>
      </w:pPr>
      <w:bookmarkStart w:id="36" w:name="frozen-lineage-and-publication-successio"/>
      <w:r>
        <w:rPr/>
        <w:t>10.1 Frozen lineage and publication succession</w:t>
      </w:r>
      <w:bookmarkEnd w:id="3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340"/>
        <w:gridCol w:w="2340"/>
        <w:gridCol w:w="2340"/>
        <w:gridCol w:w="2340"/>
      </w:tblGrid>
      <w:tr>
        <w:trPr>
          <w:tblHeader w:val="true"/>
        </w:trPr>
        <w:tc>
          <w:tcPr>
            <w:tcW w:w="2340" w:type="dxa"/>
            <w:tcBorders/>
            <w:vAlign w:val="top"/>
            <w:shd w:fill="DCE6F1"/>
          </w:tcPr>
          <w:p>
            <w:pPr>
              <w:pStyle w:val="Normal"/>
              <w:spacing w:before="0" w:after="40" w:line="240" w:lineRule="auto"/>
              <w:rPr>
                <w:b/>
                <w:bCs/>
              </w:rPr>
            </w:pPr>
            <w:r>
              <w:rPr>
                <w:b/>
                <w:bCs/>
                <w:color w:val="1F4D78"/>
                <w:sz w:val="18"/>
              </w:rPr>
              <w:t>Release identity</w:t>
            </w:r>
          </w:p>
        </w:tc>
        <w:tc>
          <w:tcPr>
            <w:tcW w:w="2340" w:type="dxa"/>
            <w:tcBorders/>
            <w:vAlign w:val="top"/>
            <w:shd w:fill="DCE6F1"/>
          </w:tcPr>
          <w:p>
            <w:pPr>
              <w:pStyle w:val="Normal"/>
              <w:spacing w:before="0" w:after="40" w:line="240" w:lineRule="auto"/>
              <w:rPr>
                <w:b/>
                <w:bCs/>
              </w:rPr>
            </w:pPr>
            <w:r>
              <w:rPr>
                <w:b/>
                <w:bCs/>
                <w:color w:val="1F4D78"/>
                <w:sz w:val="18"/>
              </w:rPr>
              <w:t>DOI</w:t>
            </w:r>
          </w:p>
        </w:tc>
        <w:tc>
          <w:tcPr>
            <w:tcW w:w="2340" w:type="dxa"/>
            <w:tcBorders/>
            <w:vAlign w:val="top"/>
            <w:shd w:fill="DCE6F1"/>
          </w:tcPr>
          <w:p>
            <w:pPr>
              <w:pStyle w:val="Normal"/>
              <w:spacing w:before="0" w:after="40" w:line="240" w:lineRule="auto"/>
              <w:rPr>
                <w:b/>
                <w:bCs/>
              </w:rPr>
            </w:pPr>
            <w:r>
              <w:rPr>
                <w:b/>
                <w:bCs/>
                <w:color w:val="1F4D78"/>
                <w:sz w:val="18"/>
              </w:rPr>
              <w:t>Migration role</w:t>
            </w:r>
          </w:p>
        </w:tc>
        <w:tc>
          <w:tcPr>
            <w:tcW w:w="2340" w:type="dxa"/>
            <w:tcBorders/>
            <w:vAlign w:val="top"/>
            <w:shd w:fill="DCE6F1"/>
          </w:tcPr>
          <w:p>
            <w:pPr>
              <w:pStyle w:val="Normal"/>
              <w:spacing w:before="0" w:after="40" w:line="240" w:lineRule="auto"/>
              <w:rPr>
                <w:b/>
                <w:bCs/>
              </w:rPr>
            </w:pPr>
            <w:r>
              <w:rPr>
                <w:b/>
                <w:bCs/>
                <w:color w:val="1F4D78"/>
                <w:sz w:val="18"/>
              </w:rPr>
              <w:t>Authority</w:t>
            </w:r>
          </w:p>
        </w:tc>
      </w:tr>
      <w:tr>
        <w:trPr/>
        <w:tc>
          <w:tcPr>
            <w:tcW w:w="2340" w:type="dxa"/>
            <w:tcBorders/>
            <w:vAlign w:val="top"/>
          </w:tcPr>
          <w:p>
            <w:pPr>
              <w:pStyle w:val="Normal"/>
              <w:widowControl/>
              <w:bidi w:val="0"/>
              <w:spacing w:lineRule="auto" w:line="240" w:before="0" w:after="40"/>
              <w:jc w:val="start"/>
              <w:rPr/>
            </w:pPr>
            <w:r>
              <w:rPr>
                <w:sz w:val="18"/>
              </w:rPr>
              <w:t>PAL v1.6 — Formal Structural Foundation</w:t>
            </w:r>
          </w:p>
        </w:tc>
        <w:tc>
          <w:tcPr>
            <w:tcW w:w="2340" w:type="dxa"/>
            <w:tcBorders/>
            <w:vAlign w:val="top"/>
          </w:tcPr>
          <w:p>
            <w:pPr>
              <w:pStyle w:val="Normal"/>
              <w:widowControl/>
              <w:bidi w:val="0"/>
              <w:spacing w:lineRule="auto" w:line="240" w:before="0" w:after="40"/>
              <w:jc w:val="start"/>
              <w:rPr/>
            </w:pPr>
            <w:r>
              <w:rPr>
                <w:sz w:val="18"/>
              </w:rPr>
              <w:t>10.5281/zenodo.21635188</w:t>
            </w:r>
          </w:p>
        </w:tc>
        <w:tc>
          <w:tcPr>
            <w:tcW w:w="2340" w:type="dxa"/>
            <w:tcBorders/>
            <w:vAlign w:val="top"/>
          </w:tcPr>
          <w:p>
            <w:pPr>
              <w:pStyle w:val="Normal"/>
              <w:widowControl/>
              <w:bidi w:val="0"/>
              <w:spacing w:lineRule="auto" w:line="240" w:before="0" w:after="40"/>
              <w:jc w:val="start"/>
              <w:rPr/>
            </w:pPr>
            <w:r>
              <w:rPr>
                <w:sz w:val="18"/>
              </w:rPr>
              <w:t>Canonical 1.x predecessor for the v1.6→v2.0 address and law maps.</w:t>
            </w:r>
          </w:p>
        </w:tc>
        <w:tc>
          <w:tcPr>
            <w:tcW w:w="2340" w:type="dxa"/>
            <w:tcBorders/>
            <w:vAlign w:val="top"/>
          </w:tcPr>
          <w:p>
            <w:pPr>
              <w:pStyle w:val="Normal"/>
              <w:widowControl/>
              <w:bidi w:val="0"/>
              <w:spacing w:lineRule="auto" w:line="240" w:before="0" w:after="40"/>
              <w:jc w:val="start"/>
              <w:rPr/>
            </w:pPr>
            <w:r>
              <w:rPr>
                <w:sz w:val="18"/>
              </w:rPr>
              <w:t>Historical authority under its released v1.6 scope; no later field or status is inferred into it.</w:t>
            </w:r>
          </w:p>
        </w:tc>
      </w:tr>
      <w:tr>
        <w:trPr/>
        <w:tc>
          <w:tcPr>
            <w:tcW w:w="2340" w:type="dxa"/>
            <w:tcBorders/>
            <w:vAlign w:val="top"/>
            <w:shd w:fill="F7F9FB"/>
          </w:tcPr>
          <w:p>
            <w:pPr>
              <w:pStyle w:val="Normal"/>
              <w:widowControl/>
              <w:bidi w:val="0"/>
              <w:spacing w:lineRule="auto" w:line="240" w:before="0" w:after="40"/>
              <w:jc w:val="start"/>
              <w:rPr/>
            </w:pPr>
            <w:r>
              <w:rPr>
                <w:sz w:val="18"/>
              </w:rPr>
              <w:t>PAL v2.0</w:t>
            </w:r>
          </w:p>
        </w:tc>
        <w:tc>
          <w:tcPr>
            <w:tcW w:w="2340" w:type="dxa"/>
            <w:tcBorders/>
            <w:vAlign w:val="top"/>
            <w:shd w:fill="F7F9FB"/>
          </w:tcPr>
          <w:p>
            <w:pPr>
              <w:pStyle w:val="Normal"/>
              <w:widowControl/>
              <w:bidi w:val="0"/>
              <w:spacing w:lineRule="auto" w:line="240" w:before="0" w:after="40"/>
              <w:jc w:val="start"/>
              <w:rPr/>
            </w:pPr>
            <w:r>
              <w:rPr>
                <w:sz w:val="18"/>
              </w:rPr>
              <w:t>10.5281/zenodo.21754097</w:t>
            </w:r>
          </w:p>
        </w:tc>
        <w:tc>
          <w:tcPr>
            <w:tcW w:w="2340" w:type="dxa"/>
            <w:tcBorders/>
            <w:vAlign w:val="top"/>
            <w:shd w:fill="F7F9FB"/>
          </w:tcPr>
          <w:p>
            <w:pPr>
              <w:pStyle w:val="Normal"/>
              <w:widowControl/>
              <w:bidi w:val="0"/>
              <w:spacing w:lineRule="auto" w:line="240" w:before="0" w:after="40"/>
              <w:jc w:val="start"/>
              <w:rPr/>
            </w:pPr>
            <w:r>
              <w:rPr>
                <w:sz w:val="18"/>
              </w:rPr>
              <w:t>Major mechanical reformalization: A0 identity correction, Ω clarification, Ω* canonical placement, and five-surface architecture.</w:t>
            </w:r>
          </w:p>
        </w:tc>
        <w:tc>
          <w:tcPr>
            <w:tcW w:w="2340" w:type="dxa"/>
            <w:tcBorders/>
            <w:vAlign w:val="top"/>
            <w:shd w:fill="F7F9FB"/>
          </w:tcPr>
          <w:p>
            <w:pPr>
              <w:pStyle w:val="Normal"/>
              <w:widowControl/>
              <w:bidi w:val="0"/>
              <w:spacing w:lineRule="auto" w:line="240" w:before="0" w:after="40"/>
              <w:jc w:val="start"/>
              <w:rPr/>
            </w:pPr>
            <w:r>
              <w:rPr>
                <w:sz w:val="18"/>
              </w:rPr>
              <w:t>Historical authority under its released v2.0 scope.</w:t>
            </w:r>
          </w:p>
        </w:tc>
      </w:tr>
      <w:tr>
        <w:trPr/>
        <w:tc>
          <w:tcPr>
            <w:tcW w:w="2340" w:type="dxa"/>
            <w:tcBorders/>
            <w:vAlign w:val="top"/>
          </w:tcPr>
          <w:p>
            <w:pPr>
              <w:pStyle w:val="Normal"/>
              <w:widowControl/>
              <w:bidi w:val="0"/>
              <w:spacing w:lineRule="auto" w:line="240" w:before="0" w:after="40"/>
              <w:jc w:val="start"/>
              <w:rPr/>
            </w:pPr>
            <w:r>
              <w:rPr>
                <w:sz w:val="18"/>
              </w:rPr>
              <w:t>PAL v2.1</w:t>
            </w:r>
          </w:p>
        </w:tc>
        <w:tc>
          <w:tcPr>
            <w:tcW w:w="2340" w:type="dxa"/>
            <w:tcBorders/>
            <w:vAlign w:val="top"/>
          </w:tcPr>
          <w:p>
            <w:pPr>
              <w:pStyle w:val="Normal"/>
              <w:widowControl/>
              <w:bidi w:val="0"/>
              <w:spacing w:lineRule="auto" w:line="240" w:before="0" w:after="40"/>
              <w:jc w:val="start"/>
              <w:rPr/>
            </w:pPr>
            <w:r>
              <w:rPr>
                <w:sz w:val="18"/>
              </w:rPr>
              <w:t>10.5281/zenodo.21864767</w:t>
            </w:r>
          </w:p>
        </w:tc>
        <w:tc>
          <w:tcPr>
            <w:tcW w:w="2340" w:type="dxa"/>
            <w:tcBorders/>
            <w:vAlign w:val="top"/>
          </w:tcPr>
          <w:p>
            <w:pPr>
              <w:pStyle w:val="Normal"/>
              <w:widowControl/>
              <w:bidi w:val="0"/>
              <w:spacing w:lineRule="auto" w:line="240" w:before="0" w:after="40"/>
              <w:jc w:val="start"/>
              <w:rPr/>
            </w:pPr>
            <w:r>
              <w:rPr>
                <w:sz w:val="18"/>
              </w:rPr>
              <w:t>Focused firstness, occurrence/source, inquiry, recovery, and audit-lineage clarification.</w:t>
            </w:r>
          </w:p>
        </w:tc>
        <w:tc>
          <w:tcPr>
            <w:tcW w:w="2340" w:type="dxa"/>
            <w:tcBorders/>
            <w:vAlign w:val="top"/>
          </w:tcPr>
          <w:p>
            <w:pPr>
              <w:pStyle w:val="Normal"/>
              <w:widowControl/>
              <w:bidi w:val="0"/>
              <w:spacing w:lineRule="auto" w:line="240" w:before="0" w:after="40"/>
              <w:jc w:val="start"/>
              <w:rPr/>
            </w:pPr>
            <w:r>
              <w:rPr>
                <w:sz w:val="18"/>
              </w:rPr>
              <w:t>Historical authority under its released v2.1 scope.</w:t>
            </w:r>
          </w:p>
        </w:tc>
      </w:tr>
      <w:tr>
        <w:trPr/>
        <w:tc>
          <w:tcPr>
            <w:tcW w:w="2340" w:type="dxa"/>
            <w:tcBorders/>
            <w:vAlign w:val="top"/>
            <w:shd w:fill="F7F9FB"/>
          </w:tcPr>
          <w:p>
            <w:pPr>
              <w:pStyle w:val="Normal"/>
              <w:widowControl/>
              <w:bidi w:val="0"/>
              <w:spacing w:lineRule="auto" w:line="240" w:before="0" w:after="40"/>
              <w:jc w:val="start"/>
              <w:rPr/>
            </w:pPr>
            <w:r>
              <w:rPr>
                <w:sz w:val="18"/>
              </w:rPr>
              <w:t>PAL v2.2</w:t>
            </w:r>
          </w:p>
        </w:tc>
        <w:tc>
          <w:tcPr>
            <w:tcW w:w="2340" w:type="dxa"/>
            <w:tcBorders/>
            <w:vAlign w:val="top"/>
            <w:shd w:fill="F7F9FB"/>
          </w:tcPr>
          <w:p>
            <w:pPr>
              <w:pStyle w:val="Normal"/>
              <w:widowControl/>
              <w:bidi w:val="0"/>
              <w:spacing w:lineRule="auto" w:line="240" w:before="0" w:after="40"/>
              <w:jc w:val="start"/>
              <w:rPr/>
            </w:pPr>
            <w:r>
              <w:rPr>
                <w:sz w:val="18"/>
              </w:rPr>
              <w:t>10.5281/zenodo.21891598</w:t>
            </w:r>
          </w:p>
        </w:tc>
        <w:tc>
          <w:tcPr>
            <w:tcW w:w="2340" w:type="dxa"/>
            <w:tcBorders/>
            <w:vAlign w:val="top"/>
            <w:shd w:fill="F7F9FB"/>
          </w:tcPr>
          <w:p>
            <w:pPr>
              <w:pStyle w:val="Normal"/>
              <w:widowControl/>
              <w:bidi w:val="0"/>
              <w:spacing w:lineRule="auto" w:line="240" w:before="0" w:after="40"/>
              <w:jc w:val="start"/>
              <w:rPr/>
            </w:pPr>
            <w:r>
              <w:rPr>
                <w:sz w:val="18"/>
              </w:rPr>
              <w:t>Immediate publication predecessor; account, receipt, legacy-reference, A15/Test, cost, and residual-lineage baseline.</w:t>
            </w:r>
          </w:p>
        </w:tc>
        <w:tc>
          <w:tcPr>
            <w:tcW w:w="2340" w:type="dxa"/>
            <w:tcBorders/>
            <w:vAlign w:val="top"/>
            <w:shd w:fill="F7F9FB"/>
          </w:tcPr>
          <w:p>
            <w:pPr>
              <w:pStyle w:val="Normal"/>
              <w:widowControl/>
              <w:bidi w:val="0"/>
              <w:spacing w:lineRule="auto" w:line="240" w:before="0" w:after="40"/>
              <w:jc w:val="start"/>
              <w:rPr/>
            </w:pPr>
            <w:r>
              <w:rPr>
                <w:sz w:val="18"/>
              </w:rPr>
              <w:t>Frozen predecessor authority under its released scope; exact bytes are identified by its manifest and hashes.</w:t>
            </w:r>
          </w:p>
        </w:tc>
      </w:tr>
      <w:tr>
        <w:trPr/>
        <w:tc>
          <w:tcPr>
            <w:tcW w:w="2340" w:type="dxa"/>
            <w:tcBorders/>
            <w:vAlign w:val="top"/>
          </w:tcPr>
          <w:p>
            <w:pPr>
              <w:pStyle w:val="Normal"/>
              <w:widowControl/>
              <w:bidi w:val="0"/>
              <w:spacing w:lineRule="auto" w:line="240" w:before="0" w:after="40"/>
              <w:jc w:val="start"/>
              <w:rPr/>
            </w:pPr>
            <w:r>
              <w:rPr>
                <w:sz w:val="18"/>
              </w:rPr>
              <w:t>PAL v2.3 — Primitive Axiom Layers</w:t>
            </w:r>
          </w:p>
        </w:tc>
        <w:tc>
          <w:tcPr>
            <w:tcW w:w="2340" w:type="dxa"/>
            <w:tcBorders/>
            <w:vAlign w:val="top"/>
          </w:tcPr>
          <w:p>
            <w:pPr>
              <w:pStyle w:val="Normal"/>
              <w:widowControl/>
              <w:bidi w:val="0"/>
              <w:spacing w:lineRule="auto" w:line="240" w:before="0" w:after="40"/>
              <w:jc w:val="start"/>
              <w:rPr/>
            </w:pPr>
            <w:r>
              <w:rPr>
                <w:sz w:val="18"/>
              </w:rPr>
              <w:t>10.5281/zenodo.22240134</w:t>
            </w:r>
          </w:p>
        </w:tc>
        <w:tc>
          <w:tcPr>
            <w:tcW w:w="2340" w:type="dxa"/>
            <w:tcBorders/>
            <w:vAlign w:val="top"/>
          </w:tcPr>
          <w:p>
            <w:pPr>
              <w:pStyle w:val="Normal"/>
              <w:widowControl/>
              <w:bidi w:val="0"/>
              <w:spacing w:lineRule="auto" w:line="240" w:before="0" w:after="40"/>
              <w:jc w:val="start"/>
              <w:rPr/>
            </w:pPr>
            <w:r>
              <w:rPr>
                <w:sz w:val="18"/>
              </w:rPr>
              <w:t>Current author release; additive boundary, projection, transport, Atlas, Ledger, Tests, provenance, and compatibility integration.</w:t>
            </w:r>
          </w:p>
        </w:tc>
        <w:tc>
          <w:tcPr>
            <w:tcW w:w="2340" w:type="dxa"/>
            <w:tcBorders/>
            <w:vAlign w:val="top"/>
          </w:tcPr>
          <w:p>
            <w:pPr>
              <w:pStyle w:val="Normal"/>
              <w:widowControl/>
              <w:bidi w:val="0"/>
              <w:spacing w:lineRule="auto" w:line="240" w:before="0" w:after="40"/>
              <w:jc w:val="start"/>
              <w:rPr/>
            </w:pPr>
            <w:r>
              <w:rPr>
                <w:sz w:val="18"/>
              </w:rPr>
              <w:t>Christopher D. Pang is the sole author, steward, normative authority, and release authority.</w:t>
            </w:r>
          </w:p>
        </w:tc>
      </w:tr>
    </w:tbl>
    <w:p>
      <w:pPr>
        <w:pStyle w:val="Normal"/>
        <w:keepNext/>
        <w:keepLines/>
        <w:rPr/>
      </w:pPr>
      <w:r>
        <w:rPr/>
        <w:t>PAL v2.3 is the publication successor to PAL v2.2. The Zenodo isNewVersionOf relation records publication succession; it does not by itself prove a PAL-native account operation.</w:t>
      </w:r>
    </w:p>
    <w:p>
      <w:pPr>
        <w:pStyle w:val="BodyText"/>
        <w:rPr/>
      </w:pPr>
      <w:r>
        <w:rPr/>
        <w:t>Publication succession is not PAL-native VERSION. An account earns VERSION only when SC-20 invariant evidence proves continuity of the account ID, origin A0, immediate predecessor, exact delta, witness and authority lineage, protected observations, residual currentness, and every other required invariant. If that evidence is incomplete, the v2.3 account relation is SUCCESSOR, with its own supplied A0 CutReceipt. A LegacyReceiptRef preserves a prior receipt’s provenance without manufacturing missing fields or increasing its authority.</w:t>
      </w:r>
    </w:p>
    <w:p>
      <w:pPr>
        <w:pStyle w:val="BodyText"/>
        <w:rPr/>
      </w:pPr>
      <w:r>
        <w:rPr/>
        <w:t>Historical text remains evidence under its original release, wording, scope, status, and authority. New v2.3 boundary references, adapters, realization fields, decision fields, obligations, test executions, and release metadata are not inferred backward. The v2.2 Compatibility Note remains frozen at DOI 10.5281/zenodo.21891598, with DOCX SHA-256 50bd2b08f684e6c51e3293e4542e0f89757cbba5334b63315a8f2a81c4afb91a and PDF SHA-256 24c15017428b2571d3b6f90821e92bd91a36eba1c077e8cef462f1be3c8db4bf.</w:t>
      </w:r>
    </w:p>
    <w:p>
      <w:pPr>
        <w:pStyle w:val="Heading2"/>
        <w:keepNext/>
        <w:keepLines/>
        <w:rPr/>
      </w:pPr>
      <w:bookmarkStart w:id="37" w:name="exact-v2.2v2.3-surface-matrix"/>
      <w:r>
        <w:rPr/>
        <w:t>10.2 Exact v2.2→v2.3 surface matrix</w:t>
      </w:r>
      <w:bookmarkEnd w:id="37"/>
    </w:p>
    <w:p>
      <w:pPr>
        <w:pStyle w:val="Normal"/>
        <w:keepNext/>
        <w:keepLines/>
        <w:rPr/>
      </w:pPr>
      <w:r>
        <w:rPr/>
        <w:t>The following matrix is the fixed §8.3 compatibility disposition. The late-author directive addendum in §10.3 appends its routed receipts without rewriting this baseline matrix.</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024"/>
        <w:gridCol w:w="8336"/>
      </w:tblGrid>
      <w:tr>
        <w:trPr>
          <w:tblHeader w:val="true"/>
        </w:trPr>
        <w:tc>
          <w:tcPr>
            <w:tcW w:w="1024" w:type="dxa"/>
            <w:tcBorders/>
            <w:vAlign w:val="top"/>
            <w:shd w:fill="DCE6F1"/>
          </w:tcPr>
          <w:p>
            <w:pPr>
              <w:pStyle w:val="Normal"/>
              <w:spacing w:before="0" w:after="40" w:line="240" w:lineRule="auto"/>
              <w:rPr>
                <w:b/>
                <w:bCs/>
              </w:rPr>
            </w:pPr>
            <w:r>
              <w:rPr>
                <w:b/>
                <w:bCs/>
                <w:color w:val="1F4D78"/>
                <w:sz w:val="19"/>
              </w:rPr>
              <w:t>Surface</w:t>
            </w:r>
          </w:p>
        </w:tc>
        <w:tc>
          <w:tcPr>
            <w:tcW w:w="8336" w:type="dxa"/>
            <w:tcBorders/>
            <w:vAlign w:val="top"/>
            <w:shd w:fill="DCE6F1"/>
          </w:tcPr>
          <w:p>
            <w:pPr>
              <w:pStyle w:val="Normal"/>
              <w:spacing w:before="0" w:after="40" w:line="240" w:lineRule="auto"/>
              <w:rPr>
                <w:b/>
                <w:bCs/>
              </w:rPr>
            </w:pPr>
            <w:r>
              <w:rPr>
                <w:b/>
                <w:bCs/>
                <w:color w:val="1F4D78"/>
                <w:sz w:val="19"/>
              </w:rPr>
              <w:t>v2.3 disposition</w:t>
            </w:r>
          </w:p>
        </w:tc>
      </w:tr>
      <w:tr>
        <w:trPr/>
        <w:tc>
          <w:tcPr>
            <w:tcW w:w="1024" w:type="dxa"/>
            <w:tcBorders/>
            <w:vAlign w:val="top"/>
          </w:tcPr>
          <w:p>
            <w:pPr>
              <w:pStyle w:val="Normal"/>
              <w:widowControl/>
              <w:bidi w:val="0"/>
              <w:spacing w:lineRule="auto" w:line="240" w:before="0" w:after="40"/>
              <w:jc w:val="start"/>
              <w:rPr/>
            </w:pPr>
            <w:r>
              <w:rPr>
                <w:sz w:val="19"/>
              </w:rPr>
              <w:t>Spine</w:t>
            </w:r>
          </w:p>
        </w:tc>
        <w:tc>
          <w:tcPr>
            <w:tcW w:w="8336" w:type="dxa"/>
            <w:tcBorders/>
            <w:vAlign w:val="top"/>
          </w:tcPr>
          <w:p>
            <w:pPr>
              <w:pStyle w:val="Normal"/>
              <w:widowControl/>
              <w:bidi w:val="0"/>
              <w:spacing w:lineRule="auto" w:line="240" w:before="0" w:after="40"/>
              <w:jc w:val="start"/>
              <w:rPr/>
            </w:pPr>
            <w:r>
              <w:rPr>
                <w:sz w:val="19"/>
              </w:rPr>
              <w:t>Identity and order preserved; boundary, projection, minimality, transport, and slack ceilings clarified; SC-21 appended.</w:t>
            </w:r>
          </w:p>
        </w:tc>
      </w:tr>
      <w:tr>
        <w:trPr/>
        <w:tc>
          <w:tcPr>
            <w:tcW w:w="1024" w:type="dxa"/>
            <w:tcBorders/>
            <w:vAlign w:val="top"/>
            <w:shd w:fill="F7F9FB"/>
          </w:tcPr>
          <w:p>
            <w:pPr>
              <w:pStyle w:val="Normal"/>
              <w:widowControl/>
              <w:bidi w:val="0"/>
              <w:spacing w:lineRule="auto" w:line="240" w:before="0" w:after="40"/>
              <w:jc w:val="start"/>
              <w:rPr/>
            </w:pPr>
            <w:r>
              <w:rPr>
                <w:sz w:val="19"/>
              </w:rPr>
              <w:t>Atlas</w:t>
            </w:r>
          </w:p>
        </w:tc>
        <w:tc>
          <w:tcPr>
            <w:tcW w:w="8336" w:type="dxa"/>
            <w:tcBorders/>
            <w:vAlign w:val="top"/>
            <w:shd w:fill="F7F9FB"/>
          </w:tcPr>
          <w:p>
            <w:pPr>
              <w:pStyle w:val="Normal"/>
              <w:widowControl/>
              <w:bidi w:val="0"/>
              <w:spacing w:lineRule="auto" w:line="240" w:before="0" w:after="40"/>
              <w:jc w:val="start"/>
              <w:rPr/>
            </w:pPr>
            <w:r>
              <w:rPr>
                <w:sz w:val="19"/>
              </w:rPr>
              <w:t>Existing cards preserved; conditional extension profile and new realization cards appended.</w:t>
            </w:r>
          </w:p>
        </w:tc>
      </w:tr>
      <w:tr>
        <w:trPr/>
        <w:tc>
          <w:tcPr>
            <w:tcW w:w="1024" w:type="dxa"/>
            <w:tcBorders/>
            <w:vAlign w:val="top"/>
          </w:tcPr>
          <w:p>
            <w:pPr>
              <w:pStyle w:val="Normal"/>
              <w:widowControl/>
              <w:bidi w:val="0"/>
              <w:spacing w:lineRule="auto" w:line="240" w:before="0" w:after="40"/>
              <w:jc w:val="start"/>
              <w:rPr/>
            </w:pPr>
            <w:r>
              <w:rPr>
                <w:sz w:val="19"/>
              </w:rPr>
              <w:t>Ledger</w:t>
            </w:r>
          </w:p>
        </w:tc>
        <w:tc>
          <w:tcPr>
            <w:tcW w:w="8336" w:type="dxa"/>
            <w:tcBorders/>
            <w:vAlign w:val="top"/>
          </w:tcPr>
          <w:p>
            <w:pPr>
              <w:pStyle w:val="Normal"/>
              <w:widowControl/>
              <w:bidi w:val="0"/>
              <w:spacing w:lineRule="auto" w:line="240" w:before="0" w:after="40"/>
              <w:jc w:val="start"/>
              <w:rPr/>
            </w:pPr>
            <w:r>
              <w:rPr>
                <w:sz w:val="19"/>
              </w:rPr>
              <w:t>D01–D30 and O01–O51 preserved; D31–D37 and O52–O60 appended.</w:t>
            </w:r>
          </w:p>
        </w:tc>
      </w:tr>
      <w:tr>
        <w:trPr/>
        <w:tc>
          <w:tcPr>
            <w:tcW w:w="1024" w:type="dxa"/>
            <w:tcBorders/>
            <w:vAlign w:val="top"/>
            <w:shd w:fill="F7F9FB"/>
          </w:tcPr>
          <w:p>
            <w:pPr>
              <w:pStyle w:val="Normal"/>
              <w:widowControl/>
              <w:bidi w:val="0"/>
              <w:spacing w:lineRule="auto" w:line="240" w:before="0" w:after="40"/>
              <w:jc w:val="start"/>
              <w:rPr/>
            </w:pPr>
            <w:r>
              <w:rPr>
                <w:sz w:val="19"/>
              </w:rPr>
              <w:t>Tests</w:t>
            </w:r>
          </w:p>
        </w:tc>
        <w:tc>
          <w:tcPr>
            <w:tcW w:w="8336" w:type="dxa"/>
            <w:tcBorders/>
            <w:vAlign w:val="top"/>
            <w:shd w:fill="F7F9FB"/>
          </w:tcPr>
          <w:p>
            <w:pPr>
              <w:pStyle w:val="Normal"/>
              <w:widowControl/>
              <w:bidi w:val="0"/>
              <w:spacing w:lineRule="auto" w:line="240" w:before="0" w:after="40"/>
              <w:jc w:val="start"/>
              <w:rPr/>
            </w:pPr>
            <w:r>
              <w:rPr>
                <w:sz w:val="19"/>
              </w:rPr>
              <w:t>T01–T48 retained and rerun; T49–T72 appended.</w:t>
            </w:r>
          </w:p>
        </w:tc>
      </w:tr>
      <w:tr>
        <w:trPr/>
        <w:tc>
          <w:tcPr>
            <w:tcW w:w="1024" w:type="dxa"/>
            <w:tcBorders/>
            <w:vAlign w:val="top"/>
          </w:tcPr>
          <w:p>
            <w:pPr>
              <w:pStyle w:val="Normal"/>
              <w:widowControl/>
              <w:bidi w:val="0"/>
              <w:spacing w:lineRule="auto" w:line="240" w:before="0" w:after="40"/>
              <w:jc w:val="start"/>
              <w:rPr/>
            </w:pPr>
            <w:r>
              <w:rPr>
                <w:sz w:val="19"/>
              </w:rPr>
              <w:t>Compatibility</w:t>
            </w:r>
          </w:p>
        </w:tc>
        <w:tc>
          <w:tcPr>
            <w:tcW w:w="8336" w:type="dxa"/>
            <w:tcBorders/>
            <w:vAlign w:val="top"/>
          </w:tcPr>
          <w:p>
            <w:pPr>
              <w:pStyle w:val="Normal"/>
              <w:widowControl/>
              <w:bidi w:val="0"/>
              <w:spacing w:lineRule="auto" w:line="240" w:before="0" w:after="40"/>
              <w:jc w:val="start"/>
              <w:rPr/>
            </w:pPr>
            <w:r>
              <w:rPr>
                <w:sz w:val="19"/>
              </w:rPr>
              <w:t>Prior maps preserved; v2.2 and all new seams added without retrofit.</w:t>
            </w:r>
          </w:p>
        </w:tc>
      </w:tr>
    </w:tbl>
    <w:p>
      <w:pPr>
        <w:pStyle w:val="Normal"/>
        <w:rPr/>
      </w:pPr>
      <w:r>
        <w:rPr/>
        <w:t>Existing implementations remain conformant to v2.2 within their declared version. They claim v2.3 conformance only after satisfying every applicable new field and test.</w:t>
      </w:r>
    </w:p>
    <w:p>
      <w:pPr>
        <w:pStyle w:val="BodyText"/>
        <w:rPr/>
      </w:pPr>
      <w:r>
        <w:rPr/>
        <w:t>The retained T01–T48 specifications remain T01@2.2–T48@2.2 in their historical form. Applying the same stable purposes to v2.3 target bytes creates new T01@2.3–T48@2.3 execution evidence; it does not relabel or rewrite an old receipt. T49–T72 are additive v2.3 tests.</w:t>
      </w:r>
    </w:p>
    <w:p>
      <w:pPr>
        <w:pStyle w:val="Heading2"/>
        <w:keepNext/>
        <w:keepLines/>
        <w:rPr/>
      </w:pPr>
      <w:bookmarkStart w:id="38" w:name="late-author-directive-compatibility-adde"/>
      <w:r>
        <w:rPr/>
        <w:t>10.3 Late-author directive compatibility addendum</w:t>
      </w:r>
      <w:bookmarkEnd w:id="38"/>
    </w:p>
    <w:p>
      <w:pPr>
        <w:pStyle w:val="Normal"/>
        <w:keepNext/>
        <w:keepLines/>
        <w:rPr/>
      </w:pPr>
      <w:r>
        <w:rPr/>
        <w:t>Christopher D. Pang’s 2 September 2026 directive record is noncanonical provenance. It creates no sixth authority face and does not alter the primitive floor. Its adopted effects are routed into existing faces as follows.</w:t>
      </w:r>
    </w:p>
    <w:p>
      <w:pPr>
        <w:pStyle w:val="BodyText"/>
        <w:rPr/>
      </w:pPr>
      <w:r>
        <w:rPr/>
        <w:t>For Compatibility purposes, the seven-question text is an author-written scope firewall sourced from a noncanonical provenance record and routed into the Spine/Ledger; it creates no new canonical object or primitive, answers none of the questions, and does not expand PAL’s subject matter. RAINBOW is Atlas-local and adds no primitive, layer, status, authority, or physics; D39/O62 govern it through existing applicable T bindings.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340"/>
        <w:gridCol w:w="2340"/>
        <w:gridCol w:w="2340"/>
        <w:gridCol w:w="2340"/>
      </w:tblGrid>
      <w:tr>
        <w:trPr>
          <w:tblHeader w:val="true"/>
        </w:trPr>
        <w:tc>
          <w:tcPr>
            <w:tcW w:w="2340" w:type="dxa"/>
            <w:tcBorders/>
            <w:vAlign w:val="top"/>
            <w:shd w:fill="DCE6F1"/>
          </w:tcPr>
          <w:p>
            <w:pPr>
              <w:pStyle w:val="Normal"/>
              <w:spacing w:before="0" w:after="40" w:line="240" w:lineRule="auto"/>
              <w:rPr>
                <w:b/>
                <w:bCs/>
              </w:rPr>
            </w:pPr>
            <w:r>
              <w:rPr>
                <w:b/>
                <w:bCs/>
                <w:color w:val="1F4D78"/>
                <w:sz w:val="18"/>
              </w:rPr>
              <w:t>Directive</w:t>
            </w:r>
          </w:p>
        </w:tc>
        <w:tc>
          <w:tcPr>
            <w:tcW w:w="2340" w:type="dxa"/>
            <w:tcBorders/>
            <w:vAlign w:val="top"/>
            <w:shd w:fill="DCE6F1"/>
          </w:tcPr>
          <w:p>
            <w:pPr>
              <w:pStyle w:val="Normal"/>
              <w:spacing w:before="0" w:after="40" w:line="240" w:lineRule="auto"/>
              <w:rPr>
                <w:b/>
                <w:bCs/>
              </w:rPr>
            </w:pPr>
            <w:r>
              <w:rPr>
                <w:b/>
                <w:bCs/>
                <w:color w:val="1F4D78"/>
                <w:sz w:val="18"/>
              </w:rPr>
              <w:t>Routed placement</w:t>
            </w:r>
          </w:p>
        </w:tc>
        <w:tc>
          <w:tcPr>
            <w:tcW w:w="2340" w:type="dxa"/>
            <w:tcBorders/>
            <w:vAlign w:val="top"/>
            <w:shd w:fill="DCE6F1"/>
          </w:tcPr>
          <w:p>
            <w:pPr>
              <w:pStyle w:val="Normal"/>
              <w:spacing w:before="0" w:after="40" w:line="240" w:lineRule="auto"/>
              <w:rPr>
                <w:b/>
                <w:bCs/>
              </w:rPr>
            </w:pPr>
            <w:r>
              <w:rPr>
                <w:b/>
                <w:bCs/>
                <w:color w:val="1F4D78"/>
                <w:sz w:val="18"/>
              </w:rPr>
              <w:t>Ledger and test route</w:t>
            </w:r>
          </w:p>
        </w:tc>
        <w:tc>
          <w:tcPr>
            <w:tcW w:w="2340" w:type="dxa"/>
            <w:tcBorders/>
            <w:vAlign w:val="top"/>
            <w:shd w:fill="DCE6F1"/>
          </w:tcPr>
          <w:p>
            <w:pPr>
              <w:pStyle w:val="Normal"/>
              <w:spacing w:before="0" w:after="40" w:line="240" w:lineRule="auto"/>
              <w:rPr>
                <w:b/>
                <w:bCs/>
              </w:rPr>
            </w:pPr>
            <w:r>
              <w:rPr>
                <w:b/>
                <w:bCs/>
                <w:color w:val="1F4D78"/>
                <w:sz w:val="18"/>
              </w:rPr>
              <w:t>Compatibility ceiling</w:t>
            </w:r>
          </w:p>
        </w:tc>
      </w:tr>
      <w:tr>
        <w:trPr/>
        <w:tc>
          <w:tcPr>
            <w:tcW w:w="2340" w:type="dxa"/>
            <w:tcBorders/>
            <w:vAlign w:val="top"/>
          </w:tcPr>
          <w:p>
            <w:pPr>
              <w:pStyle w:val="Normal"/>
              <w:widowControl/>
              <w:bidi w:val="0"/>
              <w:spacing w:lineRule="auto" w:line="240" w:before="0" w:after="40"/>
              <w:jc w:val="start"/>
              <w:rPr/>
            </w:pPr>
            <w:r>
              <w:rPr>
                <w:sz w:val="18"/>
              </w:rPr>
              <w:t>Seven-question author scope statement</w:t>
            </w:r>
          </w:p>
        </w:tc>
        <w:tc>
          <w:tcPr>
            <w:tcW w:w="2340" w:type="dxa"/>
            <w:tcBorders/>
            <w:vAlign w:val="top"/>
          </w:tcPr>
          <w:p>
            <w:pPr>
              <w:pStyle w:val="Normal"/>
              <w:widowControl/>
              <w:bidi w:val="0"/>
              <w:spacing w:lineRule="auto" w:line="240" w:before="0" w:after="40"/>
              <w:jc w:val="start"/>
              <w:rPr/>
            </w:pPr>
            <w:r>
              <w:rPr>
                <w:sz w:val="18"/>
              </w:rPr>
              <w:t>A scope firewall routed to the Spine and Ledger. The Spine preserves the author-written statement; the Compatibility Note does not convert it into a PAL answer or a new canonical object.</w:t>
            </w:r>
          </w:p>
        </w:tc>
        <w:tc>
          <w:tcPr>
            <w:tcW w:w="2340" w:type="dxa"/>
            <w:tcBorders/>
            <w:vAlign w:val="top"/>
          </w:tcPr>
          <w:p>
            <w:pPr>
              <w:pStyle w:val="Normal"/>
              <w:widowControl/>
              <w:bidi w:val="0"/>
              <w:spacing w:lineRule="auto" w:line="240" w:before="0" w:after="40"/>
              <w:jc w:val="start"/>
              <w:rPr/>
            </w:pPr>
            <w:r>
              <w:rPr>
                <w:sz w:val="18"/>
              </w:rPr>
              <w:t>D38 and O61; existing T05–T06 and T10–T11 purposes, together with release-text lint.</w:t>
            </w:r>
          </w:p>
        </w:tc>
        <w:tc>
          <w:tcPr>
            <w:tcW w:w="2340" w:type="dxa"/>
            <w:tcBorders/>
            <w:vAlign w:val="top"/>
          </w:tcPr>
          <w:p>
            <w:pPr>
              <w:pStyle w:val="Normal"/>
              <w:widowControl/>
              <w:bidi w:val="0"/>
              <w:spacing w:lineRule="auto" w:line="240" w:before="0" w:after="40"/>
              <w:jc w:val="start"/>
              <w:rPr/>
            </w:pPr>
            <w:r>
              <w:rPr>
                <w:sz w:val="18"/>
              </w:rPr>
              <w:t>The statement answers none of the seven questions. Ω is not their hidden answer; A0 is not the first event, cause, metric distance, or boundary of reality. It licenses no cosmological, ontological, temporal, measurement-theoretic, or physical claim.</w:t>
            </w:r>
          </w:p>
        </w:tc>
      </w:tr>
      <w:tr>
        <w:trPr/>
        <w:tc>
          <w:tcPr>
            <w:tcW w:w="2340" w:type="dxa"/>
            <w:tcBorders/>
            <w:vAlign w:val="top"/>
            <w:shd w:fill="F7F9FB"/>
          </w:tcPr>
          <w:p>
            <w:pPr>
              <w:pStyle w:val="Normal"/>
              <w:spacing w:before="0" w:after="40" w:line="240" w:lineRule="auto"/>
              <w:rPr>
                <w:b/>
                <w:bCs/>
              </w:rPr>
            </w:pPr>
            <w:r>
              <w:rPr>
                <w:b/>
                <w:bCs/>
                <w:sz w:val="18"/>
              </w:rPr>
              <w:t>RAINBOW — Ribbon-Amplitude Interference Norms: Boundary-Orbit Weaves</w:t>
            </w:r>
          </w:p>
        </w:tc>
        <w:tc>
          <w:tcPr>
            <w:tcW w:w="2340" w:type="dxa"/>
            <w:tcBorders/>
            <w:vAlign w:val="top"/>
            <w:shd w:fill="F7F9FB"/>
          </w:tcPr>
          <w:p>
            <w:pPr>
              <w:pStyle w:val="Normal"/>
              <w:widowControl/>
              <w:bidi w:val="0"/>
              <w:spacing w:lineRule="auto" w:line="240" w:before="0" w:after="40"/>
              <w:jc w:val="start"/>
              <w:rPr/>
            </w:pPr>
            <w:r>
              <w:rPr>
                <w:sz w:val="18"/>
              </w:rPr>
              <w:t>A removable, Atlas-local realization family in PAL v2.3-M. It is neither a release-wide title nor another authority face.</w:t>
            </w:r>
          </w:p>
        </w:tc>
        <w:tc>
          <w:tcPr>
            <w:tcW w:w="2340" w:type="dxa"/>
            <w:tcBorders/>
            <w:vAlign w:val="top"/>
            <w:shd w:fill="F7F9FB"/>
          </w:tcPr>
          <w:p>
            <w:pPr>
              <w:pStyle w:val="Normal"/>
              <w:widowControl/>
              <w:bidi w:val="0"/>
              <w:spacing w:lineRule="auto" w:line="240" w:before="0" w:after="40"/>
              <w:jc w:val="start"/>
              <w:rPr/>
            </w:pPr>
            <w:r>
              <w:rPr>
                <w:sz w:val="18"/>
              </w:rPr>
              <w:t>Governed by D39 and O62, with the existing applicable T12–T14, T34, T46, T51, T58–T59, and T68–T72 bindings. No new test ID or claim-status value is introduced.</w:t>
            </w:r>
          </w:p>
        </w:tc>
        <w:tc>
          <w:tcPr>
            <w:tcW w:w="2340" w:type="dxa"/>
            <w:tcBorders/>
            <w:vAlign w:val="top"/>
            <w:shd w:fill="F7F9FB"/>
          </w:tcPr>
          <w:p>
            <w:pPr>
              <w:pStyle w:val="Normal"/>
              <w:widowControl/>
              <w:bidi w:val="0"/>
              <w:spacing w:lineRule="auto" w:line="240" w:before="0" w:after="40"/>
              <w:jc w:val="start"/>
              <w:rPr/>
            </w:pPr>
            <w:r>
              <w:rPr>
                <w:sz w:val="18"/>
              </w:rPr>
              <w:t>Established arithmetic, constructed adapters, presentation choices, and open analogies remain separately typed. RAINBOW adds no primitive, numbered layer, status, authority source, ambient structure for Ω, quantum theory, physical law, cosmological claim, or Lagrange-point dynamics.</w:t>
            </w:r>
          </w:p>
        </w:tc>
      </w:tr>
    </w:tbl>
    <w:p>
      <w:pPr>
        <w:pStyle w:val="Normal"/>
        <w:rPr/>
      </w:pPr>
      <w:r>
        <w:rPr/>
        <w:t>RAINBOW’s words and graphics do not enlarge the authority of any card. “Interference” is mathematical only after a declared amplitude space, combination rule, and readout. Orbit overlap, endpoint confluence, path multiplicity, color, thickness, blur, embedding, or camera projection is not by itself evidence of wave interference, physical transport, or wavefunction collapse. Each claim returns through its own Atlas card, source account, falsifier, residual, and reopening handle.</w:t>
      </w:r>
    </w:p>
    <w:p>
      <w:pPr>
        <w:pStyle w:val="Heading2"/>
        <w:keepNext/>
        <w:keepLines/>
        <w:rPr/>
      </w:pPr>
      <w:bookmarkStart w:id="39" w:name="rejected-shortcuts"/>
      <w:r>
        <w:rPr/>
        <w:t>10.4 Rejected shortcuts</w:t>
      </w:r>
      <w:bookmarkEnd w:id="39"/>
    </w:p>
    <w:p>
      <w:pPr>
        <w:pStyle w:val="BodyText"/>
        <w:keepNext/>
        <w:keepLines/>
        <w:numPr>
          <w:ilvl w:val="0"/>
          <w:numId w:val="13"/>
        </w:numPr>
        <w:spacing w:before="0" w:after="0"/>
        <w:rPr/>
      </w:pPr>
      <w:r>
        <w:rPr/>
        <w:t>No mass renaming of historical records.</w:t>
      </w:r>
    </w:p>
    <w:p>
      <w:pPr>
        <w:pStyle w:val="BodyText"/>
        <w:numPr>
          <w:ilvl w:val="0"/>
          <w:numId w:val="13"/>
        </w:numPr>
        <w:spacing w:before="0" w:after="0"/>
        <w:rPr/>
      </w:pPr>
      <w:r>
        <w:rPr/>
        <w:t>No silent boundary-kind coercion.</w:t>
      </w:r>
    </w:p>
    <w:p>
      <w:pPr>
        <w:pStyle w:val="BodyText"/>
        <w:numPr>
          <w:ilvl w:val="0"/>
          <w:numId w:val="13"/>
        </w:numPr>
        <w:spacing w:before="0" w:after="0"/>
        <w:rPr/>
      </w:pPr>
      <w:r>
        <w:rPr/>
        <w:t>No retroactive witness, cost, receipt, or authority.</w:t>
      </w:r>
    </w:p>
    <w:p>
      <w:pPr>
        <w:pStyle w:val="BodyText"/>
        <w:numPr>
          <w:ilvl w:val="0"/>
          <w:numId w:val="13"/>
        </w:numPr>
        <w:spacing w:before="0" w:after="0"/>
        <w:rPr/>
      </w:pPr>
      <w:r>
        <w:rPr/>
        <w:t>No branch fixture promoted into a primitive.</w:t>
      </w:r>
    </w:p>
    <w:p>
      <w:pPr>
        <w:pStyle w:val="BodyText"/>
        <w:numPr>
          <w:ilvl w:val="0"/>
          <w:numId w:val="13"/>
        </w:numPr>
        <w:spacing w:before="0" w:after="0"/>
        <w:rPr/>
      </w:pPr>
      <w:r>
        <w:rPr/>
        <w:t>No heartbeat promoted into progress.</w:t>
      </w:r>
    </w:p>
    <w:p>
      <w:pPr>
        <w:pStyle w:val="BodyText"/>
        <w:numPr>
          <w:ilvl w:val="0"/>
          <w:numId w:val="13"/>
        </w:numPr>
        <w:spacing w:before="0" w:after="0"/>
        <w:rPr/>
      </w:pPr>
      <w:r>
        <w:rPr/>
        <w:t>No hash promoted into authenticity, authorship, consent, or authority.</w:t>
      </w:r>
    </w:p>
    <w:p>
      <w:pPr>
        <w:pStyle w:val="BodyText"/>
        <w:numPr>
          <w:ilvl w:val="0"/>
          <w:numId w:val="13"/>
        </w:numPr>
        <w:spacing w:before="0" w:after="0"/>
        <w:rPr/>
      </w:pPr>
      <w:r>
        <w:rPr/>
        <w:t>No omnibus or ZIP promoted into a sixth canonical face.</w:t>
      </w:r>
    </w:p>
    <w:p>
      <w:pPr>
        <w:pStyle w:val="Normal"/>
        <w:rPr/>
      </w:pPr>
      <w:r>
        <w:rPr/>
        <w:t>The following late-directive shortcuts are rejected by the same rule:</w:t>
      </w:r>
    </w:p>
    <w:p>
      <w:pPr>
        <w:pStyle w:val="BodyText"/>
        <w:numPr>
          <w:ilvl w:val="0"/>
          <w:numId w:val="14"/>
        </w:numPr>
        <w:spacing w:before="0" w:after="0"/>
        <w:rPr/>
      </w:pPr>
      <w:r>
        <w:rPr/>
        <w:t>No seven-question scope firewall promoted into a cosmological, ontological, temporal, measurement-theoretic, or physical answer.</w:t>
      </w:r>
    </w:p>
    <w:p>
      <w:pPr>
        <w:pStyle w:val="BodyText"/>
        <w:numPr>
          <w:ilvl w:val="0"/>
          <w:numId w:val="14"/>
        </w:numPr>
        <w:spacing w:before="0" w:after="0"/>
        <w:rPr/>
      </w:pPr>
      <w:r>
        <w:rPr/>
        <w:t>No author-directive provenance file promoted into a canonical authority face.</w:t>
      </w:r>
    </w:p>
    <w:p>
      <w:pPr>
        <w:pStyle w:val="BodyText"/>
        <w:numPr>
          <w:ilvl w:val="0"/>
          <w:numId w:val="14"/>
        </w:numPr>
        <w:spacing w:before="0" w:after="0"/>
        <w:rPr/>
      </w:pPr>
      <w:r>
        <w:rPr/>
        <w:t>No RAINBOW plate, ornament, shell, path, amplitude adapter, or analogy promoted into a primitive, numbered layer, claim status, authority source, universal geometry, quantum account, or physical law.</w:t>
      </w:r>
    </w:p>
    <w:p>
      <w:pPr>
        <w:pStyle w:val="BodyText"/>
        <w:numPr>
          <w:ilvl w:val="0"/>
          <w:numId w:val="14"/>
        </w:numPr>
        <w:spacing w:before="0" w:after="0"/>
        <w:rPr/>
      </w:pPr>
      <w:r>
        <w:rPr/>
        <w:t>No new test address invented for the late directives; they are checked through the existing applicable T bindings named in §10.3.</w:t>
      </w:r>
    </w:p>
    <w:p>
      <w:pPr>
        <w:pStyle w:val="Heading2"/>
        <w:keepNext/>
        <w:keepLines/>
        <w:rPr/>
      </w:pPr>
      <w:bookmarkStart w:id="40" w:name="v2.2v2.3-upgrade-procedure"/>
      <w:r>
        <w:rPr/>
        <w:t>10.5 v2.2→v2.3 upgrade procedure</w:t>
      </w:r>
      <w:bookmarkEnd w:id="40"/>
    </w:p>
    <w:p>
      <w:pPr>
        <w:pStyle w:val="BodyText"/>
        <w:keepNext/>
        <w:keepLines/>
        <w:numPr>
          <w:ilvl w:val="0"/>
          <w:numId w:val="15"/>
        </w:numPr>
        <w:rPr/>
      </w:pPr>
      <w:r>
        <w:rPr/>
        <w:t>Freeze the exact v2.2 source and rendered bytes; retain DOI 10.5281/zenodo.21891598, its public manifest, and all predecessor hashes and receipts.</w:t>
      </w:r>
    </w:p>
    <w:p>
      <w:pPr>
        <w:pStyle w:val="BodyText"/>
        <w:numPr>
          <w:ilvl w:val="0"/>
          <w:numId w:val="15"/>
        </w:numPr>
        <w:rPr/>
      </w:pPr>
      <w:r>
        <w:rPr/>
        <w:t>Preserve sections 1–9 of the compatibility lineage as historical migration evidence. Use LegacyReceiptRef when an older record is imported normatively; do not synthesize missing historical fields.</w:t>
      </w:r>
    </w:p>
    <w:p>
      <w:pPr>
        <w:pStyle w:val="BodyText"/>
        <w:numPr>
          <w:ilvl w:val="0"/>
          <w:numId w:val="15"/>
        </w:numPr>
        <w:rPr/>
      </w:pPr>
      <w:r>
        <w:rPr/>
        <w:t>Classify publication succession separately from the PAL-native account transition. Use VERSION only when complete SC-20 invariant evidence exists; otherwise open a SUCCESSOR account with its own A0 CutReceipt.</w:t>
      </w:r>
    </w:p>
    <w:p>
      <w:pPr>
        <w:pStyle w:val="BodyText"/>
        <w:numPr>
          <w:ilvl w:val="0"/>
          <w:numId w:val="15"/>
        </w:numPr>
        <w:rPr/>
      </w:pPr>
      <w:r>
        <w:rPr/>
        <w:t>Preserve Ω, A0, Ω*, θ, A1–A15, SC-00–SC-20, the four statuses, the five authority faces, D01–D30, O01–O51, and T01–T48 in their original identities and scopes. Keep D-FIRST-OCCURRENCE, O04, O25, and multi-parent lineage OPEN at their stated boundaries.</w:t>
      </w:r>
    </w:p>
    <w:p>
      <w:pPr>
        <w:pStyle w:val="BodyText"/>
        <w:numPr>
          <w:ilvl w:val="0"/>
          <w:numId w:val="15"/>
        </w:numPr>
        <w:rPr/>
      </w:pPr>
      <w:r>
        <w:rPr/>
        <w:t>Install the additive v2.3 surfaces: SC-21; conditional Atlas extension fields and realization cards; D31–D39; O52–O62; and T49–T72. Do not retrofit any of them into a predecessor receipt.</w:t>
      </w:r>
    </w:p>
    <w:p>
      <w:pPr>
        <w:pStyle w:val="BodyText"/>
        <w:numPr>
          <w:ilvl w:val="0"/>
          <w:numId w:val="15"/>
        </w:numPr>
        <w:rPr/>
      </w:pPr>
      <w:r>
        <w:rPr/>
        <w:t>Route the seven-question material only as the noncanonical-provenance scope firewall governed by D38/O61. Route RAINBOW only to PAL v2.3-M under D39/O62 and the existing applicable test bindings.</w:t>
      </w:r>
    </w:p>
    <w:p>
      <w:pPr>
        <w:pStyle w:val="BodyText"/>
        <w:numPr>
          <w:ilvl w:val="0"/>
          <w:numId w:val="15"/>
        </w:numPr>
        <w:rPr/>
      </w:pPr>
      <w:r>
        <w:rPr/>
        <w:t>Rerun the stable T01–T48 purposes against v2.3 bytes as new Txx@2.3 executions, run T49–T72, retain every contrary receipt and negative fixture, and do not treat a TestReceipt as a ClosureReceipt.</w:t>
      </w:r>
    </w:p>
    <w:p>
      <w:pPr>
        <w:pStyle w:val="BodyText"/>
        <w:numPr>
          <w:ilvl w:val="0"/>
          <w:numId w:val="15"/>
        </w:numPr>
        <w:rPr/>
      </w:pPr>
      <w:r>
        <w:rPr/>
        <w:t>Claim v2.3 conformance only after every applicable new field, adapter, authority ceiling, source distinction, fixture, and test passes. Otherwise retain the artifact’s honest v2.2 conformance or record NONCONFORMANT for the attempted v2.3 target.</w:t>
      </w:r>
    </w:p>
    <w:p>
      <w:pPr>
        <w:pStyle w:val="BodyText"/>
        <w:numPr>
          <w:ilvl w:val="0"/>
          <w:numId w:val="15"/>
        </w:numPr>
        <w:rPr/>
      </w:pPr>
      <w:r>
        <w:rPr/>
        <w:t>Freeze v2.3 as a new release at DOI 10.5281/zenodo.22240134. Bind final bytes through the external package manifest, checksum file, and non-signature author-release receipt; do not overwrite or enlarge any earlier release.</w:t>
      </w:r>
    </w:p>
    <w:p>
      <w:pPr>
        <w:pStyle w:val="Heading1"/>
        <w:keepNext/>
        <w:keepLines/>
        <w:rPr/>
      </w:pPr>
      <w:bookmarkStart w:id="41" w:name="compatibility-provenance-and-change-log"/>
      <w:r>
        <w:rPr/>
        <w:t>11. Compatibility provenance and change log</w:t>
      </w:r>
      <w:bookmarkEnd w:id="41"/>
    </w:p>
    <w:p>
      <w:pPr>
        <w:pStyle w:val="Heading2"/>
        <w:keepNext/>
        <w:keepLines/>
        <w:rPr/>
      </w:pPr>
      <w:bookmarkStart w:id="42" w:name="provenance-and-preservation-account"/>
      <w:r>
        <w:rPr/>
        <w:t>11.1 Provenance and preservation account</w:t>
      </w:r>
      <w:bookmarkEnd w:id="4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3120"/>
        <w:gridCol w:w="3120"/>
        <w:gridCol w:w="3120"/>
      </w:tblGrid>
      <w:tr>
        <w:trPr>
          <w:tblHeader w:val="true"/>
        </w:trPr>
        <w:tc>
          <w:tcPr>
            <w:tcW w:w="3120" w:type="dxa"/>
            <w:tcBorders/>
            <w:vAlign w:val="top"/>
            <w:shd w:fill="DCE6F1"/>
          </w:tcPr>
          <w:p>
            <w:pPr>
              <w:pStyle w:val="Normal"/>
              <w:spacing w:before="0" w:after="40" w:line="240" w:lineRule="auto"/>
              <w:rPr>
                <w:b/>
                <w:bCs/>
              </w:rPr>
            </w:pPr>
            <w:r>
              <w:rPr>
                <w:b/>
                <w:bCs/>
                <w:color w:val="1F4D78"/>
                <w:sz w:val="18"/>
              </w:rPr>
              <w:t>Source or instruction</w:t>
            </w:r>
          </w:p>
        </w:tc>
        <w:tc>
          <w:tcPr>
            <w:tcW w:w="3120" w:type="dxa"/>
            <w:tcBorders/>
            <w:vAlign w:val="top"/>
            <w:shd w:fill="DCE6F1"/>
          </w:tcPr>
          <w:p>
            <w:pPr>
              <w:pStyle w:val="Normal"/>
              <w:spacing w:before="0" w:after="40" w:line="240" w:lineRule="auto"/>
              <w:rPr>
                <w:b/>
                <w:bCs/>
              </w:rPr>
            </w:pPr>
            <w:r>
              <w:rPr>
                <w:b/>
                <w:bCs/>
                <w:color w:val="1F4D78"/>
                <w:sz w:val="18"/>
              </w:rPr>
              <w:t>Compatibility contribution</w:t>
            </w:r>
          </w:p>
        </w:tc>
        <w:tc>
          <w:tcPr>
            <w:tcW w:w="3120" w:type="dxa"/>
            <w:tcBorders/>
            <w:vAlign w:val="top"/>
            <w:shd w:fill="DCE6F1"/>
          </w:tcPr>
          <w:p>
            <w:pPr>
              <w:pStyle w:val="Normal"/>
              <w:spacing w:before="0" w:after="40" w:line="240" w:lineRule="auto"/>
              <w:rPr>
                <w:b/>
                <w:bCs/>
              </w:rPr>
            </w:pPr>
            <w:r>
              <w:rPr>
                <w:b/>
                <w:bCs/>
                <w:color w:val="1F4D78"/>
                <w:sz w:val="18"/>
              </w:rPr>
              <w:t>Authority ceiling</w:t>
            </w:r>
          </w:p>
        </w:tc>
      </w:tr>
      <w:tr>
        <w:trPr/>
        <w:tc>
          <w:tcPr>
            <w:tcW w:w="3120" w:type="dxa"/>
            <w:tcBorders/>
            <w:vAlign w:val="top"/>
          </w:tcPr>
          <w:p>
            <w:pPr>
              <w:pStyle w:val="Normal"/>
              <w:widowControl/>
              <w:bidi w:val="0"/>
              <w:spacing w:lineRule="auto" w:line="240" w:before="0" w:after="40"/>
              <w:jc w:val="start"/>
              <w:rPr/>
            </w:pPr>
            <w:r>
              <w:rPr>
                <w:sz w:val="18"/>
              </w:rPr>
              <w:t>PAL v2.2 Compatibility Note · 11 Aug 2026 · DOI 10.5281/zenodo.21891598 · DOCX SHA-256 50bd2b08f684e6c51e3293e4542e0f89757cbba5334b63315a8f2a81c4afb91a · PDF SHA-256 24c15017428b2571d3b6f90821e92bd91a36eba1c077e8cef462f1be3c8db4bf</w:t>
            </w:r>
          </w:p>
        </w:tc>
        <w:tc>
          <w:tcPr>
            <w:tcW w:w="3120" w:type="dxa"/>
            <w:tcBorders/>
            <w:vAlign w:val="top"/>
          </w:tcPr>
          <w:p>
            <w:pPr>
              <w:pStyle w:val="Normal"/>
              <w:widowControl/>
              <w:bidi w:val="0"/>
              <w:spacing w:lineRule="auto" w:line="240" w:before="0" w:after="40"/>
              <w:jc w:val="start"/>
              <w:rPr/>
            </w:pPr>
            <w:r>
              <w:rPr>
                <w:sz w:val="18"/>
              </w:rPr>
              <w:t>Immediate predecessor and frozen v1.6→v2.0, v2.0→v2.1, and v2.1→v2.2 migration account.</w:t>
            </w:r>
          </w:p>
        </w:tc>
        <w:tc>
          <w:tcPr>
            <w:tcW w:w="3120" w:type="dxa"/>
            <w:tcBorders/>
            <w:vAlign w:val="top"/>
          </w:tcPr>
          <w:p>
            <w:pPr>
              <w:pStyle w:val="Normal"/>
              <w:widowControl/>
              <w:bidi w:val="0"/>
              <w:spacing w:lineRule="auto" w:line="240" w:before="0" w:after="40"/>
              <w:jc w:val="start"/>
              <w:rPr/>
            </w:pPr>
            <w:r>
              <w:rPr>
                <w:sz w:val="18"/>
              </w:rPr>
              <w:t>Historical authority remains with the released predecessor bytes; this v2.3 file does not rewrite them or infer new fields backward.</w:t>
            </w:r>
          </w:p>
        </w:tc>
      </w:tr>
      <w:tr>
        <w:trPr/>
        <w:tc>
          <w:tcPr>
            <w:tcW w:w="3120" w:type="dxa"/>
            <w:tcBorders/>
            <w:vAlign w:val="top"/>
            <w:shd w:fill="F7F9FB"/>
          </w:tcPr>
          <w:p>
            <w:pPr>
              <w:pStyle w:val="Normal"/>
              <w:widowControl/>
              <w:bidi w:val="0"/>
              <w:spacing w:lineRule="auto" w:line="240" w:before="0" w:after="40"/>
              <w:jc w:val="start"/>
              <w:rPr/>
            </w:pPr>
            <w:r>
              <w:rPr>
                <w:sz w:val="18"/>
              </w:rPr>
              <w:t>PAL v2.3 Release Build Specification · 2 Sep 2026</w:t>
            </w:r>
          </w:p>
        </w:tc>
        <w:tc>
          <w:tcPr>
            <w:tcW w:w="3120" w:type="dxa"/>
            <w:tcBorders/>
            <w:vAlign w:val="top"/>
            <w:shd w:fill="F7F9FB"/>
          </w:tcPr>
          <w:p>
            <w:pPr>
              <w:pStyle w:val="Normal"/>
              <w:widowControl/>
              <w:bidi w:val="0"/>
              <w:spacing w:lineRule="auto" w:line="240" w:before="0" w:after="40"/>
              <w:jc w:val="start"/>
              <w:rPr/>
            </w:pPr>
            <w:r>
              <w:rPr>
                <w:sz w:val="18"/>
              </w:rPr>
              <w:t>Fixed the public title, v2.2→v2.3 matrix, succession rule, rejected shortcuts, six-part change-log contract, metadata, and verification gate.</w:t>
            </w:r>
          </w:p>
        </w:tc>
        <w:tc>
          <w:tcPr>
            <w:tcW w:w="3120" w:type="dxa"/>
            <w:tcBorders/>
            <w:vAlign w:val="top"/>
            <w:shd w:fill="F7F9FB"/>
          </w:tcPr>
          <w:p>
            <w:pPr>
              <w:pStyle w:val="Normal"/>
              <w:widowControl/>
              <w:bidi w:val="0"/>
              <w:spacing w:lineRule="auto" w:line="240" w:before="0" w:after="40"/>
              <w:jc w:val="start"/>
              <w:rPr/>
            </w:pPr>
            <w:r>
              <w:rPr>
                <w:sz w:val="18"/>
              </w:rPr>
              <w:t>Noncanonical execution specification; it does not substitute for a PAL authority face.</w:t>
            </w:r>
          </w:p>
        </w:tc>
      </w:tr>
      <w:tr>
        <w:trPr/>
        <w:tc>
          <w:tcPr>
            <w:tcW w:w="3120" w:type="dxa"/>
            <w:tcBorders/>
            <w:vAlign w:val="top"/>
          </w:tcPr>
          <w:p>
            <w:pPr>
              <w:pStyle w:val="Normal"/>
              <w:widowControl/>
              <w:bidi w:val="0"/>
              <w:spacing w:lineRule="auto" w:line="240" w:before="0" w:after="40"/>
              <w:jc w:val="start"/>
              <w:rPr/>
            </w:pPr>
            <w:r>
              <w:rPr>
                <w:sz w:val="18"/>
              </w:rPr>
              <w:t>Christopher D. Pang · PAL v2.3 Author Directives · 2 Sep 2026</w:t>
            </w:r>
          </w:p>
        </w:tc>
        <w:tc>
          <w:tcPr>
            <w:tcW w:w="3120" w:type="dxa"/>
            <w:tcBorders/>
            <w:vAlign w:val="top"/>
          </w:tcPr>
          <w:p>
            <w:pPr>
              <w:pStyle w:val="Normal"/>
              <w:widowControl/>
              <w:bidi w:val="0"/>
              <w:spacing w:lineRule="auto" w:line="240" w:before="0" w:after="40"/>
              <w:jc w:val="start"/>
              <w:rPr/>
            </w:pPr>
            <w:r>
              <w:rPr>
                <w:sz w:val="18"/>
              </w:rPr>
              <w:t>Supplied the seven-question scope firewall and authorized the Atlas-local RAINBOW family; routed through D38–D39 and O61–O62.</w:t>
            </w:r>
          </w:p>
        </w:tc>
        <w:tc>
          <w:tcPr>
            <w:tcW w:w="3120" w:type="dxa"/>
            <w:tcBorders/>
            <w:vAlign w:val="top"/>
          </w:tcPr>
          <w:p>
            <w:pPr>
              <w:pStyle w:val="Normal"/>
              <w:widowControl/>
              <w:bidi w:val="0"/>
              <w:spacing w:lineRule="auto" w:line="240" w:before="0" w:after="40"/>
              <w:jc w:val="start"/>
              <w:rPr/>
            </w:pPr>
            <w:r>
              <w:rPr>
                <w:sz w:val="18"/>
              </w:rPr>
              <w:t>Noncanonical provenance and normative author instruction only within PAL; not mathematical proof, physical evidence, peer review, or independent corroboration.</w:t>
            </w:r>
          </w:p>
        </w:tc>
      </w:tr>
      <w:tr>
        <w:trPr/>
        <w:tc>
          <w:tcPr>
            <w:tcW w:w="3120" w:type="dxa"/>
            <w:tcBorders/>
            <w:vAlign w:val="top"/>
            <w:shd w:fill="F7F9FB"/>
          </w:tcPr>
          <w:p>
            <w:pPr>
              <w:pStyle w:val="Normal"/>
              <w:widowControl/>
              <w:bidi w:val="0"/>
              <w:spacing w:lineRule="auto" w:line="240" w:before="0" w:after="40"/>
              <w:jc w:val="start"/>
              <w:rPr/>
            </w:pPr>
            <w:r>
              <w:rPr>
                <w:sz w:val="18"/>
              </w:rPr>
              <w:t>PAL v2.3 Spine, Atlas, Ledger, and Tests</w:t>
            </w:r>
          </w:p>
        </w:tc>
        <w:tc>
          <w:tcPr>
            <w:tcW w:w="3120" w:type="dxa"/>
            <w:tcBorders/>
            <w:vAlign w:val="top"/>
            <w:shd w:fill="F7F9FB"/>
          </w:tcPr>
          <w:p>
            <w:pPr>
              <w:pStyle w:val="Normal"/>
              <w:widowControl/>
              <w:bidi w:val="0"/>
              <w:spacing w:lineRule="auto" w:line="240" w:before="0" w:after="40"/>
              <w:jc w:val="start"/>
              <w:rPr/>
            </w:pPr>
            <w:r>
              <w:rPr>
                <w:sz w:val="18"/>
              </w:rPr>
              <w:t>Supply the controlling current identities, bounded realization claims, decision/obligation receipts, and conformance procedures to which this migration note points.</w:t>
            </w:r>
          </w:p>
        </w:tc>
        <w:tc>
          <w:tcPr>
            <w:tcW w:w="3120" w:type="dxa"/>
            <w:tcBorders/>
            <w:vAlign w:val="top"/>
            <w:shd w:fill="F7F9FB"/>
          </w:tcPr>
          <w:p>
            <w:pPr>
              <w:pStyle w:val="Normal"/>
              <w:widowControl/>
              <w:bidi w:val="0"/>
              <w:spacing w:lineRule="auto" w:line="240" w:before="0" w:after="40"/>
              <w:jc w:val="start"/>
              <w:rPr/>
            </w:pPr>
            <w:r>
              <w:rPr>
                <w:sz w:val="18"/>
              </w:rPr>
              <w:t>Each face retains only its named authority; compatibility prose cannot enlarge or replace it.</w:t>
            </w:r>
          </w:p>
        </w:tc>
      </w:tr>
    </w:tbl>
    <w:p>
      <w:pPr>
        <w:pStyle w:val="Normal"/>
        <w:keepNext/>
        <w:keepLines/>
        <w:rPr/>
      </w:pPr>
      <w:r>
        <w:rPr/>
        <w:t>Same-author sources, AI-assisted work, and internal conformance checks may add traceability or reproducibility evidence; they are not independent validation or independent corroboration.</w:t>
      </w:r>
    </w:p>
    <w:p>
      <w:pPr>
        <w:pStyle w:val="BodyText"/>
        <w:rPr/>
      </w:pPr>
      <w:r>
        <w:rPr/>
        <w:t>Sections 1–9 retain the predecessor’s migration sequence, addresses, law map, rejected readings, branch checklist, upgrade routes, and release identities. The v2.2 predecessor bytes remain independently recoverable by DOI and the hashes above. Current front matter, public-release wording, navigation, §10, this provenance account, citation, and end trace are v2.3 additions; they do not masquerade as historical fields.</w:t>
      </w:r>
    </w:p>
    <w:p>
      <w:pPr>
        <w:pStyle w:val="Heading2"/>
        <w:keepNext/>
        <w:keepLines/>
        <w:rPr/>
      </w:pPr>
      <w:bookmarkStart w:id="43" w:name="v2.2v2.3-compatibility-change-log"/>
      <w:r>
        <w:rPr/>
        <w:t>11.2 v2.2→v2.3 Compatibility change log</w:t>
      </w:r>
      <w:bookmarkEnd w:id="43"/>
    </w:p>
    <w:p>
      <w:pPr>
        <w:pStyle w:val="Heading3"/>
        <w:keepNext/>
        <w:keepLines/>
        <w:rPr/>
      </w:pPr>
      <w:bookmarkStart w:id="44" w:name="preserved"/>
      <w:r>
        <w:rPr/>
        <w:t>Preserved</w:t>
      </w:r>
      <w:bookmarkEnd w:id="44"/>
    </w:p>
    <w:p>
      <w:pPr>
        <w:pStyle w:val="BodyText"/>
        <w:keepNext/>
        <w:keepLines/>
        <w:numPr>
          <w:ilvl w:val="0"/>
          <w:numId w:val="16"/>
        </w:numPr>
        <w:spacing w:before="0" w:after="0"/>
        <w:rPr/>
      </w:pPr>
      <w:r>
        <w:rPr/>
        <w:t>The v1.6→v2.0 address map, core-law map, deprecated readings, branch adapter checklist, and upgrade route.</w:t>
      </w:r>
    </w:p>
    <w:p>
      <w:pPr>
        <w:pStyle w:val="BodyText"/>
        <w:numPr>
          <w:ilvl w:val="0"/>
          <w:numId w:val="16"/>
        </w:numPr>
        <w:spacing w:before="0" w:after="0"/>
        <w:rPr/>
      </w:pPr>
      <w:r>
        <w:rPr/>
        <w:t>The complete v2.0→v2.1 and v2.1→v2.2 migration accounts, including honest OPEN boundaries and receipt-preserving rules.</w:t>
      </w:r>
    </w:p>
    <w:p>
      <w:pPr>
        <w:pStyle w:val="BodyText"/>
        <w:numPr>
          <w:ilvl w:val="0"/>
          <w:numId w:val="16"/>
        </w:numPr>
        <w:spacing w:before="0" w:after="0"/>
        <w:rPr/>
      </w:pPr>
      <w:r>
        <w:rPr/>
        <w:t>Ω, A0, Ω*, θ, A1–A15, SC-00–SC-20, four statuses, five authority faces, account operations, prior decisions, obligations, tests, and receipts within their original versions and scopes.</w:t>
      </w:r>
    </w:p>
    <w:p>
      <w:pPr>
        <w:pStyle w:val="Heading3"/>
        <w:keepNext/>
        <w:keepLines/>
        <w:rPr/>
      </w:pPr>
      <w:bookmarkStart w:id="45" w:name="added"/>
      <w:r>
        <w:rPr/>
        <w:t>Added</w:t>
      </w:r>
      <w:bookmarkEnd w:id="45"/>
    </w:p>
    <w:p>
      <w:pPr>
        <w:pStyle w:val="BodyText"/>
        <w:keepNext/>
        <w:keepLines/>
        <w:numPr>
          <w:ilvl w:val="0"/>
          <w:numId w:val="17"/>
        </w:numPr>
        <w:spacing w:before="0" w:after="0"/>
        <w:rPr/>
      </w:pPr>
      <w:r>
        <w:rPr/>
        <w:t>The v1.6 through v2.3 publication-lineage table, explicit succession/account distinction, exact §8.3 surface matrix, and v2.2→v2.3 upgrade procedure.</w:t>
      </w:r>
    </w:p>
    <w:p>
      <w:pPr>
        <w:pStyle w:val="BodyText"/>
        <w:numPr>
          <w:ilvl w:val="0"/>
          <w:numId w:val="17"/>
        </w:numPr>
        <w:spacing w:before="0" w:after="0"/>
        <w:rPr/>
      </w:pPr>
      <w:r>
        <w:rPr/>
        <w:t>Compatibility routes for SC-21, the conditional Atlas additions, D31–D39, O52–O62, and T49–T72.</w:t>
      </w:r>
    </w:p>
    <w:p>
      <w:pPr>
        <w:pStyle w:val="BodyText"/>
        <w:numPr>
          <w:ilvl w:val="0"/>
          <w:numId w:val="17"/>
        </w:numPr>
        <w:spacing w:before="0" w:after="0"/>
        <w:rPr/>
      </w:pPr>
      <w:r>
        <w:rPr/>
        <w:t>The late-directive addendum for the seven-question scope firewall and Atlas-local RAINBOW family, using existing applicable tests.</w:t>
      </w:r>
    </w:p>
    <w:p>
      <w:pPr>
        <w:pStyle w:val="Heading3"/>
        <w:keepNext/>
        <w:keepLines/>
        <w:rPr/>
      </w:pPr>
      <w:bookmarkStart w:id="46" w:name="clarified"/>
      <w:r>
        <w:rPr/>
        <w:t>Clarified</w:t>
      </w:r>
      <w:bookmarkEnd w:id="46"/>
    </w:p>
    <w:p>
      <w:pPr>
        <w:pStyle w:val="BodyText"/>
        <w:keepNext/>
        <w:keepLines/>
        <w:numPr>
          <w:ilvl w:val="0"/>
          <w:numId w:val="18"/>
        </w:numPr>
        <w:spacing w:before="0" w:after="0"/>
        <w:rPr/>
      </w:pPr>
      <w:r>
        <w:rPr/>
        <w:t>Publication succession does not establish PAL-native VERSION; incomplete SC-20 evidence requires SUCCESSOR.</w:t>
      </w:r>
    </w:p>
    <w:p>
      <w:pPr>
        <w:pStyle w:val="BodyText"/>
        <w:numPr>
          <w:ilvl w:val="0"/>
          <w:numId w:val="18"/>
        </w:numPr>
        <w:spacing w:before="0" w:after="0"/>
        <w:rPr/>
      </w:pPr>
      <w:r>
        <w:rPr/>
        <w:t>A v2.2 implementation retains v2.2 conformance and earns v2.3 conformance only by satisfying every applicable new field and test.</w:t>
      </w:r>
    </w:p>
    <w:p>
      <w:pPr>
        <w:pStyle w:val="BodyText"/>
        <w:numPr>
          <w:ilvl w:val="0"/>
          <w:numId w:val="18"/>
        </w:numPr>
        <w:spacing w:before="0" w:after="0"/>
        <w:rPr/>
      </w:pPr>
      <w:r>
        <w:rPr/>
        <w:t>Historical receipts retain their own wording and authority; neither a new schema nor a LegacyReceiptRef supplies absent predecessor data.</w:t>
      </w:r>
    </w:p>
    <w:p>
      <w:pPr>
        <w:pStyle w:val="Heading3"/>
        <w:keepNext/>
        <w:keepLines/>
        <w:rPr/>
      </w:pPr>
      <w:bookmarkStart w:id="47" w:name="rerouted"/>
      <w:r>
        <w:rPr/>
        <w:t>Rerouted</w:t>
      </w:r>
      <w:bookmarkEnd w:id="47"/>
    </w:p>
    <w:p>
      <w:pPr>
        <w:pStyle w:val="BodyText"/>
        <w:keepNext/>
        <w:keepLines/>
        <w:numPr>
          <w:ilvl w:val="0"/>
          <w:numId w:val="19"/>
        </w:numPr>
        <w:spacing w:before="0" w:after="0"/>
        <w:rPr/>
      </w:pPr>
      <w:r>
        <w:rPr/>
        <w:t>Boundary, projection, minimality, transport, and slack rules to the v2.3 Spine and its SC-21 routes.</w:t>
      </w:r>
    </w:p>
    <w:p>
      <w:pPr>
        <w:pStyle w:val="BodyText"/>
        <w:numPr>
          <w:ilvl w:val="0"/>
          <w:numId w:val="19"/>
        </w:numPr>
        <w:spacing w:before="0" w:after="0"/>
        <w:rPr/>
      </w:pPr>
      <w:r>
        <w:rPr/>
        <w:t>Mathematical and geometric realizations, including RAINBOW, to PAL v2.3-M; decision and obligation questions to PAL v2.3-L; conformance evidence to PAL v2.3-T.</w:t>
      </w:r>
    </w:p>
    <w:p>
      <w:pPr>
        <w:pStyle w:val="BodyText"/>
        <w:numPr>
          <w:ilvl w:val="0"/>
          <w:numId w:val="19"/>
        </w:numPr>
        <w:spacing w:before="0" w:after="0"/>
        <w:rPr/>
      </w:pPr>
      <w:r>
        <w:rPr/>
        <w:t>The seven-question text to the Spine/Ledger scope firewall rather than to an ontology, cosmology, physical model, or Compatibility answer.</w:t>
      </w:r>
    </w:p>
    <w:p>
      <w:pPr>
        <w:pStyle w:val="Heading3"/>
        <w:keepNext/>
        <w:keepLines/>
        <w:rPr/>
      </w:pPr>
      <w:bookmarkStart w:id="48" w:name="still-open"/>
      <w:r>
        <w:rPr/>
        <w:t>Still open</w:t>
      </w:r>
      <w:bookmarkEnd w:id="48"/>
    </w:p>
    <w:p>
      <w:pPr>
        <w:pStyle w:val="BodyText"/>
        <w:keepNext/>
        <w:keepLines/>
        <w:numPr>
          <w:ilvl w:val="0"/>
          <w:numId w:val="20"/>
        </w:numPr>
        <w:spacing w:before="0" w:after="0"/>
        <w:rPr/>
      </w:pPr>
      <w:r>
        <w:rPr/>
        <w:t>D-FIRST-OCCURRENCE through O04 and O25, and the scoped multi-parent-lineage design boundary.</w:t>
      </w:r>
    </w:p>
    <w:p>
      <w:pPr>
        <w:pStyle w:val="BodyText"/>
        <w:numPr>
          <w:ilvl w:val="0"/>
          <w:numId w:val="20"/>
        </w:numPr>
        <w:spacing w:before="0" w:after="0"/>
        <w:rPr/>
      </w:pPr>
      <w:r>
        <w:rPr/>
        <w:t>Any physical, cosmological, quantum, universal-scalar, total-decoder, efficiency, causal, privacy, permission, consent, standing, or authority claim without its own later model, witness, adapter, evidence, and receipt.</w:t>
      </w:r>
    </w:p>
    <w:p>
      <w:pPr>
        <w:pStyle w:val="Heading3"/>
        <w:keepNext/>
        <w:keepLines/>
        <w:rPr/>
      </w:pPr>
      <w:bookmarkStart w:id="49" w:name="explicitly-not-promoted"/>
      <w:r>
        <w:rPr/>
        <w:t>Explicitly not promoted</w:t>
      </w:r>
      <w:bookmarkEnd w:id="49"/>
    </w:p>
    <w:p>
      <w:pPr>
        <w:pStyle w:val="BodyText"/>
        <w:keepNext/>
        <w:keepLines/>
        <w:numPr>
          <w:ilvl w:val="0"/>
          <w:numId w:val="21"/>
        </w:numPr>
        <w:spacing w:before="0" w:after="0"/>
        <w:rPr/>
      </w:pPr>
      <w:r>
        <w:rPr/>
        <w:t>No primitive, numbered layer, constructor from Ω, fifth claim status, authority source, sixth face, universal geometry, scalar information-loss law, physical law, quantum-collapse account, progress-by-heartbeat rule, or independent validation.</w:t>
      </w:r>
    </w:p>
    <w:p>
      <w:pPr>
        <w:pStyle w:val="BodyText"/>
        <w:numPr>
          <w:ilvl w:val="0"/>
          <w:numId w:val="21"/>
        </w:numPr>
        <w:spacing w:before="0" w:after="0"/>
        <w:rPr/>
      </w:pPr>
      <w:r>
        <w:rPr/>
        <w:t>The seven-question scope statement is not an answer; RAINBOW is not the spine, an ontology, a physical theory, or evidence merely because its presentation is coherent or visually compelling.</w:t>
      </w:r>
    </w:p>
    <w:p>
      <w:pPr>
        <w:pStyle w:val="BodyText"/>
        <w:numPr>
          <w:ilvl w:val="0"/>
          <w:numId w:val="21"/>
        </w:numPr>
        <w:spacing w:before="0" w:after="0"/>
        <w:rPr/>
      </w:pPr>
      <w:r>
        <w:rPr/>
        <w:t>A TestReceipt is not A15 status, a hash is not authority, and publication succession is not automatically VERSION.</w:t>
      </w:r>
    </w:p>
    <w:p>
      <w:pPr>
        <w:pStyle w:val="Heading1"/>
        <w:keepNext/>
        <w:keepLines/>
        <w:rPr/>
      </w:pPr>
      <w:bookmarkStart w:id="50" w:name="references"/>
      <w:r>
        <w:rPr/>
        <w:t>References</w:t>
      </w:r>
      <w:bookmarkEnd w:id="50"/>
    </w:p>
    <w:p>
      <w:pPr>
        <w:pStyle w:val="Normal"/>
        <w:keepNext/>
        <w:keepLines/>
        <w:rPr/>
      </w:pPr>
      <w:r>
        <w:rPr/>
        <w:t>P1 and P5–P8 identify the public PAL release lineage. P2–P4 identify active public interfaces. Remaining sources ground historical mathematical realization claims; they do not define the mechanical spine or enlarge this Compatibility Note’s migration authority.</w:t>
      </w:r>
    </w:p>
    <w:p>
      <w:pPr>
        <w:pStyle w:val="BodyText"/>
        <w:numPr>
          <w:ilvl w:val="0"/>
          <w:numId w:val="22"/>
        </w:numPr>
        <w:rPr/>
      </w:pPr>
      <w:r>
        <w:rPr/>
        <w:t xml:space="preserve">[P1] Pang, C. D. (2026). PAL - Primitive Axiom Layers: Formal Structural Foundation v1.6. Zenodo. </w:t>
      </w:r>
      <w:hyperlink r:id="rId2">
        <w:r>
          <w:rPr>
            <w:rStyle w:val="Hyperlink"/>
          </w:rPr>
          <w:t>doi:10.5281/zenodo.21635188</w:t>
        </w:r>
      </w:hyperlink>
    </w:p>
    <w:p>
      <w:pPr>
        <w:pStyle w:val="BodyText"/>
        <w:numPr>
          <w:ilvl w:val="0"/>
          <w:numId w:val="22"/>
        </w:numPr>
        <w:rPr/>
      </w:pPr>
      <w:r>
        <w:rPr/>
        <w:t xml:space="preserve">[P2] Pang, C. D. (2026). PEA Core v1.1.3: Public Ethical Review Specification. Reserved release record. </w:t>
      </w:r>
      <w:hyperlink r:id="rId3">
        <w:r>
          <w:rPr>
            <w:rStyle w:val="Hyperlink"/>
          </w:rPr>
          <w:t>doi:10.5281/zenodo.21911684</w:t>
        </w:r>
      </w:hyperlink>
    </w:p>
    <w:p>
      <w:pPr>
        <w:pStyle w:val="BodyText"/>
        <w:numPr>
          <w:ilvl w:val="0"/>
          <w:numId w:val="22"/>
        </w:numPr>
        <w:rPr/>
      </w:pPr>
      <w:r>
        <w:rPr/>
        <w:t xml:space="preserve">[P3] Pang, C. D. (2026). PECAN v1.0.4: Public Protocol Specification. Zenodo. </w:t>
      </w:r>
      <w:hyperlink r:id="rId4">
        <w:r>
          <w:rPr>
            <w:rStyle w:val="Hyperlink"/>
          </w:rPr>
          <w:t>doi:10.5281/zenodo.21760884</w:t>
        </w:r>
      </w:hyperlink>
    </w:p>
    <w:p>
      <w:pPr>
        <w:pStyle w:val="BodyText"/>
        <w:numPr>
          <w:ilvl w:val="0"/>
          <w:numId w:val="22"/>
        </w:numPr>
        <w:rPr/>
      </w:pPr>
      <w:r>
        <w:rPr/>
        <w:t xml:space="preserve">[P4] Pang, C. D. (2026). SEED v0.3: Complete Release Discipline and Mathematical Realization. Zenodo. </w:t>
      </w:r>
      <w:hyperlink r:id="rId5">
        <w:r>
          <w:rPr>
            <w:rStyle w:val="Hyperlink"/>
          </w:rPr>
          <w:t>doi:10.5281/zenodo.21760893</w:t>
        </w:r>
      </w:hyperlink>
    </w:p>
    <w:p>
      <w:pPr>
        <w:pStyle w:val="BodyText"/>
        <w:numPr>
          <w:ilvl w:val="0"/>
          <w:numId w:val="22"/>
        </w:numPr>
        <w:rPr/>
      </w:pPr>
      <w:r>
        <w:rPr/>
        <w:t xml:space="preserve">[P5] Pang, Christopher D. (2026). PAL v2.0 — Primitive Axiom Layers. Zenodo. </w:t>
      </w:r>
      <w:hyperlink r:id="rId6">
        <w:r>
          <w:rPr>
            <w:rStyle w:val="Hyperlink"/>
          </w:rPr>
          <w:t>doi:10.5281/zenodo.21754097</w:t>
        </w:r>
      </w:hyperlink>
    </w:p>
    <w:p>
      <w:pPr>
        <w:pStyle w:val="BodyText"/>
        <w:numPr>
          <w:ilvl w:val="0"/>
          <w:numId w:val="22"/>
        </w:numPr>
        <w:rPr/>
      </w:pPr>
      <w:r>
        <w:rPr/>
        <w:t xml:space="preserve">[P6] Pang, Christopher D. (2026). PAL v2.1 — Primitive Axiom Layers. Zenodo. </w:t>
      </w:r>
      <w:hyperlink r:id="rId7">
        <w:r>
          <w:rPr>
            <w:rStyle w:val="Hyperlink"/>
          </w:rPr>
          <w:t>doi:10.5281/zenodo.21864767</w:t>
        </w:r>
      </w:hyperlink>
    </w:p>
    <w:p>
      <w:pPr>
        <w:pStyle w:val="BodyText"/>
        <w:numPr>
          <w:ilvl w:val="0"/>
          <w:numId w:val="22"/>
        </w:numPr>
        <w:rPr/>
      </w:pPr>
      <w:r>
        <w:rPr/>
        <w:t xml:space="preserve">[P7] Pang, Christopher D. (2026). PAL v2.2 — Primitive Axiom Layers. Zenodo. </w:t>
      </w:r>
      <w:hyperlink r:id="rId8">
        <w:r>
          <w:rPr>
            <w:rStyle w:val="Hyperlink"/>
          </w:rPr>
          <w:t>doi:10.5281/zenodo.21891598</w:t>
        </w:r>
      </w:hyperlink>
    </w:p>
    <w:p>
      <w:pPr>
        <w:pStyle w:val="BodyText"/>
        <w:numPr>
          <w:ilvl w:val="0"/>
          <w:numId w:val="22"/>
        </w:numPr>
        <w:rPr/>
      </w:pPr>
      <w:r>
        <w:rPr/>
        <w:t xml:space="preserve">[P8] Pang, Christopher D. (2026). PAL v2.3 — Primitive Axiom Layers. Zenodo. </w:t>
      </w:r>
      <w:hyperlink r:id="rId9">
        <w:r>
          <w:rPr>
            <w:rStyle w:val="Hyperlink"/>
          </w:rPr>
          <w:t>doi:10.5281/zenodo.22240134</w:t>
        </w:r>
      </w:hyperlink>
    </w:p>
    <w:p>
      <w:pPr>
        <w:pStyle w:val="BodyText"/>
        <w:numPr>
          <w:ilvl w:val="0"/>
          <w:numId w:val="22"/>
        </w:numPr>
        <w:rPr/>
      </w:pPr>
      <w:r>
        <w:rPr/>
        <w:t xml:space="preserve">[S1] Vîţă, L. S., &amp; Bridges, D. S. (2003). Separatedness in constructive topology. Documenta Mathematica, 8, 567-576. </w:t>
      </w:r>
      <w:hyperlink r:id="rId10">
        <w:r>
          <w:rPr>
            <w:rStyle w:val="Hyperlink"/>
          </w:rPr>
          <w:t>doi:10.4171/DM/151</w:t>
        </w:r>
      </w:hyperlink>
    </w:p>
    <w:p>
      <w:pPr>
        <w:pStyle w:val="BodyText"/>
        <w:numPr>
          <w:ilvl w:val="0"/>
          <w:numId w:val="22"/>
        </w:numPr>
        <w:rPr/>
      </w:pPr>
      <w:r>
        <w:rPr/>
        <w:t xml:space="preserve">[S2] Driscoll, J. R., Sarnak, N., Sleator, D. D., &amp; Tarjan, R. E. (1989). Making data structures persistent. Journal of Computer and System Sciences, 38(1), 86-124. </w:t>
      </w:r>
      <w:hyperlink r:id="rId11">
        <w:r>
          <w:rPr>
            <w:rStyle w:val="Hyperlink"/>
          </w:rPr>
          <w:t>doi:10.1016/0022-0000(89)90034-2</w:t>
        </w:r>
      </w:hyperlink>
    </w:p>
    <w:p>
      <w:pPr>
        <w:pStyle w:val="BodyText"/>
        <w:numPr>
          <w:ilvl w:val="0"/>
          <w:numId w:val="22"/>
        </w:numPr>
        <w:rPr/>
      </w:pPr>
      <w:r>
        <w:rPr/>
        <w:t xml:space="preserve">[S3] Lawvere, F. W. (1973). Metric spaces, generalized logic, and closed categories. Rendiconti del Seminario Matematico e Fisico di Milano, 43, 135-166. </w:t>
      </w:r>
      <w:hyperlink r:id="rId12">
        <w:r>
          <w:rPr>
            <w:rStyle w:val="Hyperlink"/>
          </w:rPr>
          <w:t>doi:10.1007/BF02924844</w:t>
        </w:r>
      </w:hyperlink>
    </w:p>
    <w:p>
      <w:pPr>
        <w:pStyle w:val="BodyText"/>
        <w:numPr>
          <w:ilvl w:val="0"/>
          <w:numId w:val="22"/>
        </w:numPr>
        <w:rPr/>
      </w:pPr>
      <w:r>
        <w:rPr/>
        <w:t xml:space="preserve">[S4] Joyal, A., Street, R., &amp; Verity, D. (1996). Traced monoidal categories. Mathematical Proceedings of the Cambridge Philosophical Society, 119(3), 447-468. </w:t>
      </w:r>
      <w:hyperlink r:id="rId13">
        <w:r>
          <w:rPr>
            <w:rStyle w:val="Hyperlink"/>
          </w:rPr>
          <w:t>doi:10.1017/S0305004100074338</w:t>
        </w:r>
      </w:hyperlink>
    </w:p>
    <w:p>
      <w:pPr>
        <w:pStyle w:val="BodyText"/>
        <w:numPr>
          <w:ilvl w:val="0"/>
          <w:numId w:val="22"/>
        </w:numPr>
        <w:rPr/>
      </w:pPr>
      <w:r>
        <w:rPr/>
        <w:t xml:space="preserve">[S5] Girard, J.-Y. (1987). Linear logic. Theoretical Computer Science, 50(1), 1-101. </w:t>
      </w:r>
      <w:hyperlink r:id="rId14">
        <w:r>
          <w:rPr>
            <w:rStyle w:val="Hyperlink"/>
          </w:rPr>
          <w:t>doi:10.1016/0304-3975(87)90045-4</w:t>
        </w:r>
      </w:hyperlink>
    </w:p>
    <w:p>
      <w:pPr>
        <w:pStyle w:val="BodyText"/>
        <w:numPr>
          <w:ilvl w:val="0"/>
          <w:numId w:val="22"/>
        </w:numPr>
        <w:rPr/>
      </w:pPr>
      <w:r>
        <w:rPr/>
        <w:t>[S6] Petri, C. A. (1966). Communication with Automata. Technical Report RADC-TR-65-377 (English translation; dissertation approved 1962).</w:t>
      </w:r>
    </w:p>
    <w:p>
      <w:pPr>
        <w:pStyle w:val="BodyText"/>
        <w:numPr>
          <w:ilvl w:val="0"/>
          <w:numId w:val="22"/>
        </w:numPr>
        <w:rPr/>
      </w:pPr>
      <w:r>
        <w:rPr/>
        <w:t xml:space="preserve">[S7] Green, T. J., Karvounarakis, G., &amp; Tannen, V. (2007). Provenance semirings. Proceedings of PODS, 31-40. </w:t>
      </w:r>
      <w:hyperlink r:id="rId15">
        <w:r>
          <w:rPr>
            <w:rStyle w:val="Hyperlink"/>
          </w:rPr>
          <w:t>doi:10.1145/1265530.1265535</w:t>
        </w:r>
      </w:hyperlink>
    </w:p>
    <w:p>
      <w:pPr>
        <w:pStyle w:val="BodyText"/>
        <w:numPr>
          <w:ilvl w:val="0"/>
          <w:numId w:val="22"/>
        </w:numPr>
        <w:rPr/>
      </w:pPr>
      <w:r>
        <w:rPr/>
        <w:t xml:space="preserve">[S8] Nerode, A. (1958). Linear automaton transformations. Proceedings of the American Mathematical Society, 9, 541-544. </w:t>
      </w:r>
      <w:hyperlink r:id="rId16">
        <w:r>
          <w:rPr>
            <w:rStyle w:val="Hyperlink"/>
          </w:rPr>
          <w:t>doi:10.1090/S0002-9939-1958-0135681-9</w:t>
        </w:r>
      </w:hyperlink>
    </w:p>
    <w:p>
      <w:pPr>
        <w:pStyle w:val="BodyText"/>
        <w:numPr>
          <w:ilvl w:val="0"/>
          <w:numId w:val="22"/>
        </w:numPr>
        <w:rPr/>
      </w:pPr>
      <w:r>
        <w:rPr/>
        <w:t>[S9] Littman, M. L., Sutton, R. S., &amp; Singh, S. (2001). Predictive representations of state. Advances in Neural Information Processing Systems, 14, 1555-1561.</w:t>
      </w:r>
    </w:p>
    <w:p>
      <w:pPr>
        <w:pStyle w:val="BodyText"/>
        <w:numPr>
          <w:ilvl w:val="0"/>
          <w:numId w:val="22"/>
        </w:numPr>
        <w:rPr/>
      </w:pPr>
      <w:r>
        <w:rPr/>
        <w:t>[S10] Aubin, J.-P., &amp; Cellina, A. (1982). Differential Inclusions and Viability Theory. IIASA WP-82-051.</w:t>
      </w:r>
    </w:p>
    <w:p>
      <w:pPr>
        <w:pStyle w:val="BodyText"/>
        <w:numPr>
          <w:ilvl w:val="0"/>
          <w:numId w:val="22"/>
        </w:numPr>
        <w:rPr/>
      </w:pPr>
      <w:r>
        <w:rPr/>
        <w:t xml:space="preserve">[S11] Manna, Z., &amp; Pnueli, A. (1991). Completing the temporal picture. Theoretical Computer Science, 83(1), 97-130. </w:t>
      </w:r>
      <w:hyperlink r:id="rId17">
        <w:r>
          <w:rPr>
            <w:rStyle w:val="Hyperlink"/>
          </w:rPr>
          <w:t>doi:10.1016/0304-3975(91)90041-Y</w:t>
        </w:r>
      </w:hyperlink>
    </w:p>
    <w:p>
      <w:pPr>
        <w:pStyle w:val="BodyText"/>
        <w:numPr>
          <w:ilvl w:val="0"/>
          <w:numId w:val="22"/>
        </w:numPr>
        <w:rPr/>
      </w:pPr>
      <w:r>
        <w:rPr/>
        <w:t xml:space="preserve">[S13] Doyle, J. (1979). A truth maintenance system. Artificial Intelligence, 12(3), 231-272. </w:t>
      </w:r>
      <w:hyperlink r:id="rId18">
        <w:r>
          <w:rPr>
            <w:rStyle w:val="Hyperlink"/>
          </w:rPr>
          <w:t>doi:10.1016/0004-3702(79)90008-0</w:t>
        </w:r>
      </w:hyperlink>
    </w:p>
    <w:p>
      <w:pPr>
        <w:pStyle w:val="BodyText"/>
        <w:numPr>
          <w:ilvl w:val="0"/>
          <w:numId w:val="22"/>
        </w:numPr>
        <w:rPr/>
      </w:pPr>
      <w:r>
        <w:rPr/>
        <w:t xml:space="preserve">[S14] Hansen, J., &amp; Ghrist, R. (2019). Toward a spectral theory of cellular sheaves. Journal of Applied and Computational Topology, 3, 315-358. </w:t>
      </w:r>
      <w:hyperlink r:id="rId19">
        <w:r>
          <w:rPr>
            <w:rStyle w:val="Hyperlink"/>
          </w:rPr>
          <w:t>doi:10.1007/s41468-019-00038-7</w:t>
        </w:r>
      </w:hyperlink>
    </w:p>
    <w:p>
      <w:pPr>
        <w:pStyle w:val="BodyText"/>
        <w:numPr>
          <w:ilvl w:val="0"/>
          <w:numId w:val="22"/>
        </w:numPr>
        <w:rPr/>
      </w:pPr>
      <w:r>
        <w:rPr/>
        <w:t xml:space="preserve">[S15] Sanfelice, R. G., Goebel, R., &amp; Teel, A. R. (2008). Generalized solutions to hybrid dynamical systems. ESAIM: COCV, 14(4), 699-724. </w:t>
      </w:r>
      <w:hyperlink r:id="rId20">
        <w:r>
          <w:rPr>
            <w:rStyle w:val="Hyperlink"/>
          </w:rPr>
          <w:t>doi:10.1051/cocv:2008008</w:t>
        </w:r>
      </w:hyperlink>
    </w:p>
    <w:p>
      <w:pPr>
        <w:pStyle w:val="BodyText"/>
        <w:numPr>
          <w:ilvl w:val="0"/>
          <w:numId w:val="22"/>
        </w:numPr>
        <w:rPr/>
      </w:pPr>
      <w:r>
        <w:rPr/>
        <w:t>[S16] Lean 4. Theorem Proving in Lean 4: Type Classes (Decidable propositions and effective case analysis). PAL v1.6 did not pin a commit; implementations must record the exact version used.</w:t>
      </w:r>
    </w:p>
    <w:p>
      <w:pPr>
        <w:pStyle w:val="BodyText"/>
        <w:numPr>
          <w:ilvl w:val="0"/>
          <w:numId w:val="22"/>
        </w:numPr>
        <w:rPr/>
      </w:pPr>
      <w:r>
        <w:rPr/>
        <w:t>[S17] Mathlib 4. Mathlib.Logic.Basic (constructive and classical logical infrastructure). PAL v1.6 did not pin a commit; implementations must record the exact version used.</w:t>
      </w:r>
    </w:p>
    <w:p>
      <w:pPr>
        <w:pStyle w:val="BodyText"/>
        <w:numPr>
          <w:ilvl w:val="0"/>
          <w:numId w:val="22"/>
        </w:numPr>
        <w:rPr/>
      </w:pPr>
      <w:r>
        <w:rPr/>
        <w:t>[S18] Mathlib 4. Mathlib.Order.WellFounded (well-founded relations and induction). PAL v1.6 did not pin a commit; implementations must record the exact version used.</w:t>
      </w:r>
    </w:p>
    <w:p>
      <w:pPr>
        <w:pStyle w:val="BodyText"/>
        <w:numPr>
          <w:ilvl w:val="0"/>
          <w:numId w:val="22"/>
        </w:numPr>
        <w:rPr/>
      </w:pPr>
      <w:r>
        <w:rPr/>
        <w:t xml:space="preserve">[S19] Martin-Löf, P. (1975). An intuitionistic theory of types: Predicative part. Logic Colloquium ’73, 73-118. </w:t>
      </w:r>
      <w:hyperlink r:id="rId21">
        <w:r>
          <w:rPr>
            <w:rStyle w:val="Hyperlink"/>
          </w:rPr>
          <w:t>doi:10.1016/S0049-237X(08)71945-1</w:t>
        </w:r>
      </w:hyperlink>
    </w:p>
    <w:p>
      <w:pPr>
        <w:pStyle w:val="BodyText"/>
        <w:numPr>
          <w:ilvl w:val="0"/>
          <w:numId w:val="22"/>
        </w:numPr>
        <w:rPr/>
      </w:pPr>
      <w:r>
        <w:rPr/>
        <w:t xml:space="preserve">[S25] Werner, R. F. (1989). Quantum states with Einstein-Podolsky-Rosen correlations admitting a hidden-variable model. Physical Review A, 40, 4277-4281. </w:t>
      </w:r>
      <w:hyperlink r:id="rId22">
        <w:r>
          <w:rPr>
            <w:rStyle w:val="Hyperlink"/>
          </w:rPr>
          <w:t>doi:10.1103/PhysRevA.40.4277</w:t>
        </w:r>
      </w:hyperlink>
    </w:p>
    <w:p>
      <w:pPr>
        <w:pStyle w:val="BodyText"/>
        <w:numPr>
          <w:ilvl w:val="0"/>
          <w:numId w:val="22"/>
        </w:numPr>
        <w:rPr/>
      </w:pPr>
      <w:r>
        <w:rPr/>
        <w:t xml:space="preserve">[S26] Horodecki, M., Horodecki, P., &amp; Horodecki, R. (1996). Separability of mixed states: Necessary and sufficient conditions. Physics Letters A, 223, 1-8. </w:t>
      </w:r>
      <w:hyperlink r:id="rId23">
        <w:r>
          <w:rPr>
            <w:rStyle w:val="Hyperlink"/>
          </w:rPr>
          <w:t>doi:10.1016/S0375-9601(96)00706-2</w:t>
        </w:r>
      </w:hyperlink>
    </w:p>
    <w:p>
      <w:pPr>
        <w:pStyle w:val="BodyText"/>
        <w:numPr>
          <w:ilvl w:val="0"/>
          <w:numId w:val="22"/>
        </w:numPr>
        <w:rPr/>
      </w:pPr>
      <w:r>
        <w:rPr/>
        <w:t xml:space="preserve">[S27] Bell, J. S. (1964). On the Einstein Podolsky Rosen paradox. Physics Physique Fizika, 1, 195-200. </w:t>
      </w:r>
      <w:hyperlink r:id="rId24">
        <w:r>
          <w:rPr>
            <w:rStyle w:val="Hyperlink"/>
          </w:rPr>
          <w:t>doi:10.1103/PhysicsPhysiqueFizika.1.195</w:t>
        </w:r>
      </w:hyperlink>
    </w:p>
    <w:p>
      <w:pPr>
        <w:pStyle w:val="BodyText"/>
        <w:numPr>
          <w:ilvl w:val="0"/>
          <w:numId w:val="22"/>
        </w:numPr>
        <w:rPr/>
      </w:pPr>
      <w:r>
        <w:rPr/>
        <w:t xml:space="preserve">[S28] Coecke, B., Fritz, T., &amp; Spekkens, R. W. (2016). A mathematical theory of resources. Information and Computation, 250, 59-86. </w:t>
      </w:r>
      <w:hyperlink r:id="rId25">
        <w:r>
          <w:rPr>
            <w:rStyle w:val="Hyperlink"/>
          </w:rPr>
          <w:t>doi:10.1016/j.ic.2016.02.008</w:t>
        </w:r>
      </w:hyperlink>
    </w:p>
    <w:p>
      <w:pPr>
        <w:pStyle w:val="BodyText"/>
        <w:numPr>
          <w:ilvl w:val="0"/>
          <w:numId w:val="22"/>
        </w:numPr>
        <w:rPr/>
      </w:pPr>
      <w:r>
        <w:rPr/>
        <w:t xml:space="preserve">[S29] Fritz, T. (2017). Resource convertibility and ordered commutative monoids. Mathematical Structures in Computer Science, 27(6), 850-938. </w:t>
      </w:r>
      <w:hyperlink r:id="rId26">
        <w:r>
          <w:rPr>
            <w:rStyle w:val="Hyperlink"/>
          </w:rPr>
          <w:t>doi:10.1017/S0960129515000444</w:t>
        </w:r>
      </w:hyperlink>
    </w:p>
    <w:p>
      <w:pPr>
        <w:pStyle w:val="BodyText"/>
        <w:numPr>
          <w:ilvl w:val="0"/>
          <w:numId w:val="22"/>
        </w:numPr>
        <w:rPr/>
      </w:pPr>
      <w:r>
        <w:rPr/>
        <w:t>[S30] Rockafellar, R. T. (1970). Convex Analysis. Princeton University Press.</w:t>
      </w:r>
    </w:p>
    <w:p>
      <w:pPr>
        <w:pStyle w:val="BodyText"/>
        <w:numPr>
          <w:ilvl w:val="0"/>
          <w:numId w:val="22"/>
        </w:numPr>
        <w:rPr/>
      </w:pPr>
      <w:r>
        <w:rPr/>
        <w:t>[S33] Mathlib 4. Mathlib.CategoryTheory.PathCategory.Basic (finite paths on a quiver and extension of edge maps to path composition). PAL v1.6 did not pin a commit; implementations must record the exact version used.</w:t>
      </w:r>
    </w:p>
    <w:p>
      <w:pPr>
        <w:pStyle w:val="BodyText"/>
        <w:numPr>
          <w:ilvl w:val="0"/>
          <w:numId w:val="22"/>
        </w:numPr>
        <w:rPr/>
      </w:pPr>
      <w:r>
        <w:rPr/>
        <w:t>[S36] Mathlib 4. Mathlib.Order.WellFounded (well-founded induction and absence of infinite descending chains). PAL v1.6 did not pin a commit; implementations must record the exact version used.</w:t>
      </w:r>
    </w:p>
    <w:p>
      <w:pPr>
        <w:pStyle w:val="BodyText"/>
        <w:numPr>
          <w:ilvl w:val="0"/>
          <w:numId w:val="22"/>
        </w:numPr>
        <w:rPr/>
      </w:pPr>
      <w:r>
        <w:rPr/>
        <w:t xml:space="preserve">[S39] Gabbay, M. J., &amp; Pitts, A. M. (2002). A new approach to abstract syntax with variable binding. Formal Aspects of Computing, 13, 341-363. </w:t>
      </w:r>
      <w:hyperlink r:id="rId27">
        <w:r>
          <w:rPr>
            <w:rStyle w:val="Hyperlink"/>
          </w:rPr>
          <w:t>doi:10.1007/s001650200016</w:t>
        </w:r>
      </w:hyperlink>
    </w:p>
    <w:p>
      <w:pPr>
        <w:pStyle w:val="BodyText"/>
        <w:numPr>
          <w:ilvl w:val="0"/>
          <w:numId w:val="22"/>
        </w:numPr>
        <w:rPr/>
      </w:pPr>
      <w:r>
        <w:rPr/>
        <w:t xml:space="preserve">[S40] Pitts, A. M. (2013). Nominal Sets: Names and Symmetry in Computer Science. Cambridge University Press. </w:t>
      </w:r>
      <w:hyperlink r:id="rId28">
        <w:r>
          <w:rPr>
            <w:rStyle w:val="Hyperlink"/>
          </w:rPr>
          <w:t>doi:10.1017/CBO9781139084673</w:t>
        </w:r>
      </w:hyperlink>
    </w:p>
    <w:p>
      <w:pPr>
        <w:pStyle w:val="BodyText"/>
        <w:numPr>
          <w:ilvl w:val="0"/>
          <w:numId w:val="22"/>
        </w:numPr>
        <w:rPr/>
      </w:pPr>
      <w:r>
        <w:rPr/>
        <w:t xml:space="preserve">[S41] Honda, K., Vasconcelos, V. T., &amp; Kubo, M. (1998). Language primitives and type discipline for structured communication-based programming. ESOP 1998, 122-138. </w:t>
      </w:r>
      <w:hyperlink r:id="rId29">
        <w:r>
          <w:rPr>
            <w:rStyle w:val="Hyperlink"/>
          </w:rPr>
          <w:t>doi:10.1007/BFb0053567</w:t>
        </w:r>
      </w:hyperlink>
    </w:p>
    <w:p>
      <w:pPr>
        <w:pStyle w:val="Heading1"/>
        <w:keepNext/>
        <w:keepLines/>
        <w:rPr/>
      </w:pPr>
      <w:bookmarkStart w:id="51" w:name="recommended-citation"/>
      <w:r>
        <w:rPr/>
        <w:t>Recommended citation</w:t>
      </w:r>
      <w:bookmarkEnd w:id="51"/>
    </w:p>
    <w:p>
      <w:pPr>
        <w:pStyle w:val="Normal"/>
        <w:keepNext/>
        <w:keepLines/>
        <w:rPr>
          <w:b/>
          <w:bCs/>
        </w:rPr>
      </w:pPr>
      <w:r>
        <w:rPr>
          <w:b/>
          <w:bCs/>
        </w:rPr>
        <w:t>Pang, Christopher D. (2026). PAL v2.3 — Primitive Axiom Layers. Zenodo. https://doi.org/10.5281/zenodo.22240134</w:t>
      </w:r>
    </w:p>
    <w:p>
      <w:pPr>
        <w:pStyle w:val="BodyText"/>
        <w:rPr/>
      </w:pPr>
      <w:r>
        <w:rPr/>
        <w:t>Component cited: PAL v2.3-C — Compatibility Note. The DOI identifies the coordinated package.</w:t>
      </w:r>
    </w:p>
    <w:p>
      <w:pPr>
        <w:pStyle w:val="BodyText"/>
        <w:rPr/>
      </w:pPr>
      <w:r>
        <w:rPr/>
        <w:t>DOI record: 10.5281/zenodo.22240134</w:t>
      </w:r>
    </w:p>
    <w:p>
      <w:pPr>
        <w:pStyle w:val="Heading1"/>
        <w:keepNext/>
        <w:keepLines/>
        <w:rPr/>
      </w:pPr>
      <w:bookmarkStart w:id="52" w:name="license-and-attribution"/>
      <w:r>
        <w:rPr/>
        <w:t>License and attribution</w:t>
      </w:r>
      <w:bookmarkEnd w:id="52"/>
    </w:p>
    <w:p>
      <w:pPr>
        <w:pStyle w:val="Normal"/>
        <w:keepNext/>
        <w:keepLines/>
        <w:rPr/>
      </w:pPr>
      <w:r>
        <w:rPr/>
        <w:t>© 2026 Christopher D. Pang. This work is licensed under Creative Commons Attribution 4.0 International (CC BY 4.0).</w:t>
      </w:r>
    </w:p>
    <w:p>
      <w:pPr>
        <w:pStyle w:val="BodyText"/>
        <w:rPr/>
      </w:pPr>
      <w:hyperlink r:id="rId30">
        <w:r>
          <w:rPr>
            <w:rStyle w:val="Hyperlink"/>
          </w:rPr>
          <w:t>CC BY 4.0 license</w:t>
        </w:r>
      </w:hyperlink>
    </w:p>
    <w:p>
      <w:pPr>
        <w:pStyle w:val="Heading1"/>
        <w:keepNext/>
        <w:keepLines/>
        <w:rPr/>
      </w:pPr>
      <w:bookmarkStart w:id="53" w:name="ai-assistance-authorship-and-release-tra"/>
      <w:r>
        <w:rPr/>
        <w:t>AI assistance, authorship, and release trace</w:t>
      </w:r>
      <w:bookmarkEnd w:id="53"/>
    </w:p>
    <w:p>
      <w:pPr>
        <w:pStyle w:val="Normal"/>
        <w:keepNext/>
        <w:keepLines/>
        <w:rPr/>
      </w:pPr>
      <w:r>
        <w:rPr/>
        <w:t>Christopher D. Pang originated PAL’s framework and conceptual identities, supplied its source corpus and terminology, and is its sole author and steward and sole authority for adopting, rejecting, or revising its framework claims. AI systems did not originate PAL. OpenAI ChatGPT and Codex were used under his direction for drafting and editing, mathematical exploration, code and test-fixture development, adversarial and consistency review, source reconciliation, testing, document generation, and formatting. Their outputs were proposals and tool results with no PAL authority unless Pang reviewed and expressly adopted them; unadopted output is not PAL. The systems are not authors, co-authors, inventors, owners, stewards, witnesses, release authorities, independent authorities, or independent corroborators, and model output is not privileged testimony or independent corroboration.</w:t>
      </w:r>
    </w:p>
    <w:p>
      <w:pPr>
        <w:pStyle w:val="Heading1"/>
        <w:keepNext/>
        <w:keepLines/>
        <w:rPr/>
      </w:pPr>
      <w:bookmarkStart w:id="54" w:name="end-of-component-trace"/>
      <w:r>
        <w:rPr/>
        <w:t>End-of-component trace</w:t>
      </w:r>
      <w:bookmarkEnd w:id="5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Trace</w:t>
            </w:r>
          </w:p>
        </w:tc>
      </w:tr>
      <w:tr>
        <w:trPr/>
        <w:tc>
          <w:tcPr>
            <w:tcW w:w="2621" w:type="dxa"/>
            <w:tcBorders/>
            <w:vAlign w:val="top"/>
          </w:tcPr>
          <w:p>
            <w:pPr>
              <w:pStyle w:val="Normal"/>
              <w:widowControl/>
              <w:bidi w:val="0"/>
              <w:spacing w:lineRule="auto" w:line="240" w:before="0" w:after="40"/>
              <w:jc w:val="start"/>
              <w:rPr/>
            </w:pPr>
            <w:r>
              <w:rPr>
                <w:sz w:val="19"/>
              </w:rPr>
              <w:t>Release</w:t>
            </w:r>
          </w:p>
        </w:tc>
        <w:tc>
          <w:tcPr>
            <w:tcW w:w="6739" w:type="dxa"/>
            <w:tcBorders/>
            <w:vAlign w:val="top"/>
          </w:tcPr>
          <w:p>
            <w:pPr>
              <w:pStyle w:val="Normal"/>
              <w:widowControl/>
              <w:bidi w:val="0"/>
              <w:spacing w:lineRule="auto" w:line="240" w:before="0" w:after="40"/>
              <w:jc w:val="start"/>
              <w:rPr/>
            </w:pPr>
            <w:r>
              <w:rPr>
                <w:sz w:val="19"/>
              </w:rPr>
              <w:t>PAL v2.3 — Primitive Axiom Layers</w:t>
            </w:r>
          </w:p>
        </w:tc>
      </w:tr>
      <w:tr>
        <w:trPr/>
        <w:tc>
          <w:tcPr>
            <w:tcW w:w="2621" w:type="dxa"/>
            <w:tcBorders/>
            <w:vAlign w:val="top"/>
            <w:shd w:fill="F7F9FB"/>
          </w:tcPr>
          <w:p>
            <w:pPr>
              <w:pStyle w:val="Normal"/>
              <w:widowControl/>
              <w:bidi w:val="0"/>
              <w:spacing w:lineRule="auto" w:line="240" w:before="0" w:after="40"/>
              <w:jc w:val="start"/>
              <w:rPr/>
            </w:pPr>
            <w:r>
              <w:rPr>
                <w:sz w:val="19"/>
              </w:rPr>
              <w:t>Component</w:t>
            </w:r>
          </w:p>
        </w:tc>
        <w:tc>
          <w:tcPr>
            <w:tcW w:w="6739" w:type="dxa"/>
            <w:tcBorders/>
            <w:vAlign w:val="top"/>
            <w:shd w:fill="F7F9FB"/>
          </w:tcPr>
          <w:p>
            <w:pPr>
              <w:pStyle w:val="Normal"/>
              <w:widowControl/>
              <w:bidi w:val="0"/>
              <w:spacing w:lineRule="auto" w:line="240" w:before="0" w:after="40"/>
              <w:jc w:val="start"/>
              <w:rPr/>
            </w:pPr>
            <w:r>
              <w:rPr>
                <w:sz w:val="19"/>
              </w:rPr>
              <w:t>PAL v2.3-C — Compatibility Note</w:t>
            </w:r>
          </w:p>
        </w:tc>
      </w:tr>
      <w:tr>
        <w:trPr/>
        <w:tc>
          <w:tcPr>
            <w:tcW w:w="2621" w:type="dxa"/>
            <w:tcBorders/>
            <w:vAlign w:val="top"/>
          </w:tcPr>
          <w:p>
            <w:pPr>
              <w:pStyle w:val="Normal"/>
              <w:widowControl/>
              <w:bidi w:val="0"/>
              <w:spacing w:lineRule="auto" w:line="240" w:before="0" w:after="40"/>
              <w:jc w:val="start"/>
              <w:rPr/>
            </w:pPr>
            <w:r>
              <w:rPr>
                <w:sz w:val="19"/>
              </w:rPr>
              <w:t>Version</w:t>
            </w:r>
          </w:p>
        </w:tc>
        <w:tc>
          <w:tcPr>
            <w:tcW w:w="6739" w:type="dxa"/>
            <w:tcBorders/>
            <w:vAlign w:val="top"/>
          </w:tcPr>
          <w:p>
            <w:pPr>
              <w:pStyle w:val="Normal"/>
              <w:widowControl/>
              <w:bidi w:val="0"/>
              <w:spacing w:lineRule="auto" w:line="240" w:before="0" w:after="40"/>
              <w:jc w:val="start"/>
              <w:rPr/>
            </w:pPr>
            <w:r>
              <w:rPr>
                <w:sz w:val="19"/>
              </w:rPr>
              <w:t>2.3; component identifier PAL v2.3-C</w:t>
            </w:r>
          </w:p>
        </w:tc>
      </w:tr>
      <w:tr>
        <w:trPr/>
        <w:tc>
          <w:tcPr>
            <w:tcW w:w="2621" w:type="dxa"/>
            <w:tcBorders/>
            <w:vAlign w:val="top"/>
            <w:shd w:fill="F7F9FB"/>
          </w:tcPr>
          <w:p>
            <w:pPr>
              <w:pStyle w:val="Normal"/>
              <w:widowControl/>
              <w:bidi w:val="0"/>
              <w:spacing w:lineRule="auto" w:line="240" w:before="0" w:after="40"/>
              <w:jc w:val="start"/>
              <w:rPr/>
            </w:pPr>
            <w:r>
              <w:rPr>
                <w:sz w:val="19"/>
              </w:rPr>
              <w:t>Publication date</w:t>
            </w:r>
          </w:p>
        </w:tc>
        <w:tc>
          <w:tcPr>
            <w:tcW w:w="6739" w:type="dxa"/>
            <w:tcBorders/>
            <w:vAlign w:val="top"/>
            <w:shd w:fill="F7F9FB"/>
          </w:tcPr>
          <w:p>
            <w:pPr>
              <w:pStyle w:val="Normal"/>
              <w:widowControl/>
              <w:bidi w:val="0"/>
              <w:spacing w:lineRule="auto" w:line="240" w:before="0" w:after="40"/>
              <w:jc w:val="start"/>
              <w:rPr/>
            </w:pPr>
            <w:r>
              <w:rPr>
                <w:sz w:val="19"/>
              </w:rPr>
              <w:t>2 September 2026</w:t>
            </w:r>
          </w:p>
        </w:tc>
      </w:tr>
      <w:tr>
        <w:trPr/>
        <w:tc>
          <w:tcPr>
            <w:tcW w:w="2621" w:type="dxa"/>
            <w:tcBorders/>
            <w:vAlign w:val="top"/>
          </w:tcPr>
          <w:p>
            <w:pPr>
              <w:pStyle w:val="Normal"/>
              <w:widowControl/>
              <w:bidi w:val="0"/>
              <w:spacing w:lineRule="auto" w:line="240" w:before="0" w:after="40"/>
              <w:jc w:val="start"/>
              <w:rPr/>
            </w:pPr>
            <w:r>
              <w:rPr>
                <w:sz w:val="19"/>
              </w:rPr>
              <w:t>DOI</w:t>
            </w:r>
          </w:p>
        </w:tc>
        <w:tc>
          <w:tcPr>
            <w:tcW w:w="6739" w:type="dxa"/>
            <w:tcBorders/>
            <w:vAlign w:val="top"/>
          </w:tcPr>
          <w:p>
            <w:pPr>
              <w:pStyle w:val="Normal"/>
              <w:widowControl/>
              <w:bidi w:val="0"/>
              <w:spacing w:lineRule="auto" w:line="240" w:before="0" w:after="40"/>
              <w:jc w:val="start"/>
              <w:rPr/>
            </w:pPr>
            <w:r>
              <w:rPr>
                <w:sz w:val="19"/>
              </w:rPr>
              <w:t>10.5281/zenodo.22240134</w:t>
            </w:r>
          </w:p>
        </w:tc>
      </w:tr>
      <w:tr>
        <w:trPr/>
        <w:tc>
          <w:tcPr>
            <w:tcW w:w="2621" w:type="dxa"/>
            <w:tcBorders/>
            <w:vAlign w:val="top"/>
            <w:shd w:fill="F7F9FB"/>
          </w:tcPr>
          <w:p>
            <w:pPr>
              <w:pStyle w:val="Normal"/>
              <w:widowControl/>
              <w:bidi w:val="0"/>
              <w:spacing w:lineRule="auto" w:line="240" w:before="0" w:after="40"/>
              <w:jc w:val="start"/>
              <w:rPr/>
            </w:pPr>
            <w:r>
              <w:rPr>
                <w:sz w:val="19"/>
              </w:rPr>
              <w:t>Status</w:t>
            </w:r>
          </w:p>
        </w:tc>
        <w:tc>
          <w:tcPr>
            <w:tcW w:w="6739" w:type="dxa"/>
            <w:tcBorders/>
            <w:vAlign w:val="top"/>
            <w:shd w:fill="F7F9FB"/>
          </w:tcPr>
          <w:p>
            <w:pPr>
              <w:pStyle w:val="Normal"/>
              <w:widowControl/>
              <w:bidi w:val="0"/>
              <w:spacing w:lineRule="auto" w:line="240" w:before="0" w:after="40"/>
              <w:jc w:val="start"/>
              <w:rPr/>
            </w:pPr>
            <w:r>
              <w:rPr>
                <w:sz w:val="19"/>
              </w:rPr>
              <w:t>Author release; not peer reviewed</w:t>
            </w:r>
          </w:p>
        </w:tc>
      </w:tr>
      <w:tr>
        <w:trPr/>
        <w:tc>
          <w:tcPr>
            <w:tcW w:w="2621" w:type="dxa"/>
            <w:tcBorders/>
            <w:vAlign w:val="top"/>
          </w:tcPr>
          <w:p>
            <w:pPr>
              <w:pStyle w:val="Normal"/>
              <w:widowControl/>
              <w:bidi w:val="0"/>
              <w:spacing w:lineRule="auto" w:line="240" w:before="0" w:after="40"/>
              <w:jc w:val="start"/>
              <w:rPr/>
            </w:pPr>
            <w:r>
              <w:rPr>
                <w:sz w:val="19"/>
              </w:rPr>
              <w:t>Author/steward</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Authority role</w:t>
            </w:r>
          </w:p>
        </w:tc>
        <w:tc>
          <w:tcPr>
            <w:tcW w:w="6739" w:type="dxa"/>
            <w:tcBorders/>
            <w:vAlign w:val="top"/>
            <w:shd w:fill="F7F9FB"/>
          </w:tcPr>
          <w:p>
            <w:pPr>
              <w:pStyle w:val="Normal"/>
              <w:widowControl/>
              <w:bidi w:val="0"/>
              <w:spacing w:lineRule="auto" w:line="240" w:before="0" w:after="40"/>
              <w:jc w:val="start"/>
              <w:rPr/>
            </w:pPr>
            <w:r>
              <w:rPr>
                <w:sz w:val="19"/>
              </w:rPr>
              <w:t>Controls receipt-preserving migration claims from prior PAL releases into v2.3; cannot redefine another authority face.</w:t>
            </w:r>
          </w:p>
        </w:tc>
      </w:tr>
      <w:tr>
        <w:trPr/>
        <w:tc>
          <w:tcPr>
            <w:tcW w:w="2621" w:type="dxa"/>
            <w:tcBorders/>
            <w:vAlign w:val="top"/>
          </w:tcPr>
          <w:p>
            <w:pPr>
              <w:pStyle w:val="Normal"/>
              <w:widowControl/>
              <w:bidi w:val="0"/>
              <w:spacing w:lineRule="auto" w:line="240" w:before="0" w:after="40"/>
              <w:jc w:val="start"/>
              <w:rPr/>
            </w:pPr>
            <w:r>
              <w:rPr>
                <w:sz w:val="19"/>
              </w:rPr>
              <w:t>Immediate predecessor</w:t>
            </w:r>
          </w:p>
        </w:tc>
        <w:tc>
          <w:tcPr>
            <w:tcW w:w="6739" w:type="dxa"/>
            <w:tcBorders/>
            <w:vAlign w:val="top"/>
          </w:tcPr>
          <w:p>
            <w:pPr>
              <w:pStyle w:val="Normal"/>
              <w:widowControl/>
              <w:bidi w:val="0"/>
              <w:spacing w:lineRule="auto" w:line="240" w:before="0" w:after="40"/>
              <w:jc w:val="start"/>
              <w:rPr/>
            </w:pPr>
            <w:r>
              <w:rPr>
                <w:sz w:val="19"/>
              </w:rPr>
              <w:t>PAL_v2.2-C_1.x_through_v2.1_Compatibility_Note.docx; DOCX SHA-256 50bd2b08f684e6c51e3293e4542e0f89757cbba5334b63315a8f2a81c4afb91a; PDF SHA-256 24c15017428b2571d3b6f90821e92bd91a36eba1c077e8cef462f1be3c8db4bf; PAL v2.2 DOI 10.5281/zenodo.21891598.</w:t>
            </w:r>
          </w:p>
        </w:tc>
      </w:tr>
      <w:tr>
        <w:trPr/>
        <w:tc>
          <w:tcPr>
            <w:tcW w:w="2621" w:type="dxa"/>
            <w:tcBorders/>
            <w:vAlign w:val="top"/>
            <w:shd w:fill="F7F9FB"/>
          </w:tcPr>
          <w:p>
            <w:pPr>
              <w:pStyle w:val="Normal"/>
              <w:widowControl/>
              <w:bidi w:val="0"/>
              <w:spacing w:lineRule="auto" w:line="240" w:before="0" w:after="40"/>
              <w:jc w:val="start"/>
              <w:rPr/>
            </w:pPr>
            <w:r>
              <w:rPr>
                <w:sz w:val="19"/>
              </w:rPr>
              <w:t>Release authority</w:t>
            </w:r>
          </w:p>
        </w:tc>
        <w:tc>
          <w:tcPr>
            <w:tcW w:w="6739" w:type="dxa"/>
            <w:tcBorders/>
            <w:vAlign w:val="top"/>
            <w:shd w:fill="F7F9FB"/>
          </w:tcPr>
          <w:p>
            <w:pPr>
              <w:pStyle w:val="Normal"/>
              <w:widowControl/>
              <w:bidi w:val="0"/>
              <w:spacing w:lineRule="auto" w:line="240" w:before="0" w:after="40"/>
              <w:jc w:val="start"/>
              <w:rPr/>
            </w:pPr>
            <w:r>
              <w:rPr>
                <w:sz w:val="19"/>
              </w:rPr>
              <w:t>Christopher D. Pang’s 2 September 2026 release instruction, bound to the final internal manifest by the non-signature AUTHOR_RELEASE_RECEIPT.json.</w:t>
            </w:r>
          </w:p>
        </w:tc>
      </w:tr>
      <w:tr>
        <w:trPr/>
        <w:tc>
          <w:tcPr>
            <w:tcW w:w="2621" w:type="dxa"/>
            <w:tcBorders/>
            <w:vAlign w:val="top"/>
          </w:tcPr>
          <w:p>
            <w:pPr>
              <w:pStyle w:val="Normal"/>
              <w:widowControl/>
              <w:bidi w:val="0"/>
              <w:spacing w:lineRule="auto" w:line="240" w:before="0" w:after="40"/>
              <w:jc w:val="start"/>
              <w:rPr/>
            </w:pPr>
            <w:r>
              <w:rPr>
                <w:sz w:val="19"/>
              </w:rPr>
              <w:t>External manifest</w:t>
            </w:r>
          </w:p>
        </w:tc>
        <w:tc>
          <w:tcPr>
            <w:tcW w:w="6739" w:type="dxa"/>
            <w:tcBorders/>
            <w:vAlign w:val="top"/>
          </w:tcPr>
          <w:p>
            <w:pPr>
              <w:pStyle w:val="Normal"/>
              <w:widowControl/>
              <w:bidi w:val="0"/>
              <w:spacing w:lineRule="auto" w:line="240" w:before="0" w:after="40"/>
              <w:jc w:val="start"/>
              <w:rPr/>
            </w:pPr>
            <w:r>
              <w:rPr>
                <w:sz w:val="19"/>
              </w:rPr>
              <w:t>PAL_v2.3_PACKAGE_MANIFEST.json; SHA-256 profile. Final DOCX/PDF byte identities are recorded externally after rendering and freeze; this component contains no self-digest.</w:t>
            </w:r>
          </w:p>
        </w:tc>
      </w:tr>
      <w:tr>
        <w:trPr/>
        <w:tc>
          <w:tcPr>
            <w:tcW w:w="2621" w:type="dxa"/>
            <w:tcBorders/>
            <w:vAlign w:val="top"/>
            <w:shd w:fill="F7F9FB"/>
          </w:tcPr>
          <w:p>
            <w:pPr>
              <w:pStyle w:val="Normal"/>
              <w:widowControl/>
              <w:bidi w:val="0"/>
              <w:spacing w:lineRule="auto" w:line="240" w:before="0" w:after="40"/>
              <w:jc w:val="start"/>
              <w:rPr/>
            </w:pPr>
            <w:r>
              <w:rPr>
                <w:sz w:val="19"/>
              </w:rPr>
              <w:t>Integrity ceiling</w:t>
            </w:r>
          </w:p>
        </w:tc>
        <w:tc>
          <w:tcPr>
            <w:tcW w:w="6739" w:type="dxa"/>
            <w:tcBorders/>
            <w:vAlign w:val="top"/>
            <w:shd w:fill="F7F9FB"/>
          </w:tcPr>
          <w:p>
            <w:pPr>
              <w:pStyle w:val="Normal"/>
              <w:widowControl/>
              <w:bidi w:val="0"/>
              <w:spacing w:lineRule="auto" w:line="240" w:before="0" w:after="40"/>
              <w:jc w:val="start"/>
              <w:rPr/>
            </w:pPr>
            <w:r>
              <w:rPr>
                <w:sz w:val="19"/>
              </w:rPr>
              <w:t>Hashes detect byte identity only; they do not create authorship, authenticity, consent, standing, release authority, or any other authority.</w:t>
            </w:r>
          </w:p>
        </w:tc>
      </w:tr>
      <w:tr>
        <w:trPr/>
        <w:tc>
          <w:tcPr>
            <w:tcW w:w="2621" w:type="dxa"/>
            <w:tcBorders/>
            <w:vAlign w:val="top"/>
          </w:tcPr>
          <w:p>
            <w:pPr>
              <w:pStyle w:val="Normal"/>
              <w:widowControl/>
              <w:bidi w:val="0"/>
              <w:spacing w:lineRule="auto" w:line="240" w:before="0" w:after="40"/>
              <w:jc w:val="start"/>
              <w:rPr/>
            </w:pPr>
            <w:r>
              <w:rPr>
                <w:sz w:val="19"/>
              </w:rPr>
              <w:t>Reopening/change route</w:t>
            </w:r>
          </w:p>
        </w:tc>
        <w:tc>
          <w:tcPr>
            <w:tcW w:w="6739" w:type="dxa"/>
            <w:tcBorders/>
            <w:vAlign w:val="top"/>
          </w:tcPr>
          <w:p>
            <w:pPr>
              <w:pStyle w:val="Normal"/>
              <w:widowControl/>
              <w:bidi w:val="0"/>
              <w:spacing w:lineRule="auto" w:line="240" w:before="0" w:after="40"/>
              <w:jc w:val="start"/>
              <w:rPr/>
            </w:pPr>
            <w:r>
              <w:rPr>
                <w:sz w:val="19"/>
              </w:rPr>
              <w:t>Any material change requires a new PAL v2.3-L decision receipt and PAL v2.3-T regression evidence; prior bytes remain frozen.</w:t>
            </w:r>
          </w:p>
        </w:tc>
      </w:tr>
      <w:tr>
        <w:trPr/>
        <w:tc>
          <w:tcPr>
            <w:tcW w:w="2621" w:type="dxa"/>
            <w:tcBorders/>
            <w:vAlign w:val="top"/>
            <w:shd w:fill="F7F9FB"/>
          </w:tcPr>
          <w:p>
            <w:pPr>
              <w:pStyle w:val="Normal"/>
              <w:widowControl/>
              <w:bidi w:val="0"/>
              <w:spacing w:lineRule="auto" w:line="240" w:before="0" w:after="40"/>
              <w:jc w:val="start"/>
              <w:rPr/>
            </w:pPr>
            <w:r>
              <w:rPr>
                <w:sz w:val="19"/>
              </w:rPr>
              <w:t>Assistance trace</w:t>
            </w:r>
          </w:p>
        </w:tc>
        <w:tc>
          <w:tcPr>
            <w:tcW w:w="6739" w:type="dxa"/>
            <w:tcBorders/>
            <w:vAlign w:val="top"/>
            <w:shd w:fill="F7F9FB"/>
          </w:tcPr>
          <w:p>
            <w:pPr>
              <w:pStyle w:val="Normal"/>
              <w:widowControl/>
              <w:bidi w:val="0"/>
              <w:spacing w:lineRule="auto" w:line="240" w:before="0" w:after="40"/>
              <w:jc w:val="start"/>
              <w:rPr/>
            </w:pPr>
            <w:r>
              <w:rPr>
                <w:sz w:val="19"/>
              </w:rPr>
              <w:t>OpenAI ChatGPT/Codex supplied the disclosed tool assistance. Unadopted output is not PAL and is not independent corroboration.</w:t>
            </w:r>
          </w:p>
        </w:tc>
      </w:tr>
    </w:tbl>
    <w:p>
      <w:pPr>
        <w:pStyle w:val="Normal"/>
        <w:keepNext/>
        <w:keepLines/>
        <w:widowControl/>
        <w:bidi w:val="0"/>
        <w:spacing w:lineRule="auto" w:line="300" w:before="0" w:after="120"/>
        <w:jc w:val="start"/>
        <w:rPr/>
      </w:pPr>
      <w:r>
        <w:rPr/>
        <w:t>This component is authoritative only within the role stated above. Later evidence appends a linked record; it does not rewrite this release or enlarge its authority.</w:t>
      </w:r>
    </w:p>
    <w:sectPr>
      <w:headerReference w:type="default" r:id="rId31"/>
      <w:headerReference w:type="first" r:id="rId32"/>
      <w:footerReference w:type="default" r:id="rId33"/>
      <w:footerReference w:type="first" r:id="rId34"/>
      <w:type w:val="nextPage"/>
      <w:pgSz w:w="12240" w:h="15840"/>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Calibri" w:hAnsi="Calibri"/>
        <w:color w:val="5A626C"/>
        <w:sz w:val="16"/>
      </w:rPr>
      <w:t xml:space="preserve">Page </w:t>
    </w:r>
    <w:r>
      <w:rPr>
        <w:rFonts w:ascii="Calibri" w:hAnsi="Calibri"/>
        <w:color w:val="5A626C"/>
        <w:sz w:val="16"/>
      </w:rPr>
      <w:fldChar w:fldCharType="begin"/>
    </w:r>
    <w:r>
      <w:rPr>
        <w:rFonts w:ascii="Calibri" w:hAnsi="Calibri"/>
        <w:color w:val="5A626C"/>
        <w:sz w:val="16"/>
      </w:rPr>
      <w:instrText xml:space="preserve"> PAGE </w:instrText>
    </w:r>
    <w:r>
      <w:rPr>
        <w:rFonts w:ascii="Calibri" w:hAnsi="Calibri"/>
        <w:color w:val="5A626C"/>
        <w:sz w:val="16"/>
      </w:rPr>
      <w:fldChar w:fldCharType="separate"/>
    </w:r>
    <w:r>
      <w:rPr>
        <w:rFonts w:ascii="Calibri" w:hAnsi="Calibri"/>
        <w:color w:val="5A626C"/>
        <w:sz w:val="16"/>
      </w:rPr>
      <w:t>27</w:t>
    </w:r>
    <w:r>
      <w:rPr>
        <w:rFonts w:ascii="Calibri" w:hAnsi="Calibri"/>
        <w:color w:val="5A626C"/>
        <w:sz w:val="1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Fonts w:ascii="Calibri" w:hAnsi="Calibri"/>
        <w:color w:val="464E58"/>
        <w:sz w:val="17"/>
      </w:rPr>
      <w:t>PAL V2.3-C  |  COMPATIBILITY NOTE  |  DOI 10.5281/zenodo.22240134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8"/>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00" w:before="0" w:after="120"/>
      <w:jc w:val="start"/>
    </w:pPr>
    <w:rPr>
      <w:rFonts w:ascii="Calibri" w:hAnsi="Calibri" w:eastAsia="Calibri"/>
      <w:color w:val="1F2933"/>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lineRule="auto" w:line="240" w:before="360" w:after="200"/>
      <w:outlineLvl w:val="0"/>
    </w:pPr>
    <w:rPr>
      <w:rFonts w:ascii="Calibri" w:hAnsi="Calibri" w:eastAsia="ＭＳ ゴシック" w:cs="DejaVu Sans"/>
      <w:b/>
      <w:bCs/>
      <w:color w:val="2E74B5"/>
      <w:sz w:val="32"/>
      <w:szCs w:val="28"/>
    </w:rPr>
  </w:style>
  <w:style w:type="paragraph" w:styleId="Heading2">
    <w:name w:val="heading 2"/>
    <w:basedOn w:val="Normal"/>
    <w:next w:val="Normal"/>
    <w:link w:val="Heading2Char"/>
    <w:qFormat/>
    <w:pPr>
      <w:keepNext w:val="true"/>
      <w:keepLines/>
      <w:numPr>
        <w:ilvl w:val="0"/>
        <w:numId w:val="0"/>
      </w:numPr>
      <w:spacing w:lineRule="auto" w:line="240" w:before="280" w:after="140"/>
      <w:outlineLvl w:val="1"/>
    </w:pPr>
    <w:rPr>
      <w:rFonts w:ascii="Calibri" w:hAnsi="Calibri" w:eastAsia="ＭＳ ゴシック" w:cs="DejaVu Sans"/>
      <w:b/>
      <w:bCs/>
      <w:color w:val="2E74B5"/>
      <w:sz w:val="26"/>
      <w:szCs w:val="26"/>
    </w:rPr>
  </w:style>
  <w:style w:type="paragraph" w:styleId="Heading3">
    <w:name w:val="heading 3"/>
    <w:basedOn w:val="Normal"/>
    <w:next w:val="Normal"/>
    <w:link w:val="Heading3Char"/>
    <w:qFormat/>
    <w:pPr>
      <w:keepNext w:val="true"/>
      <w:keepLines/>
      <w:numPr>
        <w:ilvl w:val="0"/>
        <w:numId w:val="0"/>
      </w:numPr>
      <w:spacing w:lineRule="auto" w:line="240" w:before="200" w:after="100"/>
      <w:outlineLvl w:val="2"/>
    </w:pPr>
    <w:rPr>
      <w:rFonts w:ascii="Calibri" w:hAnsi="Calibri" w:eastAsia="ＭＳ ゴシック" w:cs="DejaVu Sans"/>
      <w:b/>
      <w:bCs/>
      <w:color w:val="1F4D78"/>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Bullet20Symbols">
    <w:name w:val="Bullet_20_Symbols"/>
    <w:qFormat/>
    <w:rPr/>
  </w:style>
  <w:style w:type="character" w:styleId="Numbering20Symbols">
    <w:name w:val="Numbering_20_Symbols"/>
    <w:qFormat/>
    <w:rPr/>
  </w:style>
  <w:style w:type="character" w:styleId="Definition">
    <w:name w:val="Definition"/>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pPr>
      <w:spacing w:before="0" w:after="120"/>
    </w:pPr>
    <w:rPr>
      <w:rFonts w:ascii="Calibri" w:hAnsi="Calibri" w:eastAsia="Calibri"/>
      <w:lang w:val="en-US"/>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before="80" w:after="80"/>
    </w:pPr>
    <w:rPr>
      <w:rFonts w:ascii="Calibri" w:hAnsi="Calibri"/>
      <w:b w:val="false"/>
      <w:bCs/>
      <w:color w:val="5F6B76"/>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80"/>
      <w:contextualSpacing/>
    </w:pPr>
    <w:rPr>
      <w:rFonts w:ascii="Calibri" w:hAnsi="Calibri" w:eastAsia="ＭＳ ゴシック" w:cs="DejaVu Sans"/>
      <w:b/>
      <w:color w:val="000000"/>
      <w:spacing w:val="5"/>
      <w:kern w:val="2"/>
      <w:sz w:val="48"/>
      <w:szCs w:val="52"/>
    </w:rPr>
  </w:style>
  <w:style w:type="paragraph" w:styleId="Subtitle">
    <w:name w:val="Subtitle"/>
    <w:basedOn w:val="Normal"/>
    <w:next w:val="Normal"/>
    <w:link w:val="SubtitleChar"/>
    <w:qFormat/>
    <w:pPr>
      <w:spacing w:lineRule="auto" w:line="264" w:before="0" w:after="280"/>
    </w:pPr>
    <w:rPr>
      <w:rFonts w:ascii="Calibri" w:hAnsi="Calibri" w:eastAsia="ＭＳ ゴシック" w:cs="DejaVu Sans"/>
      <w:b w:val="false"/>
      <w:i/>
      <w:iCs/>
      <w:color w:val="5F6B76"/>
      <w:spacing w:val="15"/>
      <w:sz w:val="26"/>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LeadCallout">
    <w:name w:val="Lead Callout"/>
    <w:basedOn w:val="Normal"/>
    <w:qFormat/>
    <w:pPr>
      <w:spacing w:lineRule="auto" w:line="288" w:before="160" w:after="200"/>
      <w:ind w:start="259" w:end="173"/>
    </w:pPr>
    <w:rPr>
      <w:rFonts w:ascii="Calibri" w:hAnsi="Calibri"/>
      <w:b/>
      <w:color w:val="1F4D78"/>
      <w:sz w:val="23"/>
    </w:rPr>
  </w:style>
  <w:style w:type="paragraph" w:styleId="SmallText">
    <w:name w:val="Small Text"/>
    <w:basedOn w:val="Normal"/>
    <w:qFormat/>
    <w:pPr>
      <w:spacing w:lineRule="auto" w:line="264" w:before="0" w:after="80"/>
    </w:pPr>
    <w:rPr>
      <w:rFonts w:ascii="Calibri" w:hAnsi="Calibri"/>
      <w:color w:val="5F6B76"/>
      <w:sz w:val="19"/>
    </w:rPr>
  </w:style>
  <w:style w:type="paragraph" w:styleId="CodeBlock">
    <w:name w:val="Code Block"/>
    <w:basedOn w:val="Normal"/>
    <w:qFormat/>
    <w:pPr>
      <w:spacing w:lineRule="auto" w:line="264" w:before="80" w:after="160"/>
      <w:ind w:start="288" w:end="144"/>
    </w:pPr>
    <w:rPr>
      <w:rFonts w:ascii="Consolas" w:hAnsi="Consolas"/>
      <w:color w:val="1F2933"/>
      <w:sz w:val="19"/>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5281/zenodo.21635188" TargetMode="External"/><Relationship Id="rId3" Type="http://schemas.openxmlformats.org/officeDocument/2006/relationships/hyperlink" Target="https://doi.org/10.5281/zenodo.21911684" TargetMode="External"/><Relationship Id="rId4" Type="http://schemas.openxmlformats.org/officeDocument/2006/relationships/hyperlink" Target="https://doi.org/10.5281/zenodo.21760884" TargetMode="External"/><Relationship Id="rId5" Type="http://schemas.openxmlformats.org/officeDocument/2006/relationships/hyperlink" Target="https://doi.org/10.5281/zenodo.21760893" TargetMode="External"/><Relationship Id="rId6" Type="http://schemas.openxmlformats.org/officeDocument/2006/relationships/hyperlink" Target="https://doi.org/10.5281/zenodo.21754097" TargetMode="External"/><Relationship Id="rId7" Type="http://schemas.openxmlformats.org/officeDocument/2006/relationships/hyperlink" Target="https://doi.org/10.5281/zenodo.21864767" TargetMode="External"/><Relationship Id="rId8" Type="http://schemas.openxmlformats.org/officeDocument/2006/relationships/hyperlink" Target="https://doi.org/10.5281/zenodo.21891598" TargetMode="External"/><Relationship Id="rId9" Type="http://schemas.openxmlformats.org/officeDocument/2006/relationships/hyperlink" Target="https://doi.org/10.5281/zenodo.22240134" TargetMode="External"/><Relationship Id="rId10" Type="http://schemas.openxmlformats.org/officeDocument/2006/relationships/hyperlink" Target="https://doi.org/10.4171/DM/151" TargetMode="External"/><Relationship Id="rId11" Type="http://schemas.openxmlformats.org/officeDocument/2006/relationships/hyperlink" Target="https://doi.org/10.1016/0022-0000(89)90034-2" TargetMode="External"/><Relationship Id="rId12" Type="http://schemas.openxmlformats.org/officeDocument/2006/relationships/hyperlink" Target="https://doi.org/10.1007/BF02924844" TargetMode="External"/><Relationship Id="rId13" Type="http://schemas.openxmlformats.org/officeDocument/2006/relationships/hyperlink" Target="https://doi.org/10.1017/S0305004100074338" TargetMode="External"/><Relationship Id="rId14" Type="http://schemas.openxmlformats.org/officeDocument/2006/relationships/hyperlink" Target="https://doi.org/10.1016/0304-3975(87)90045-4" TargetMode="External"/><Relationship Id="rId15" Type="http://schemas.openxmlformats.org/officeDocument/2006/relationships/hyperlink" Target="https://doi.org/10.1145/1265530.1265535" TargetMode="External"/><Relationship Id="rId16" Type="http://schemas.openxmlformats.org/officeDocument/2006/relationships/hyperlink" Target="https://doi.org/10.1090/S0002-9939-1958-0135681-9" TargetMode="External"/><Relationship Id="rId17" Type="http://schemas.openxmlformats.org/officeDocument/2006/relationships/hyperlink" Target="https://doi.org/10.1016/0304-3975(91)90041-Y" TargetMode="External"/><Relationship Id="rId18" Type="http://schemas.openxmlformats.org/officeDocument/2006/relationships/hyperlink" Target="https://doi.org/10.1016/0004-3702(79)90008-0" TargetMode="External"/><Relationship Id="rId19" Type="http://schemas.openxmlformats.org/officeDocument/2006/relationships/hyperlink" Target="https://doi.org/10.1007/s41468-019-00038-7" TargetMode="External"/><Relationship Id="rId20" Type="http://schemas.openxmlformats.org/officeDocument/2006/relationships/hyperlink" Target="https://doi.org/10.1051/cocv:2008008" TargetMode="External"/><Relationship Id="rId21" Type="http://schemas.openxmlformats.org/officeDocument/2006/relationships/hyperlink" Target="https://doi.org/10.1016/S0049-237X(08)71945-1" TargetMode="External"/><Relationship Id="rId22" Type="http://schemas.openxmlformats.org/officeDocument/2006/relationships/hyperlink" Target="https://doi.org/10.1103/PhysRevA.40.4277" TargetMode="External"/><Relationship Id="rId23" Type="http://schemas.openxmlformats.org/officeDocument/2006/relationships/hyperlink" Target="https://doi.org/10.1016/S0375-9601(96)00706-2" TargetMode="External"/><Relationship Id="rId24" Type="http://schemas.openxmlformats.org/officeDocument/2006/relationships/hyperlink" Target="https://doi.org/10.1103/PhysicsPhysiqueFizika.1.195" TargetMode="External"/><Relationship Id="rId25" Type="http://schemas.openxmlformats.org/officeDocument/2006/relationships/hyperlink" Target="https://doi.org/10.1016/j.ic.2016.02.008" TargetMode="External"/><Relationship Id="rId26" Type="http://schemas.openxmlformats.org/officeDocument/2006/relationships/hyperlink" Target="https://doi.org/10.1017/S0960129515000444" TargetMode="External"/><Relationship Id="rId27" Type="http://schemas.openxmlformats.org/officeDocument/2006/relationships/hyperlink" Target="https://doi.org/10.1007/s001650200016" TargetMode="External"/><Relationship Id="rId28" Type="http://schemas.openxmlformats.org/officeDocument/2006/relationships/hyperlink" Target="https://doi.org/10.1017/CBO9781139084673" TargetMode="External"/><Relationship Id="rId29" Type="http://schemas.openxmlformats.org/officeDocument/2006/relationships/hyperlink" Target="https://doi.org/10.1007/BFb0053567" TargetMode="External"/><Relationship Id="rId30" Type="http://schemas.openxmlformats.org/officeDocument/2006/relationships/hyperlink" Target="https://creativecommons.org/licenses/by/4.0/" TargetMode="External"/><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2026-09-02T12:00:00Z</dcterms:created>
  <dc:creator>Christopher D. Pang</dc:creator>
  <dc:description>Author release; not peer reviewed. CC BY 4.0. DOI 10.5281/zenodo.22240134. AI assistance is disclosed in the document; AI tools are not authors or release authorities.</dc:description>
  <cp:keywords>PAL, Primitive Axiom Layers, v2.3, mathematical realization, conformance</cp:keywords>
  <dc:language>en-US</dc:language>
  <cp:lastModifiedBy>Christopher D. Pang</cp:lastModifiedBy>
  <dcterms:modified xsi:type="dcterms:W3CDTF">2026-09-02T12:00:00Z</dcterms:modified>
  <cp:revision>0</cp:revision>
  <dc:subject>PAL v2.3 coordinated author release</dc:subject>
  <dc:title>PAL v2.3 — Primitive Axiom Layers: Compatibility Note</dc:title>
</cp:coreProperties>
</file>