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after="240"/>
        <w:jc w:val="center"/>
        <w:rPr>
          <w:b/>
          <w:bCs/>
        </w:rPr>
      </w:pPr>
      <w:r>
        <w:rPr>
          <w:rFonts w:ascii="Calibri" w:hAnsi="Calibri"/>
          <w:b/>
          <w:bCs/>
          <w:color w:val="1F4D78"/>
          <w:sz w:val="30"/>
        </w:rPr>
        <w:t>PAL — PRIMITIVE AXIOM LAYERS</w:t>
      </w:r>
    </w:p>
    <w:p>
      <w:pPr>
        <w:pStyle w:val="BodyText"/>
        <w:jc w:val="center"/>
        <w:rPr/>
      </w:pPr>
      <w:r>
        <w:rPr>
          <w:b/>
          <w:color w:val="10161E"/>
          <w:sz w:val="56"/>
        </w:rPr>
        <w:t>PAL v2.3-L</w:t>
      </w:r>
    </w:p>
    <w:p>
      <w:pPr>
        <w:pStyle w:val="BodyText"/>
        <w:jc w:val="center"/>
        <w:rPr/>
      </w:pPr>
      <w:r>
        <w:rPr>
          <w:i/>
          <w:color w:val="545E6A"/>
          <w:sz w:val="40"/>
        </w:rPr>
        <w:t>Obligation and Decision Ledger</w:t>
      </w:r>
    </w:p>
    <w:p>
      <w:pPr>
        <w:pStyle w:val="BodyText"/>
        <w:spacing w:after="80"/>
        <w:jc w:val="center"/>
        <w:rPr/>
      </w:pPr>
      <w:r>
        <w:rPr/>
        <w:t>Author: Christopher D. Pang</w:t>
      </w:r>
    </w:p>
    <w:p>
      <w:pPr>
        <w:pStyle w:val="BodyText"/>
        <w:spacing w:after="80"/>
        <w:jc w:val="center"/>
        <w:rPr/>
      </w:pPr>
      <w:r>
        <w:rPr/>
        <w:t>Version: 2.3</w:t>
      </w:r>
    </w:p>
    <w:p>
      <w:pPr>
        <w:pStyle w:val="BodyText"/>
        <w:spacing w:after="80"/>
        <w:jc w:val="center"/>
        <w:rPr/>
      </w:pPr>
      <w:r>
        <w:rPr/>
        <w:t>Publication date: 2 September 2026</w:t>
      </w:r>
    </w:p>
    <w:p>
      <w:pPr>
        <w:pStyle w:val="BodyText"/>
        <w:spacing w:after="80"/>
        <w:jc w:val="center"/>
        <w:rPr/>
      </w:pPr>
      <w:r>
        <w:rPr/>
        <w:t>DOI: 10.5281/zenodo.22240134</w:t>
      </w:r>
    </w:p>
    <w:p>
      <w:pPr>
        <w:pStyle w:val="BodyText"/>
        <w:spacing w:after="80"/>
        <w:jc w:val="center"/>
        <w:rPr/>
      </w:pPr>
      <w:r>
        <w:rPr/>
        <w:t>Status: Author release; not peer reviewed</w:t>
      </w:r>
    </w:p>
    <w:p>
      <w:pPr>
        <w:pStyle w:val="BodyText"/>
        <w:spacing w:after="80"/>
        <w:jc w:val="center"/>
        <w:rPr/>
      </w:pPr>
      <w:r>
        <w:rPr>
          <w:b/>
          <w:bCs/>
        </w:rPr>
        <w:t>License:</w:t>
      </w:r>
      <w:r>
        <w:rPr/>
        <w:t xml:space="preserve"> Creative Commons Attribution 4.0 International (CC BY 4.0)</w:t>
      </w:r>
    </w:p>
    <w:p>
      <w:pPr>
        <w:pStyle w:val="BodyText"/>
        <w:spacing w:before="200" w:after="60"/>
        <w:jc w:val="center"/>
        <w:rPr>
          <w:b/>
          <w:bCs/>
        </w:rPr>
      </w:pPr>
      <w:r>
        <w:rPr>
          <w:b/>
          <w:bCs/>
          <w:color w:val="4B5662"/>
        </w:rPr>
        <w:t>Authority note</w:t>
      </w:r>
    </w:p>
    <w:p>
      <w:pPr>
        <w:pStyle w:val="BlockQuotation"/>
        <w:ind w:hanging="0" w:start="720" w:end="0"/>
        <w:jc w:val="center"/>
        <w:rPr>
          <w:b/>
          <w:bCs/>
        </w:rPr>
      </w:pPr>
      <w:r>
        <w:rPr>
          <w:b/>
          <w:bCs/>
        </w:rPr>
        <w:t>This file is one coordinated authority surface in the PAL v2.3 release. Its authority is limited to the role stated inside it. Christopher D. Pang is the sole author, steward, and release authority.</w:t>
      </w:r>
    </w:p>
    <w:p>
      <w:pPr>
        <w:pStyle w:val="Normal"/>
        <w:spacing w:before="160" w:after="60"/>
        <w:jc w:val="center"/>
        <w:rPr>
          <w:b/>
          <w:bCs/>
        </w:rPr>
      </w:pPr>
      <w:r>
        <w:rPr>
          <w:b/>
          <w:bCs/>
        </w:rPr>
        <w:t>AI-use disclosure</w:t>
      </w:r>
    </w:p>
    <w:p>
      <w:pPr>
        <w:pStyle w:val="BodyText"/>
        <w:spacing w:line="240" w:lineRule="auto"/>
        <w:jc w:val="center"/>
        <w:rPr/>
      </w:pPr>
      <w:r>
        <w:rPr>
          <w:color w:val="1F4D78"/>
          <w:sz w:val="17"/>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r>
        <w:rPr>
          <w:color w:val="1F4D78"/>
          <w:sz w:val="17"/>
        </w:rPr>
        <w:br w:type="page"/>
      </w:r>
    </w:p>
    <w:p>
      <w:pPr>
        <w:pStyle w:val="Heading1"/>
        <w:keepNext/>
        <w:keepLines/>
        <w:pageBreakBefore w:val="0"/>
        <w:rPr/>
      </w:pPr>
      <w:bookmarkStart w:id="0" w:name="document-map"/>
      <w:r>
        <w:rPr/>
        <w:t>Document map</w:t>
      </w:r>
      <w:bookmarkEnd w:id="0"/>
    </w:p>
    <w:p>
      <w:pPr>
        <w:pStyle w:val="Normal"/>
        <w:keepNext/>
        <w:keepLines/>
        <w:rPr/>
      </w:pPr>
      <w:r>
        <w:rPr/>
        <w:t>Headings are the navigation authority for this source and its rendered PDF. The map below lists the major reading route; page numbers are intentionally not frozen into the editable source.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Section</w:t>
            </w:r>
          </w:p>
        </w:tc>
        <w:tc>
          <w:tcPr>
            <w:tcW w:w="6739" w:type="dxa"/>
            <w:tcBorders/>
            <w:vAlign w:val="top"/>
            <w:shd w:fill="DCE6F1"/>
          </w:tcPr>
          <w:p>
            <w:pPr>
              <w:pStyle w:val="Normal"/>
              <w:spacing w:before="0" w:after="40" w:line="240" w:lineRule="auto"/>
              <w:rPr>
                <w:b/>
                <w:bCs/>
              </w:rPr>
            </w:pPr>
            <w:r>
              <w:rPr>
                <w:b/>
                <w:bCs/>
                <w:color w:val="1F4D78"/>
                <w:sz w:val="19"/>
              </w:rPr>
              <w:t>Purpose</w:t>
            </w:r>
          </w:p>
        </w:tc>
      </w:tr>
      <w:tr>
        <w:trPr/>
        <w:tc>
          <w:tcPr>
            <w:tcW w:w="2621" w:type="dxa"/>
            <w:tcBorders/>
            <w:vAlign w:val="top"/>
          </w:tcPr>
          <w:p>
            <w:pPr>
              <w:pStyle w:val="Normal"/>
              <w:spacing w:before="0" w:after="40" w:line="240" w:lineRule="auto"/>
              <w:rPr>
                <w:b/>
                <w:bCs/>
              </w:rPr>
            </w:pPr>
            <w:r>
              <w:rPr>
                <w:b/>
                <w:bCs/>
                <w:sz w:val="19"/>
              </w:rPr>
              <w:t>1. Ledger authority</w:t>
            </w:r>
          </w:p>
        </w:tc>
        <w:tc>
          <w:tcPr>
            <w:tcW w:w="6739" w:type="dxa"/>
            <w:tcBorders/>
            <w:vAlign w:val="top"/>
          </w:tcPr>
          <w:p>
            <w:pPr>
              <w:pStyle w:val="Normal"/>
              <w:widowControl/>
              <w:bidi w:val="0"/>
              <w:spacing w:lineRule="auto" w:line="240" w:before="0" w:after="40"/>
              <w:jc w:val="start"/>
              <w:rPr/>
            </w:pPr>
            <w:r>
              <w:rPr>
                <w:sz w:val="19"/>
              </w:rPr>
              <w:t>What this record controls and how history is preserved.</w:t>
            </w:r>
          </w:p>
        </w:tc>
      </w:tr>
      <w:tr>
        <w:trPr/>
        <w:tc>
          <w:tcPr>
            <w:tcW w:w="2621" w:type="dxa"/>
            <w:tcBorders/>
            <w:vAlign w:val="top"/>
            <w:shd w:fill="F7F9FB"/>
          </w:tcPr>
          <w:p>
            <w:pPr>
              <w:pStyle w:val="Normal"/>
              <w:spacing w:before="0" w:after="40" w:line="240" w:lineRule="auto"/>
              <w:rPr>
                <w:b/>
                <w:bCs/>
              </w:rPr>
            </w:pPr>
            <w:r>
              <w:rPr>
                <w:b/>
                <w:bCs/>
                <w:sz w:val="19"/>
              </w:rPr>
              <w:t>2. D01-D15</w:t>
            </w:r>
          </w:p>
        </w:tc>
        <w:tc>
          <w:tcPr>
            <w:tcW w:w="6739" w:type="dxa"/>
            <w:tcBorders/>
            <w:vAlign w:val="top"/>
            <w:shd w:fill="F7F9FB"/>
          </w:tcPr>
          <w:p>
            <w:pPr>
              <w:pStyle w:val="Normal"/>
              <w:widowControl/>
              <w:bidi w:val="0"/>
              <w:spacing w:lineRule="auto" w:line="240" w:before="0" w:after="40"/>
              <w:jc w:val="start"/>
              <w:rPr/>
            </w:pPr>
            <w:r>
              <w:rPr>
                <w:sz w:val="19"/>
              </w:rPr>
              <w:t>Normalized PAL v2.0 decisions preserved in their historical substance.</w:t>
            </w:r>
          </w:p>
        </w:tc>
      </w:tr>
      <w:tr>
        <w:trPr/>
        <w:tc>
          <w:tcPr>
            <w:tcW w:w="2621" w:type="dxa"/>
            <w:tcBorders/>
            <w:vAlign w:val="top"/>
          </w:tcPr>
          <w:p>
            <w:pPr>
              <w:pStyle w:val="Normal"/>
              <w:spacing w:before="0" w:after="40" w:line="240" w:lineRule="auto"/>
              <w:rPr>
                <w:b/>
                <w:bCs/>
              </w:rPr>
            </w:pPr>
            <w:r>
              <w:rPr>
                <w:b/>
                <w:bCs/>
                <w:sz w:val="19"/>
              </w:rPr>
              <w:t>3. Historical checksum</w:t>
            </w:r>
          </w:p>
        </w:tc>
        <w:tc>
          <w:tcPr>
            <w:tcW w:w="6739" w:type="dxa"/>
            <w:tcBorders/>
            <w:vAlign w:val="top"/>
          </w:tcPr>
          <w:p>
            <w:pPr>
              <w:pStyle w:val="Normal"/>
              <w:widowControl/>
              <w:bidi w:val="0"/>
              <w:spacing w:lineRule="auto" w:line="240" w:before="0" w:after="40"/>
              <w:jc w:val="start"/>
              <w:rPr/>
            </w:pPr>
            <w:r>
              <w:rPr>
                <w:sz w:val="19"/>
              </w:rPr>
              <w:t>Exact O01-O51 status totals and the shared first-occurrence debt.</w:t>
            </w:r>
          </w:p>
        </w:tc>
      </w:tr>
      <w:tr>
        <w:trPr/>
        <w:tc>
          <w:tcPr>
            <w:tcW w:w="2621" w:type="dxa"/>
            <w:tcBorders/>
            <w:vAlign w:val="top"/>
            <w:shd w:fill="F7F9FB"/>
          </w:tcPr>
          <w:p>
            <w:pPr>
              <w:pStyle w:val="Normal"/>
              <w:spacing w:before="0" w:after="40" w:line="240" w:lineRule="auto"/>
              <w:rPr>
                <w:b/>
                <w:bCs/>
              </w:rPr>
            </w:pPr>
            <w:r>
              <w:rPr>
                <w:b/>
                <w:bCs/>
                <w:sz w:val="19"/>
              </w:rPr>
              <w:t>4. O01-O51</w:t>
            </w:r>
          </w:p>
        </w:tc>
        <w:tc>
          <w:tcPr>
            <w:tcW w:w="6739" w:type="dxa"/>
            <w:tcBorders/>
            <w:vAlign w:val="top"/>
            <w:shd w:fill="F7F9FB"/>
          </w:tcPr>
          <w:p>
            <w:pPr>
              <w:pStyle w:val="Normal"/>
              <w:widowControl/>
              <w:bidi w:val="0"/>
              <w:spacing w:lineRule="auto" w:line="240" w:before="0" w:after="40"/>
              <w:jc w:val="start"/>
              <w:rPr/>
            </w:pPr>
            <w:r>
              <w:rPr>
                <w:sz w:val="19"/>
              </w:rPr>
              <w:t>Verbatim historical rows, preserved dispositions, and reopening conditions.</w:t>
            </w:r>
          </w:p>
        </w:tc>
      </w:tr>
      <w:tr>
        <w:trPr/>
        <w:tc>
          <w:tcPr>
            <w:tcW w:w="2621" w:type="dxa"/>
            <w:tcBorders/>
            <w:vAlign w:val="top"/>
          </w:tcPr>
          <w:p>
            <w:pPr>
              <w:pStyle w:val="Normal"/>
              <w:spacing w:before="0" w:after="40" w:line="240" w:lineRule="auto"/>
              <w:rPr>
                <w:b/>
                <w:bCs/>
              </w:rPr>
            </w:pPr>
            <w:r>
              <w:rPr>
                <w:b/>
                <w:bCs/>
                <w:sz w:val="19"/>
              </w:rPr>
              <w:t>5. Historical source account</w:t>
            </w:r>
          </w:p>
        </w:tc>
        <w:tc>
          <w:tcPr>
            <w:tcW w:w="6739" w:type="dxa"/>
            <w:tcBorders/>
            <w:vAlign w:val="top"/>
          </w:tcPr>
          <w:p>
            <w:pPr>
              <w:pStyle w:val="Normal"/>
              <w:widowControl/>
              <w:bidi w:val="0"/>
              <w:spacing w:lineRule="auto" w:line="240" w:before="0" w:after="40"/>
              <w:jc w:val="start"/>
              <w:rPr/>
            </w:pPr>
            <w:r>
              <w:rPr>
                <w:sz w:val="19"/>
              </w:rPr>
              <w:t>Input hashes, roles, handling, and redistribution limits from the v2.0 build.</w:t>
            </w:r>
          </w:p>
        </w:tc>
      </w:tr>
      <w:tr>
        <w:trPr/>
        <w:tc>
          <w:tcPr>
            <w:tcW w:w="2621" w:type="dxa"/>
            <w:tcBorders/>
            <w:vAlign w:val="top"/>
            <w:shd w:fill="F7F9FB"/>
          </w:tcPr>
          <w:p>
            <w:pPr>
              <w:pStyle w:val="Normal"/>
              <w:spacing w:before="0" w:after="40" w:line="240" w:lineRule="auto"/>
              <w:rPr>
                <w:b/>
                <w:bCs/>
              </w:rPr>
            </w:pPr>
            <w:r>
              <w:rPr>
                <w:b/>
                <w:bCs/>
                <w:sz w:val="19"/>
              </w:rPr>
              <w:t>6. PAL v2.1 decision layer</w:t>
            </w:r>
          </w:p>
        </w:tc>
        <w:tc>
          <w:tcPr>
            <w:tcW w:w="6739" w:type="dxa"/>
            <w:tcBorders/>
            <w:vAlign w:val="top"/>
            <w:shd w:fill="F7F9FB"/>
          </w:tcPr>
          <w:p>
            <w:pPr>
              <w:pStyle w:val="Normal"/>
              <w:widowControl/>
              <w:bidi w:val="0"/>
              <w:spacing w:lineRule="auto" w:line="240" w:before="0" w:after="40"/>
              <w:jc w:val="start"/>
              <w:rPr/>
            </w:pPr>
            <w:r>
              <w:rPr>
                <w:sz w:val="19"/>
              </w:rPr>
              <w:t>D16-D23, O04/O25 clarification, and formal-audit provenance.</w:t>
            </w:r>
          </w:p>
        </w:tc>
      </w:tr>
      <w:tr>
        <w:trPr/>
        <w:tc>
          <w:tcPr>
            <w:tcW w:w="2621" w:type="dxa"/>
            <w:tcBorders/>
            <w:vAlign w:val="top"/>
          </w:tcPr>
          <w:p>
            <w:pPr>
              <w:pStyle w:val="Normal"/>
              <w:spacing w:before="0" w:after="40" w:line="240" w:lineRule="auto"/>
              <w:rPr>
                <w:b/>
                <w:bCs/>
              </w:rPr>
            </w:pPr>
            <w:r>
              <w:rPr>
                <w:b/>
                <w:bCs/>
                <w:sz w:val="19"/>
              </w:rPr>
              <w:t>7-9. PAL v2.2 layer</w:t>
            </w:r>
          </w:p>
        </w:tc>
        <w:tc>
          <w:tcPr>
            <w:tcW w:w="6739" w:type="dxa"/>
            <w:tcBorders/>
            <w:vAlign w:val="top"/>
          </w:tcPr>
          <w:p>
            <w:pPr>
              <w:pStyle w:val="Normal"/>
              <w:widowControl/>
              <w:bidi w:val="0"/>
              <w:spacing w:lineRule="auto" w:line="240" w:before="0" w:after="40"/>
              <w:jc w:val="start"/>
              <w:rPr/>
            </w:pPr>
            <w:r>
              <w:rPr>
                <w:sz w:val="19"/>
              </w:rPr>
              <w:t>D24-D30, preserved O01-O51 checksum, multi-parent OPEN boundary, native schemas, and migration.</w:t>
            </w:r>
          </w:p>
        </w:tc>
      </w:tr>
      <w:tr>
        <w:trPr/>
        <w:tc>
          <w:tcPr>
            <w:tcW w:w="2621" w:type="dxa"/>
            <w:tcBorders/>
            <w:vAlign w:val="top"/>
            <w:shd w:fill="F7F9FB"/>
          </w:tcPr>
          <w:p>
            <w:pPr>
              <w:pStyle w:val="Normal"/>
              <w:spacing w:before="0" w:after="40" w:line="240" w:lineRule="auto"/>
              <w:rPr>
                <w:b/>
                <w:bCs/>
              </w:rPr>
            </w:pPr>
            <w:r>
              <w:rPr>
                <w:b/>
                <w:bCs/>
                <w:sz w:val="19"/>
              </w:rPr>
              <w:t>10. PAL v2.3 decisions</w:t>
            </w:r>
          </w:p>
        </w:tc>
        <w:tc>
          <w:tcPr>
            <w:tcW w:w="6739" w:type="dxa"/>
            <w:tcBorders/>
            <w:vAlign w:val="top"/>
            <w:shd w:fill="F7F9FB"/>
          </w:tcPr>
          <w:p>
            <w:pPr>
              <w:pStyle w:val="Normal"/>
              <w:widowControl/>
              <w:bidi w:val="0"/>
              <w:spacing w:lineRule="auto" w:line="240" w:before="0" w:after="40"/>
              <w:jc w:val="start"/>
              <w:rPr/>
            </w:pPr>
            <w:r>
              <w:rPr>
                <w:sz w:val="19"/>
              </w:rPr>
              <w:t>D31-D39: seven specified integration decisions and two author-directed late-delta decisions.</w:t>
            </w:r>
          </w:p>
        </w:tc>
      </w:tr>
      <w:tr>
        <w:trPr/>
        <w:tc>
          <w:tcPr>
            <w:tcW w:w="2621" w:type="dxa"/>
            <w:tcBorders/>
            <w:vAlign w:val="top"/>
          </w:tcPr>
          <w:p>
            <w:pPr>
              <w:pStyle w:val="Normal"/>
              <w:spacing w:before="0" w:after="40" w:line="240" w:lineRule="auto"/>
              <w:rPr>
                <w:b/>
                <w:bCs/>
              </w:rPr>
            </w:pPr>
            <w:r>
              <w:rPr>
                <w:b/>
                <w:bCs/>
                <w:sz w:val="19"/>
              </w:rPr>
              <w:t>11. PAL v2.3 obligations</w:t>
            </w:r>
          </w:p>
        </w:tc>
        <w:tc>
          <w:tcPr>
            <w:tcW w:w="6739" w:type="dxa"/>
            <w:tcBorders/>
            <w:vAlign w:val="top"/>
          </w:tcPr>
          <w:p>
            <w:pPr>
              <w:pStyle w:val="Normal"/>
              <w:widowControl/>
              <w:bidi w:val="0"/>
              <w:spacing w:lineRule="auto" w:line="240" w:before="0" w:after="40"/>
              <w:jc w:val="start"/>
              <w:rPr/>
            </w:pPr>
            <w:r>
              <w:rPr>
                <w:sz w:val="19"/>
              </w:rPr>
              <w:t>O52-O62, extension checksums, verification map, and predecessor crosswalk.</w:t>
            </w:r>
          </w:p>
        </w:tc>
      </w:tr>
      <w:tr>
        <w:trPr/>
        <w:tc>
          <w:tcPr>
            <w:tcW w:w="2621" w:type="dxa"/>
            <w:tcBorders/>
            <w:vAlign w:val="top"/>
            <w:shd w:fill="F7F9FB"/>
          </w:tcPr>
          <w:p>
            <w:pPr>
              <w:pStyle w:val="Normal"/>
              <w:spacing w:before="0" w:after="40" w:line="240" w:lineRule="auto"/>
              <w:rPr>
                <w:b/>
                <w:bCs/>
              </w:rPr>
            </w:pPr>
            <w:r>
              <w:rPr>
                <w:b/>
                <w:bCs/>
                <w:sz w:val="19"/>
              </w:rPr>
              <w:t>12. Open boundaries</w:t>
            </w:r>
          </w:p>
        </w:tc>
        <w:tc>
          <w:tcPr>
            <w:tcW w:w="6739" w:type="dxa"/>
            <w:tcBorders/>
            <w:vAlign w:val="top"/>
            <w:shd w:fill="F7F9FB"/>
          </w:tcPr>
          <w:p>
            <w:pPr>
              <w:pStyle w:val="Normal"/>
              <w:widowControl/>
              <w:bidi w:val="0"/>
              <w:spacing w:lineRule="auto" w:line="240" w:before="0" w:after="40"/>
              <w:jc w:val="start"/>
              <w:rPr/>
            </w:pPr>
            <w:r>
              <w:rPr>
                <w:sz w:val="19"/>
              </w:rPr>
              <w:t>D-FIRST-OCCURRENCE, O04, O25, and multi-parent lineage remain OPEN.</w:t>
            </w:r>
          </w:p>
        </w:tc>
      </w:tr>
      <w:tr>
        <w:trPr/>
        <w:tc>
          <w:tcPr>
            <w:tcW w:w="2621" w:type="dxa"/>
            <w:tcBorders/>
            <w:vAlign w:val="top"/>
          </w:tcPr>
          <w:p>
            <w:pPr>
              <w:pStyle w:val="Normal"/>
              <w:spacing w:before="0" w:after="40" w:line="240" w:lineRule="auto"/>
              <w:rPr>
                <w:b/>
                <w:bCs/>
              </w:rPr>
            </w:pPr>
            <w:r>
              <w:rPr>
                <w:b/>
                <w:bCs/>
                <w:sz w:val="19"/>
              </w:rPr>
              <w:t>13. Provenance and change log</w:t>
            </w:r>
          </w:p>
        </w:tc>
        <w:tc>
          <w:tcPr>
            <w:tcW w:w="6739" w:type="dxa"/>
            <w:tcBorders/>
            <w:vAlign w:val="top"/>
          </w:tcPr>
          <w:p>
            <w:pPr>
              <w:pStyle w:val="Normal"/>
              <w:widowControl/>
              <w:bidi w:val="0"/>
              <w:spacing w:lineRule="auto" w:line="240" w:before="0" w:after="40"/>
              <w:jc w:val="start"/>
              <w:rPr/>
            </w:pPr>
            <w:r>
              <w:rPr>
                <w:sz w:val="19"/>
              </w:rPr>
              <w:t>v2.3 source roles, lineage ceiling, and six-part component change account.</w:t>
            </w:r>
          </w:p>
        </w:tc>
      </w:tr>
      <w:tr>
        <w:trPr/>
        <w:tc>
          <w:tcPr>
            <w:tcW w:w="2621" w:type="dxa"/>
            <w:tcBorders/>
            <w:vAlign w:val="top"/>
            <w:shd w:fill="F7F9FB"/>
          </w:tcPr>
          <w:p>
            <w:pPr>
              <w:pStyle w:val="Normal"/>
              <w:spacing w:before="0" w:after="40" w:line="240" w:lineRule="auto"/>
              <w:rPr>
                <w:b/>
                <w:bCs/>
              </w:rPr>
            </w:pPr>
            <w:r>
              <w:rPr>
                <w:b/>
                <w:bCs/>
                <w:sz w:val="19"/>
              </w:rPr>
              <w:t>References and disclosure</w:t>
            </w:r>
          </w:p>
        </w:tc>
        <w:tc>
          <w:tcPr>
            <w:tcW w:w="6739" w:type="dxa"/>
            <w:tcBorders/>
            <w:vAlign w:val="top"/>
            <w:shd w:fill="F7F9FB"/>
          </w:tcPr>
          <w:p>
            <w:pPr>
              <w:pStyle w:val="Normal"/>
              <w:widowControl/>
              <w:bidi w:val="0"/>
              <w:spacing w:lineRule="auto" w:line="240" w:before="0" w:after="40"/>
              <w:jc w:val="start"/>
              <w:rPr/>
            </w:pPr>
            <w:r>
              <w:rPr>
                <w:sz w:val="19"/>
              </w:rPr>
              <w:t>Citation, license, assistance account, and end-of-component trace.</w:t>
            </w:r>
          </w:p>
        </w:tc>
      </w:tr>
    </w:tbl>
    <w:p>
      <w:pPr>
        <w:pStyle w:val="Heading1"/>
        <w:keepNext/>
        <w:keepLines/>
        <w:rPr/>
      </w:pPr>
      <w:bookmarkStart w:id="1" w:name="ledger-authority"/>
      <w:r>
        <w:rPr/>
        <w:t>1. Ledger authority</w:t>
      </w:r>
      <w:bookmarkEnd w:id="1"/>
    </w:p>
    <w:p>
      <w:pPr>
        <w:pStyle w:val="Normal"/>
        <w:keepNext/>
        <w:keepLines/>
        <w:rPr>
          <w:b/>
          <w:bCs/>
        </w:rPr>
      </w:pPr>
      <w:r>
        <w:rPr>
          <w:b/>
          <w:bCs/>
        </w:rPr>
        <w:t>This ledger does not rewrite prior receipts. The PAL v1.6 disposition and v1.99r1 carry-forward columns are historical records. PAL v2.0 adds a new disposition and reopening address beside them.</w:t>
      </w:r>
    </w:p>
    <w:p>
      <w:pPr>
        <w:pStyle w:val="BodyText"/>
        <w:rPr/>
      </w:pPr>
      <w:r>
        <w:rPr/>
        <w:t>A historical closure remains a closure of the claim stated at that time. A v2.0 identity change may relocate, narrow, strengthen, parameterize, branch-route, or reopen its current use without pretending the earlier document said something else.</w:t>
      </w:r>
    </w:p>
    <w:p>
      <w:pPr>
        <w:pStyle w:val="BodyText"/>
        <w:rPr/>
      </w:pPr>
      <w:r>
        <w:rPr/>
        <w:t>PAL v2.3 preserves D01-D30 and O01-O51 as frozen predecessor records, appends D31-D39 and O52-O62 without renumbering history, and keeps D-FIRST-OCCURRENCE OPEN through O04/O25. The scoped multi-parent-lineage boundary also remains OPEN outside the obligation checksums.</w:t>
      </w:r>
    </w:p>
    <w:p>
      <w:pPr>
        <w:pStyle w:val="BodyText"/>
        <w:rPr/>
      </w:pPr>
      <w:r>
        <w:rPr/>
        <w:t>The v2.3 additions do not create a primitive, numbered layer, claim-status value, authority source, universal geometry, scalar information-loss quantity, physical law, quantum-collapse account, or independent corroboration. The author-written seven-question opening is a scope firewall, not an answer to those questions. RAINBOW is an Atlas-local realization section, not a sixth authority face or release-wide title.</w:t>
      </w:r>
    </w:p>
    <w:p>
      <w:pPr>
        <w:pStyle w:val="Heading1"/>
        <w:keepNext/>
        <w:keepLines/>
        <w:rPr/>
      </w:pPr>
      <w:bookmarkStart w:id="2" w:name="adopted-decisions"/>
      <w:r>
        <w:rPr/>
        <w:t>2. Adopted decisions</w:t>
      </w:r>
      <w:bookmarkEnd w:id="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936"/>
        <w:gridCol w:w="6552"/>
        <w:gridCol w:w="936"/>
      </w:tblGrid>
      <w:tr>
        <w:trPr>
          <w:tblHeader w:val="true"/>
        </w:trPr>
        <w:tc>
          <w:tcPr>
            <w:tcW w:w="936" w:type="dxa"/>
            <w:tcBorders/>
            <w:vAlign w:val="top"/>
            <w:shd w:fill="DCE6F1"/>
          </w:tcPr>
          <w:p>
            <w:pPr>
              <w:pStyle w:val="Normal"/>
              <w:spacing w:before="0" w:after="40" w:line="240" w:lineRule="auto"/>
              <w:rPr>
                <w:b/>
                <w:bCs/>
              </w:rPr>
            </w:pPr>
            <w:r>
              <w:rPr>
                <w:b/>
                <w:bCs/>
                <w:color w:val="1F4D78"/>
                <w:sz w:val="18"/>
              </w:rPr>
              <w:t>ID</w:t>
            </w:r>
          </w:p>
        </w:tc>
        <w:tc>
          <w:tcPr>
            <w:tcW w:w="936" w:type="dxa"/>
            <w:tcBorders/>
            <w:vAlign w:val="top"/>
            <w:shd w:fill="DCE6F1"/>
          </w:tcPr>
          <w:p>
            <w:pPr>
              <w:pStyle w:val="Normal"/>
              <w:spacing w:before="0" w:after="40" w:line="240" w:lineRule="auto"/>
              <w:rPr>
                <w:b/>
                <w:bCs/>
              </w:rPr>
            </w:pPr>
            <w:r>
              <w:rPr>
                <w:b/>
                <w:bCs/>
                <w:color w:val="1F4D78"/>
                <w:sz w:val="18"/>
              </w:rPr>
              <w:t>Area</w:t>
            </w:r>
          </w:p>
        </w:tc>
        <w:tc>
          <w:tcPr>
            <w:tcW w:w="6552" w:type="dxa"/>
            <w:tcBorders/>
            <w:vAlign w:val="top"/>
            <w:shd w:fill="DCE6F1"/>
          </w:tcPr>
          <w:p>
            <w:pPr>
              <w:pStyle w:val="Normal"/>
              <w:spacing w:before="0" w:after="40" w:line="240" w:lineRule="auto"/>
              <w:rPr>
                <w:b/>
                <w:bCs/>
              </w:rPr>
            </w:pPr>
            <w:r>
              <w:rPr>
                <w:b/>
                <w:bCs/>
                <w:color w:val="1F4D78"/>
                <w:sz w:val="18"/>
              </w:rPr>
              <w:t>Adopted v2.0 decision</w:t>
            </w:r>
          </w:p>
        </w:tc>
        <w:tc>
          <w:tcPr>
            <w:tcW w:w="936" w:type="dxa"/>
            <w:tcBorders/>
            <w:vAlign w:val="top"/>
            <w:shd w:fill="DCE6F1"/>
          </w:tcPr>
          <w:p>
            <w:pPr>
              <w:pStyle w:val="Normal"/>
              <w:spacing w:before="0" w:after="40" w:line="240" w:lineRule="auto"/>
              <w:rPr>
                <w:b/>
                <w:bCs/>
              </w:rPr>
            </w:pPr>
            <w:r>
              <w:rPr>
                <w:b/>
                <w:bCs/>
                <w:color w:val="1F4D78"/>
                <w:sz w:val="18"/>
              </w:rPr>
              <w:t>State</w:t>
            </w:r>
          </w:p>
        </w:tc>
      </w:tr>
      <w:tr>
        <w:trPr/>
        <w:tc>
          <w:tcPr>
            <w:tcW w:w="936" w:type="dxa"/>
            <w:tcBorders/>
            <w:vAlign w:val="top"/>
          </w:tcPr>
          <w:p>
            <w:pPr>
              <w:pStyle w:val="Normal"/>
              <w:spacing w:before="0" w:after="40" w:line="240" w:lineRule="auto"/>
              <w:rPr>
                <w:b/>
                <w:bCs/>
              </w:rPr>
            </w:pPr>
            <w:r>
              <w:rPr>
                <w:b/>
                <w:bCs/>
                <w:sz w:val="18"/>
              </w:rPr>
              <w:t>D01</w:t>
            </w:r>
          </w:p>
        </w:tc>
        <w:tc>
          <w:tcPr>
            <w:tcW w:w="936" w:type="dxa"/>
            <w:tcBorders/>
            <w:vAlign w:val="top"/>
          </w:tcPr>
          <w:p>
            <w:pPr>
              <w:pStyle w:val="Normal"/>
              <w:widowControl/>
              <w:bidi w:val="0"/>
              <w:spacing w:lineRule="auto" w:line="240" w:before="0" w:after="40"/>
              <w:jc w:val="start"/>
              <w:rPr/>
            </w:pPr>
            <w:r>
              <w:rPr>
                <w:sz w:val="18"/>
              </w:rPr>
              <w:t>PAL identity</w:t>
            </w:r>
          </w:p>
        </w:tc>
        <w:tc>
          <w:tcPr>
            <w:tcW w:w="6552" w:type="dxa"/>
            <w:tcBorders/>
            <w:vAlign w:val="top"/>
          </w:tcPr>
          <w:p>
            <w:pPr>
              <w:pStyle w:val="Normal"/>
              <w:widowControl/>
              <w:bidi w:val="0"/>
              <w:spacing w:lineRule="auto" w:line="240" w:before="0" w:after="40"/>
              <w:jc w:val="start"/>
              <w:rPr/>
            </w:pPr>
            <w:r>
              <w:rPr>
                <w:sz w:val="18"/>
              </w:rPr>
              <w:t>PAL is a cumulative ordered list of mechanically earned distinctions, carried traces, authority ceilings, residuals, and reopening handles. Mathematics may realize, test, strengthen, or falsify a named capability; it does not define or contain the spine.</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D02</w:t>
            </w:r>
          </w:p>
        </w:tc>
        <w:tc>
          <w:tcPr>
            <w:tcW w:w="936" w:type="dxa"/>
            <w:tcBorders/>
            <w:vAlign w:val="top"/>
            <w:shd w:fill="F7F9FB"/>
          </w:tcPr>
          <w:p>
            <w:pPr>
              <w:pStyle w:val="Normal"/>
              <w:widowControl/>
              <w:bidi w:val="0"/>
              <w:spacing w:lineRule="auto" w:line="240" w:before="0" w:after="40"/>
              <w:jc w:val="start"/>
              <w:rPr/>
            </w:pPr>
            <w:r>
              <w:rPr>
                <w:sz w:val="18"/>
              </w:rPr>
              <w:t>Ω</w:t>
            </w:r>
          </w:p>
        </w:tc>
        <w:tc>
          <w:tcPr>
            <w:tcW w:w="6552" w:type="dxa"/>
            <w:tcBorders/>
            <w:vAlign w:val="top"/>
            <w:shd w:fill="F7F9FB"/>
          </w:tcPr>
          <w:p>
            <w:pPr>
              <w:pStyle w:val="Normal"/>
              <w:widowControl/>
              <w:bidi w:val="0"/>
              <w:spacing w:lineRule="auto" w:line="240" w:before="0" w:after="40"/>
              <w:jc w:val="start"/>
              <w:rPr/>
            </w:pPr>
            <w:r>
              <w:rPr>
                <w:sz w:val="18"/>
              </w:rPr>
              <w:t>Ω names unresolved possibility. It is not exterior, residue, set, carrier, model, state, reservoir, sample space, or completed unknown.</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D03</w:t>
            </w:r>
          </w:p>
        </w:tc>
        <w:tc>
          <w:tcPr>
            <w:tcW w:w="936" w:type="dxa"/>
            <w:tcBorders/>
            <w:vAlign w:val="top"/>
          </w:tcPr>
          <w:p>
            <w:pPr>
              <w:pStyle w:val="Normal"/>
              <w:widowControl/>
              <w:bidi w:val="0"/>
              <w:spacing w:lineRule="auto" w:line="240" w:before="0" w:after="40"/>
              <w:jc w:val="start"/>
              <w:rPr/>
            </w:pPr>
            <w:r>
              <w:rPr>
                <w:sz w:val="18"/>
              </w:rPr>
              <w:t>A0 and M0 relocation</w:t>
            </w:r>
          </w:p>
        </w:tc>
        <w:tc>
          <w:tcPr>
            <w:tcW w:w="6552" w:type="dxa"/>
            <w:tcBorders/>
            <w:vAlign w:val="top"/>
          </w:tcPr>
          <w:p>
            <w:pPr>
              <w:pStyle w:val="Normal"/>
              <w:widowControl/>
              <w:bidi w:val="0"/>
              <w:spacing w:lineRule="auto" w:line="240" w:before="0" w:after="40"/>
              <w:jc w:val="start"/>
              <w:rPr/>
            </w:pPr>
            <w:r>
              <w:rPr>
                <w:sz w:val="18"/>
              </w:rPr>
              <w:t>A0 is the supplied cut: the first distinction admitted by PAL. It is an imperfect copy/admission of Ω only in interpretive language, never a formal derivation from Ω. The v1.6 nonempty one-class model envelope is preserved as unnumbered mathematical scaffolding M0 and no longer defines A0.</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D04</w:t>
            </w:r>
          </w:p>
        </w:tc>
        <w:tc>
          <w:tcPr>
            <w:tcW w:w="936" w:type="dxa"/>
            <w:tcBorders/>
            <w:vAlign w:val="top"/>
            <w:shd w:fill="F7F9FB"/>
          </w:tcPr>
          <w:p>
            <w:pPr>
              <w:pStyle w:val="Normal"/>
              <w:widowControl/>
              <w:bidi w:val="0"/>
              <w:spacing w:lineRule="auto" w:line="240" w:before="0" w:after="40"/>
              <w:jc w:val="start"/>
              <w:rPr/>
            </w:pPr>
            <w:r>
              <w:rPr>
                <w:sz w:val="18"/>
              </w:rPr>
              <w:t>Ω*</w:t>
            </w:r>
          </w:p>
        </w:tc>
        <w:tc>
          <w:tcPr>
            <w:tcW w:w="6552" w:type="dxa"/>
            <w:tcBorders/>
            <w:vAlign w:val="top"/>
            <w:shd w:fill="F7F9FB"/>
          </w:tcPr>
          <w:p>
            <w:pPr>
              <w:pStyle w:val="Normal"/>
              <w:widowControl/>
              <w:bidi w:val="0"/>
              <w:spacing w:lineRule="auto" w:line="240" w:before="0" w:after="40"/>
              <w:jc w:val="start"/>
              <w:rPr/>
            </w:pPr>
            <w:r>
              <w:rPr>
                <w:sz w:val="18"/>
              </w:rPr>
              <w:t>Ω* is the cut-indexed reflection or symmetry formed by A0. It is distinct from A0 and Ω and is placed as an unnumbered primitive-floor companion between A0 and θ.</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D05</w:t>
            </w:r>
          </w:p>
        </w:tc>
        <w:tc>
          <w:tcPr>
            <w:tcW w:w="936" w:type="dxa"/>
            <w:tcBorders/>
            <w:vAlign w:val="top"/>
          </w:tcPr>
          <w:p>
            <w:pPr>
              <w:pStyle w:val="Normal"/>
              <w:widowControl/>
              <w:bidi w:val="0"/>
              <w:spacing w:lineRule="auto" w:line="240" w:before="0" w:after="40"/>
              <w:jc w:val="start"/>
              <w:rPr/>
            </w:pPr>
            <w:r>
              <w:rPr>
                <w:sz w:val="18"/>
              </w:rPr>
              <w:t>Residue</w:t>
            </w:r>
          </w:p>
        </w:tc>
        <w:tc>
          <w:tcPr>
            <w:tcW w:w="6552" w:type="dxa"/>
            <w:tcBorders/>
            <w:vAlign w:val="top"/>
          </w:tcPr>
          <w:p>
            <w:pPr>
              <w:pStyle w:val="Normal"/>
              <w:widowControl/>
              <w:bidi w:val="0"/>
              <w:spacing w:lineRule="auto" w:line="240" w:before="0" w:after="40"/>
              <w:jc w:val="start"/>
              <w:rPr/>
            </w:pPr>
            <w:r>
              <w:rPr>
                <w:sz w:val="18"/>
              </w:rPr>
              <w:t>What a cut or model excludes is unresolved residue. ‘Unresolved exterior’ may describe residue relative to an admitted interior but is not Ω’s identity.</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D06</w:t>
            </w:r>
          </w:p>
        </w:tc>
        <w:tc>
          <w:tcPr>
            <w:tcW w:w="936" w:type="dxa"/>
            <w:tcBorders/>
            <w:vAlign w:val="top"/>
            <w:shd w:fill="F7F9FB"/>
          </w:tcPr>
          <w:p>
            <w:pPr>
              <w:pStyle w:val="Normal"/>
              <w:widowControl/>
              <w:bidi w:val="0"/>
              <w:spacing w:lineRule="auto" w:line="240" w:before="0" w:after="40"/>
              <w:jc w:val="start"/>
              <w:rPr/>
            </w:pPr>
            <w:r>
              <w:rPr>
                <w:sz w:val="18"/>
              </w:rPr>
              <w:t>θ</w:t>
            </w:r>
          </w:p>
        </w:tc>
        <w:tc>
          <w:tcPr>
            <w:tcW w:w="6552" w:type="dxa"/>
            <w:tcBorders/>
            <w:vAlign w:val="top"/>
            <w:shd w:fill="F7F9FB"/>
          </w:tcPr>
          <w:p>
            <w:pPr>
              <w:pStyle w:val="Normal"/>
              <w:widowControl/>
              <w:bidi w:val="0"/>
              <w:spacing w:lineRule="auto" w:line="240" w:before="0" w:after="40"/>
              <w:jc w:val="start"/>
              <w:rPr/>
            </w:pPr>
            <w:r>
              <w:rPr>
                <w:sz w:val="18"/>
              </w:rPr>
              <w:t>θ is the minimum trace-bearing turn that makes A0/Ω* orientable without making the pair readable or persistent. Golden-angle geometry is an optional realization.</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D07</w:t>
            </w:r>
          </w:p>
        </w:tc>
        <w:tc>
          <w:tcPr>
            <w:tcW w:w="936" w:type="dxa"/>
            <w:tcBorders/>
            <w:vAlign w:val="top"/>
          </w:tcPr>
          <w:p>
            <w:pPr>
              <w:pStyle w:val="Normal"/>
              <w:widowControl/>
              <w:bidi w:val="0"/>
              <w:spacing w:lineRule="auto" w:line="240" w:before="0" w:after="40"/>
              <w:jc w:val="start"/>
              <w:rPr/>
            </w:pPr>
            <w:r>
              <w:rPr>
                <w:sz w:val="18"/>
              </w:rPr>
              <w:t>A1</w:t>
            </w:r>
          </w:p>
        </w:tc>
        <w:tc>
          <w:tcPr>
            <w:tcW w:w="6552" w:type="dxa"/>
            <w:tcBorders/>
            <w:vAlign w:val="top"/>
          </w:tcPr>
          <w:p>
            <w:pPr>
              <w:pStyle w:val="Normal"/>
              <w:widowControl/>
              <w:bidi w:val="0"/>
              <w:spacing w:lineRule="auto" w:line="240" w:before="0" w:after="40"/>
              <w:jc w:val="start"/>
              <w:rPr/>
            </w:pPr>
            <w:r>
              <w:rPr>
                <w:sz w:val="18"/>
              </w:rPr>
              <w:t>A1 earns readability. Orientation is canonical only by inheritance from θ; canon is not assumed before it is earned.</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D08</w:t>
            </w:r>
          </w:p>
        </w:tc>
        <w:tc>
          <w:tcPr>
            <w:tcW w:w="936" w:type="dxa"/>
            <w:tcBorders/>
            <w:vAlign w:val="top"/>
            <w:shd w:fill="F7F9FB"/>
          </w:tcPr>
          <w:p>
            <w:pPr>
              <w:pStyle w:val="Normal"/>
              <w:widowControl/>
              <w:bidi w:val="0"/>
              <w:spacing w:lineRule="auto" w:line="240" w:before="0" w:after="40"/>
              <w:jc w:val="start"/>
              <w:rPr/>
            </w:pPr>
            <w:r>
              <w:rPr>
                <w:sz w:val="18"/>
              </w:rPr>
              <w:t>A2</w:t>
            </w:r>
          </w:p>
        </w:tc>
        <w:tc>
          <w:tcPr>
            <w:tcW w:w="6552" w:type="dxa"/>
            <w:tcBorders/>
            <w:vAlign w:val="top"/>
            <w:shd w:fill="F7F9FB"/>
          </w:tcPr>
          <w:p>
            <w:pPr>
              <w:pStyle w:val="Normal"/>
              <w:widowControl/>
              <w:bidi w:val="0"/>
              <w:spacing w:lineRule="auto" w:line="240" w:before="0" w:after="40"/>
              <w:jc w:val="start"/>
              <w:rPr/>
            </w:pPr>
            <w:r>
              <w:rPr>
                <w:sz w:val="18"/>
              </w:rPr>
              <w:t>A2 is recoverable consequence/occurrence receipt, leaving later room to derive duration or continuous existence without asserting either.</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D09</w:t>
            </w:r>
          </w:p>
        </w:tc>
        <w:tc>
          <w:tcPr>
            <w:tcW w:w="936" w:type="dxa"/>
            <w:tcBorders/>
            <w:vAlign w:val="top"/>
          </w:tcPr>
          <w:p>
            <w:pPr>
              <w:pStyle w:val="Normal"/>
              <w:widowControl/>
              <w:bidi w:val="0"/>
              <w:spacing w:lineRule="auto" w:line="240" w:before="0" w:after="40"/>
              <w:jc w:val="start"/>
              <w:rPr/>
            </w:pPr>
            <w:r>
              <w:rPr>
                <w:sz w:val="18"/>
              </w:rPr>
              <w:t>A8 labels</w:t>
            </w:r>
          </w:p>
        </w:tc>
        <w:tc>
          <w:tcPr>
            <w:tcW w:w="6552" w:type="dxa"/>
            <w:tcBorders/>
            <w:vAlign w:val="top"/>
          </w:tcPr>
          <w:p>
            <w:pPr>
              <w:pStyle w:val="Normal"/>
              <w:widowControl/>
              <w:bidi w:val="0"/>
              <w:spacing w:lineRule="auto" w:line="240" w:before="0" w:after="40"/>
              <w:jc w:val="start"/>
              <w:rPr/>
            </w:pPr>
            <w:r>
              <w:rPr>
                <w:sz w:val="18"/>
              </w:rPr>
              <w:t>Route-caused response is the layer identity. SIA and SPLAT remain favored named labels/realizations and grant no extra authority.</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D10</w:t>
            </w:r>
          </w:p>
        </w:tc>
        <w:tc>
          <w:tcPr>
            <w:tcW w:w="936" w:type="dxa"/>
            <w:tcBorders/>
            <w:vAlign w:val="top"/>
            <w:shd w:fill="F7F9FB"/>
          </w:tcPr>
          <w:p>
            <w:pPr>
              <w:pStyle w:val="Normal"/>
              <w:widowControl/>
              <w:bidi w:val="0"/>
              <w:spacing w:lineRule="auto" w:line="240" w:before="0" w:after="40"/>
              <w:jc w:val="start"/>
              <w:rPr/>
            </w:pPr>
            <w:r>
              <w:rPr>
                <w:sz w:val="18"/>
              </w:rPr>
              <w:t>A9 / χ</w:t>
            </w:r>
          </w:p>
        </w:tc>
        <w:tc>
          <w:tcPr>
            <w:tcW w:w="6552" w:type="dxa"/>
            <w:tcBorders/>
            <w:vAlign w:val="top"/>
            <w:shd w:fill="F7F9FB"/>
          </w:tcPr>
          <w:p>
            <w:pPr>
              <w:pStyle w:val="Normal"/>
              <w:widowControl/>
              <w:bidi w:val="0"/>
              <w:spacing w:lineRule="auto" w:line="240" w:before="0" w:after="40"/>
              <w:jc w:val="start"/>
              <w:rPr/>
            </w:pPr>
            <w:r>
              <w:rPr>
                <w:sz w:val="18"/>
              </w:rPr>
              <w:t>A9 earns a task-relative center of influence. Myhill-Nerode and predictive-state constructions belong in the atlas.</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D11</w:t>
            </w:r>
          </w:p>
        </w:tc>
        <w:tc>
          <w:tcPr>
            <w:tcW w:w="936" w:type="dxa"/>
            <w:tcBorders/>
            <w:vAlign w:val="top"/>
          </w:tcPr>
          <w:p>
            <w:pPr>
              <w:pStyle w:val="Normal"/>
              <w:widowControl/>
              <w:bidi w:val="0"/>
              <w:spacing w:lineRule="auto" w:line="240" w:before="0" w:after="40"/>
              <w:jc w:val="start"/>
              <w:rPr/>
            </w:pPr>
            <w:r>
              <w:rPr>
                <w:sz w:val="18"/>
              </w:rPr>
              <w:t>A11</w:t>
            </w:r>
          </w:p>
        </w:tc>
        <w:tc>
          <w:tcPr>
            <w:tcW w:w="6552" w:type="dxa"/>
            <w:tcBorders/>
            <w:vAlign w:val="top"/>
          </w:tcPr>
          <w:p>
            <w:pPr>
              <w:pStyle w:val="Normal"/>
              <w:widowControl/>
              <w:bidi w:val="0"/>
              <w:spacing w:lineRule="auto" w:line="240" w:before="0" w:after="40"/>
              <w:jc w:val="start"/>
              <w:rPr/>
            </w:pPr>
            <w:r>
              <w:rPr>
                <w:sz w:val="18"/>
              </w:rPr>
              <w:t>Coupling and doctrine-relative jointness are coequal typed admissions. Jointness carries declared flexibility, invariants, tolerances, and reopening limits; neither admission implies the other.</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D12</w:t>
            </w:r>
          </w:p>
        </w:tc>
        <w:tc>
          <w:tcPr>
            <w:tcW w:w="936" w:type="dxa"/>
            <w:tcBorders/>
            <w:vAlign w:val="top"/>
            <w:shd w:fill="F7F9FB"/>
          </w:tcPr>
          <w:p>
            <w:pPr>
              <w:pStyle w:val="Normal"/>
              <w:widowControl/>
              <w:bidi w:val="0"/>
              <w:spacing w:lineRule="auto" w:line="240" w:before="0" w:after="40"/>
              <w:jc w:val="start"/>
              <w:rPr/>
            </w:pPr>
            <w:r>
              <w:rPr>
                <w:sz w:val="18"/>
              </w:rPr>
              <w:t>A15</w:t>
            </w:r>
          </w:p>
        </w:tc>
        <w:tc>
          <w:tcPr>
            <w:tcW w:w="6552" w:type="dxa"/>
            <w:tcBorders/>
            <w:vAlign w:val="top"/>
            <w:shd w:fill="F7F9FB"/>
          </w:tcPr>
          <w:p>
            <w:pPr>
              <w:pStyle w:val="Normal"/>
              <w:widowControl/>
              <w:bidi w:val="0"/>
              <w:spacing w:lineRule="auto" w:line="240" w:before="0" w:after="40"/>
              <w:jc w:val="start"/>
              <w:rPr/>
            </w:pPr>
            <w:r>
              <w:rPr>
                <w:sz w:val="18"/>
              </w:rPr>
              <w:t>A15 is the receipt counter. Proof-checker-relative and route-relative closures remain separately typed, each with evidence, limits, residuals, and reopening conditions.</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D13</w:t>
            </w:r>
          </w:p>
        </w:tc>
        <w:tc>
          <w:tcPr>
            <w:tcW w:w="936" w:type="dxa"/>
            <w:tcBorders/>
            <w:vAlign w:val="top"/>
          </w:tcPr>
          <w:p>
            <w:pPr>
              <w:pStyle w:val="Normal"/>
              <w:widowControl/>
              <w:bidi w:val="0"/>
              <w:spacing w:lineRule="auto" w:line="240" w:before="0" w:after="40"/>
              <w:jc w:val="start"/>
              <w:rPr/>
            </w:pPr>
            <w:r>
              <w:rPr>
                <w:sz w:val="18"/>
              </w:rPr>
              <w:t>Package authority</w:t>
            </w:r>
          </w:p>
        </w:tc>
        <w:tc>
          <w:tcPr>
            <w:tcW w:w="6552" w:type="dxa"/>
            <w:tcBorders/>
            <w:vAlign w:val="top"/>
          </w:tcPr>
          <w:p>
            <w:pPr>
              <w:pStyle w:val="Normal"/>
              <w:widowControl/>
              <w:bidi w:val="0"/>
              <w:spacing w:lineRule="auto" w:line="240" w:before="0" w:after="40"/>
              <w:jc w:val="start"/>
              <w:rPr/>
            </w:pPr>
            <w:r>
              <w:rPr>
                <w:sz w:val="18"/>
              </w:rPr>
              <w:t>Five coordinated canonical surfaces are released. A generated omnibus is a convenience copy and may not be edited or cited as independent authority.</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D14</w:t>
            </w:r>
          </w:p>
        </w:tc>
        <w:tc>
          <w:tcPr>
            <w:tcW w:w="936" w:type="dxa"/>
            <w:tcBorders/>
            <w:vAlign w:val="top"/>
            <w:shd w:fill="F7F9FB"/>
          </w:tcPr>
          <w:p>
            <w:pPr>
              <w:pStyle w:val="Normal"/>
              <w:widowControl/>
              <w:bidi w:val="0"/>
              <w:spacing w:lineRule="auto" w:line="240" w:before="0" w:after="40"/>
              <w:jc w:val="start"/>
              <w:rPr/>
            </w:pPr>
            <w:r>
              <w:rPr>
                <w:sz w:val="18"/>
              </w:rPr>
              <w:t>Open debt</w:t>
            </w:r>
          </w:p>
        </w:tc>
        <w:tc>
          <w:tcPr>
            <w:tcW w:w="6552" w:type="dxa"/>
            <w:tcBorders/>
            <w:vAlign w:val="top"/>
            <w:shd w:fill="F7F9FB"/>
          </w:tcPr>
          <w:p>
            <w:pPr>
              <w:pStyle w:val="Normal"/>
              <w:widowControl/>
              <w:bidi w:val="0"/>
              <w:spacing w:lineRule="auto" w:line="240" w:before="0" w:after="40"/>
              <w:jc w:val="start"/>
              <w:rPr/>
            </w:pPr>
            <w:r>
              <w:rPr>
                <w:sz w:val="18"/>
              </w:rPr>
              <w:t>O04 and O25 remain two interfaces to one first-occurrence debt. No certificate grammar supplies its own ontic witness.</w:t>
            </w:r>
          </w:p>
        </w:tc>
        <w:tc>
          <w:tcPr>
            <w:tcW w:w="936" w:type="dxa"/>
            <w:tcBorders/>
            <w:vAlign w:val="top"/>
            <w:shd w:fill="F7F9FB"/>
          </w:tcPr>
          <w:p>
            <w:pPr>
              <w:pStyle w:val="Normal"/>
              <w:widowControl/>
              <w:bidi w:val="0"/>
              <w:spacing w:lineRule="auto" w:line="240" w:before="0" w:after="40"/>
              <w:jc w:val="start"/>
              <w:rPr/>
            </w:pPr>
            <w:r>
              <w:rPr>
                <w:sz w:val="18"/>
              </w:rPr>
              <w:t>LOCKED OPEN</w:t>
            </w:r>
          </w:p>
        </w:tc>
      </w:tr>
      <w:tr>
        <w:trPr/>
        <w:tc>
          <w:tcPr>
            <w:tcW w:w="936" w:type="dxa"/>
            <w:tcBorders/>
            <w:vAlign w:val="top"/>
          </w:tcPr>
          <w:p>
            <w:pPr>
              <w:pStyle w:val="Normal"/>
              <w:spacing w:before="0" w:after="40" w:line="240" w:lineRule="auto"/>
              <w:rPr>
                <w:b/>
                <w:bCs/>
              </w:rPr>
            </w:pPr>
            <w:r>
              <w:rPr>
                <w:b/>
                <w:bCs/>
                <w:sz w:val="18"/>
              </w:rPr>
              <w:t>D15</w:t>
            </w:r>
          </w:p>
        </w:tc>
        <w:tc>
          <w:tcPr>
            <w:tcW w:w="936" w:type="dxa"/>
            <w:tcBorders/>
            <w:vAlign w:val="top"/>
          </w:tcPr>
          <w:p>
            <w:pPr>
              <w:pStyle w:val="Normal"/>
              <w:widowControl/>
              <w:bidi w:val="0"/>
              <w:spacing w:lineRule="auto" w:line="240" w:before="0" w:after="40"/>
              <w:jc w:val="start"/>
              <w:rPr/>
            </w:pPr>
            <w:r>
              <w:rPr>
                <w:sz w:val="18"/>
              </w:rPr>
              <w:t>Ethical authority</w:t>
            </w:r>
          </w:p>
        </w:tc>
        <w:tc>
          <w:tcPr>
            <w:tcW w:w="6552" w:type="dxa"/>
            <w:tcBorders/>
            <w:vAlign w:val="top"/>
          </w:tcPr>
          <w:p>
            <w:pPr>
              <w:pStyle w:val="Normal"/>
              <w:widowControl/>
              <w:bidi w:val="0"/>
              <w:spacing w:lineRule="auto" w:line="240" w:before="0" w:after="40"/>
              <w:jc w:val="start"/>
              <w:rPr/>
            </w:pPr>
            <w:r>
              <w:rPr>
                <w:sz w:val="18"/>
              </w:rPr>
              <w:t>PEA remains a quiet, independent ethical review branch. PAL closure never implies consent, permission, or deployment authorization.</w:t>
            </w:r>
          </w:p>
        </w:tc>
        <w:tc>
          <w:tcPr>
            <w:tcW w:w="936" w:type="dxa"/>
            <w:tcBorders/>
            <w:vAlign w:val="top"/>
          </w:tcPr>
          <w:p>
            <w:pPr>
              <w:pStyle w:val="Normal"/>
              <w:widowControl/>
              <w:bidi w:val="0"/>
              <w:spacing w:lineRule="auto" w:line="240" w:before="0" w:after="40"/>
              <w:jc w:val="start"/>
              <w:rPr/>
            </w:pPr>
            <w:r>
              <w:rPr>
                <w:sz w:val="18"/>
              </w:rPr>
              <w:t>LOCKED</w:t>
            </w:r>
          </w:p>
        </w:tc>
      </w:tr>
    </w:tbl>
    <w:p>
      <w:pPr>
        <w:pStyle w:val="Heading1"/>
        <w:keepNext/>
        <w:keepLines/>
        <w:rPr/>
      </w:pPr>
      <w:bookmarkStart w:id="3" w:name="obligation-checksum"/>
      <w:r>
        <w:rPr/>
        <w:t>3. Obligation checksum</w:t>
      </w:r>
      <w:bookmarkEnd w:id="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391"/>
        <w:gridCol w:w="936"/>
        <w:gridCol w:w="7033"/>
      </w:tblGrid>
      <w:tr>
        <w:trPr>
          <w:tblHeader w:val="true"/>
        </w:trPr>
        <w:tc>
          <w:tcPr>
            <w:tcW w:w="1391" w:type="dxa"/>
            <w:tcBorders/>
            <w:vAlign w:val="top"/>
            <w:shd w:fill="DCE6F1"/>
          </w:tcPr>
          <w:p>
            <w:pPr>
              <w:pStyle w:val="Normal"/>
              <w:spacing w:before="0" w:after="40" w:line="240" w:lineRule="auto"/>
              <w:rPr>
                <w:b/>
                <w:bCs/>
              </w:rPr>
            </w:pPr>
            <w:r>
              <w:rPr>
                <w:b/>
                <w:bCs/>
                <w:color w:val="1F4D78"/>
                <w:sz w:val="18"/>
              </w:rPr>
              <w:t>v1.6 disposition</w:t>
            </w:r>
          </w:p>
        </w:tc>
        <w:tc>
          <w:tcPr>
            <w:tcW w:w="936" w:type="dxa"/>
            <w:tcBorders/>
            <w:vAlign w:val="top"/>
            <w:shd w:fill="DCE6F1"/>
          </w:tcPr>
          <w:p>
            <w:pPr>
              <w:pStyle w:val="Normal"/>
              <w:spacing w:before="0" w:after="40" w:line="240" w:lineRule="auto"/>
              <w:rPr>
                <w:b/>
                <w:bCs/>
              </w:rPr>
            </w:pPr>
            <w:r>
              <w:rPr>
                <w:b/>
                <w:bCs/>
                <w:color w:val="1F4D78"/>
                <w:sz w:val="18"/>
              </w:rPr>
              <w:t>Count</w:t>
            </w:r>
          </w:p>
        </w:tc>
        <w:tc>
          <w:tcPr>
            <w:tcW w:w="7033" w:type="dxa"/>
            <w:tcBorders/>
            <w:vAlign w:val="top"/>
            <w:shd w:fill="DCE6F1"/>
          </w:tcPr>
          <w:p>
            <w:pPr>
              <w:pStyle w:val="Normal"/>
              <w:spacing w:before="0" w:after="40" w:line="240" w:lineRule="auto"/>
              <w:rPr>
                <w:b/>
                <w:bCs/>
              </w:rPr>
            </w:pPr>
            <w:r>
              <w:rPr>
                <w:b/>
                <w:bCs/>
                <w:color w:val="1F4D78"/>
                <w:sz w:val="18"/>
              </w:rPr>
              <w:t>IDs</w:t>
            </w:r>
          </w:p>
        </w:tc>
      </w:tr>
      <w:tr>
        <w:trPr/>
        <w:tc>
          <w:tcPr>
            <w:tcW w:w="1391" w:type="dxa"/>
            <w:tcBorders/>
            <w:vAlign w:val="top"/>
          </w:tcPr>
          <w:p>
            <w:pPr>
              <w:pStyle w:val="Normal"/>
              <w:spacing w:before="0" w:after="40" w:line="240" w:lineRule="auto"/>
              <w:rPr>
                <w:b/>
                <w:bCs/>
              </w:rPr>
            </w:pPr>
            <w:r>
              <w:rPr>
                <w:b/>
                <w:bCs/>
                <w:sz w:val="18"/>
              </w:rPr>
              <w:t>CORE CLOSED</w:t>
            </w:r>
          </w:p>
        </w:tc>
        <w:tc>
          <w:tcPr>
            <w:tcW w:w="936" w:type="dxa"/>
            <w:tcBorders/>
            <w:vAlign w:val="top"/>
          </w:tcPr>
          <w:p>
            <w:pPr>
              <w:pStyle w:val="Normal"/>
              <w:widowControl/>
              <w:bidi w:val="0"/>
              <w:spacing w:lineRule="auto" w:line="240" w:before="0" w:after="40"/>
              <w:jc w:val="start"/>
              <w:rPr/>
            </w:pPr>
            <w:r>
              <w:rPr>
                <w:sz w:val="18"/>
              </w:rPr>
              <w:t>23</w:t>
            </w:r>
          </w:p>
        </w:tc>
        <w:tc>
          <w:tcPr>
            <w:tcW w:w="7033" w:type="dxa"/>
            <w:tcBorders/>
            <w:vAlign w:val="top"/>
          </w:tcPr>
          <w:p>
            <w:pPr>
              <w:pStyle w:val="Normal"/>
              <w:widowControl/>
              <w:bidi w:val="0"/>
              <w:spacing w:lineRule="auto" w:line="240" w:before="0" w:after="40"/>
              <w:jc w:val="start"/>
              <w:rPr/>
            </w:pPr>
            <w:r>
              <w:rPr>
                <w:sz w:val="18"/>
              </w:rPr>
              <w:t>O01, O02, O03, O06, O07, O10, O12, O15, O20, O24, O27, O28, O31, O33, O34, O37, O40, O42, O44, O47, O48, O49, O51</w:t>
            </w:r>
          </w:p>
        </w:tc>
      </w:tr>
      <w:tr>
        <w:trPr/>
        <w:tc>
          <w:tcPr>
            <w:tcW w:w="1391" w:type="dxa"/>
            <w:tcBorders/>
            <w:vAlign w:val="top"/>
            <w:shd w:fill="F7F9FB"/>
          </w:tcPr>
          <w:p>
            <w:pPr>
              <w:pStyle w:val="Normal"/>
              <w:spacing w:before="0" w:after="40" w:line="240" w:lineRule="auto"/>
              <w:rPr>
                <w:b/>
                <w:bCs/>
              </w:rPr>
            </w:pPr>
            <w:r>
              <w:rPr>
                <w:b/>
                <w:bCs/>
                <w:sz w:val="18"/>
              </w:rPr>
              <w:t>PARAMETERIZED</w:t>
            </w:r>
          </w:p>
        </w:tc>
        <w:tc>
          <w:tcPr>
            <w:tcW w:w="936" w:type="dxa"/>
            <w:tcBorders/>
            <w:vAlign w:val="top"/>
            <w:shd w:fill="F7F9FB"/>
          </w:tcPr>
          <w:p>
            <w:pPr>
              <w:pStyle w:val="Normal"/>
              <w:widowControl/>
              <w:bidi w:val="0"/>
              <w:spacing w:lineRule="auto" w:line="240" w:before="0" w:after="40"/>
              <w:jc w:val="start"/>
              <w:rPr/>
            </w:pPr>
            <w:r>
              <w:rPr>
                <w:sz w:val="18"/>
              </w:rPr>
              <w:t>19</w:t>
            </w:r>
          </w:p>
        </w:tc>
        <w:tc>
          <w:tcPr>
            <w:tcW w:w="7033" w:type="dxa"/>
            <w:tcBorders/>
            <w:vAlign w:val="top"/>
            <w:shd w:fill="F7F9FB"/>
          </w:tcPr>
          <w:p>
            <w:pPr>
              <w:pStyle w:val="Normal"/>
              <w:widowControl/>
              <w:bidi w:val="0"/>
              <w:spacing w:lineRule="auto" w:line="240" w:before="0" w:after="40"/>
              <w:jc w:val="start"/>
              <w:rPr/>
            </w:pPr>
            <w:r>
              <w:rPr>
                <w:sz w:val="18"/>
              </w:rPr>
              <w:t>O05, O08, O09, O11, O13, O14, O17, O19, O26, O29, O30, O32, O35, O36, O38, O41, O43, O45, O46</w:t>
            </w:r>
          </w:p>
        </w:tc>
      </w:tr>
      <w:tr>
        <w:trPr/>
        <w:tc>
          <w:tcPr>
            <w:tcW w:w="1391" w:type="dxa"/>
            <w:tcBorders/>
            <w:vAlign w:val="top"/>
          </w:tcPr>
          <w:p>
            <w:pPr>
              <w:pStyle w:val="Normal"/>
              <w:spacing w:before="0" w:after="40" w:line="240" w:lineRule="auto"/>
              <w:rPr>
                <w:b/>
                <w:bCs/>
              </w:rPr>
            </w:pPr>
            <w:r>
              <w:rPr>
                <w:b/>
                <w:bCs/>
                <w:sz w:val="18"/>
              </w:rPr>
              <w:t>BRANCH</w:t>
            </w:r>
          </w:p>
        </w:tc>
        <w:tc>
          <w:tcPr>
            <w:tcW w:w="936" w:type="dxa"/>
            <w:tcBorders/>
            <w:vAlign w:val="top"/>
          </w:tcPr>
          <w:p>
            <w:pPr>
              <w:pStyle w:val="Normal"/>
              <w:widowControl/>
              <w:bidi w:val="0"/>
              <w:spacing w:lineRule="auto" w:line="240" w:before="0" w:after="40"/>
              <w:jc w:val="start"/>
              <w:rPr/>
            </w:pPr>
            <w:r>
              <w:rPr>
                <w:sz w:val="18"/>
              </w:rPr>
              <w:t>7</w:t>
            </w:r>
          </w:p>
        </w:tc>
        <w:tc>
          <w:tcPr>
            <w:tcW w:w="7033" w:type="dxa"/>
            <w:tcBorders/>
            <w:vAlign w:val="top"/>
          </w:tcPr>
          <w:p>
            <w:pPr>
              <w:pStyle w:val="Normal"/>
              <w:widowControl/>
              <w:bidi w:val="0"/>
              <w:spacing w:lineRule="auto" w:line="240" w:before="0" w:after="40"/>
              <w:jc w:val="start"/>
              <w:rPr/>
            </w:pPr>
            <w:r>
              <w:rPr>
                <w:sz w:val="18"/>
              </w:rPr>
              <w:t>O16, O18, O21, O22, O23, O39, O50</w:t>
            </w:r>
          </w:p>
        </w:tc>
      </w:tr>
      <w:tr>
        <w:trPr/>
        <w:tc>
          <w:tcPr>
            <w:tcW w:w="1391" w:type="dxa"/>
            <w:tcBorders/>
            <w:vAlign w:val="top"/>
            <w:shd w:fill="F7F9FB"/>
          </w:tcPr>
          <w:p>
            <w:pPr>
              <w:pStyle w:val="Normal"/>
              <w:spacing w:before="0" w:after="40" w:line="240" w:lineRule="auto"/>
              <w:rPr>
                <w:b/>
                <w:bCs/>
              </w:rPr>
            </w:pPr>
            <w:r>
              <w:rPr>
                <w:b/>
                <w:bCs/>
                <w:sz w:val="18"/>
              </w:rPr>
              <w:t>OPEN</w:t>
            </w:r>
          </w:p>
        </w:tc>
        <w:tc>
          <w:tcPr>
            <w:tcW w:w="936" w:type="dxa"/>
            <w:tcBorders/>
            <w:vAlign w:val="top"/>
            <w:shd w:fill="F7F9FB"/>
          </w:tcPr>
          <w:p>
            <w:pPr>
              <w:pStyle w:val="Normal"/>
              <w:widowControl/>
              <w:bidi w:val="0"/>
              <w:spacing w:lineRule="auto" w:line="240" w:before="0" w:after="40"/>
              <w:jc w:val="start"/>
              <w:rPr/>
            </w:pPr>
            <w:r>
              <w:rPr>
                <w:sz w:val="18"/>
              </w:rPr>
              <w:t>2</w:t>
            </w:r>
          </w:p>
        </w:tc>
        <w:tc>
          <w:tcPr>
            <w:tcW w:w="7033" w:type="dxa"/>
            <w:tcBorders/>
            <w:vAlign w:val="top"/>
            <w:shd w:fill="F7F9FB"/>
          </w:tcPr>
          <w:p>
            <w:pPr>
              <w:pStyle w:val="Normal"/>
              <w:widowControl/>
              <w:bidi w:val="0"/>
              <w:spacing w:lineRule="auto" w:line="240" w:before="0" w:after="40"/>
              <w:jc w:val="start"/>
              <w:rPr/>
            </w:pPr>
            <w:r>
              <w:rPr>
                <w:sz w:val="18"/>
              </w:rPr>
              <w:t>O04, O25</w:t>
            </w:r>
          </w:p>
        </w:tc>
      </w:tr>
    </w:tbl>
    <w:p>
      <w:pPr>
        <w:pStyle w:val="Normal"/>
        <w:keepNext/>
        <w:keepLines/>
        <w:rPr/>
      </w:pPr>
      <w:r>
        <w:rPr/>
        <w:t>51 = 23 CORE CLOSED + 19 PARAMETERIZED + 7 BRANCH + 2 OPEN</w:t>
      </w:r>
    </w:p>
    <w:p>
      <w:pPr>
        <w:pStyle w:val="BodyText"/>
        <w:rPr>
          <w:b/>
          <w:bCs/>
        </w:rPr>
      </w:pPr>
      <w:r>
        <w:rPr>
          <w:b/>
          <w:bCs/>
        </w:rPr>
        <w:t>O04 and O25 are two historical interfaces to one debt: D-FIRST-OCCURRENCE. O04 exposes the ontic inhabitance/source interface; O25 exposes the certificate/revocation interface. Both rows remain OPEN.</w:t>
      </w:r>
    </w:p>
    <w:p>
      <w:pPr>
        <w:pStyle w:val="Heading1"/>
        <w:keepNext/>
        <w:keepLines/>
        <w:rPr/>
      </w:pPr>
      <w:bookmarkStart w:id="4" w:name="exact-obligation-ledger-o01-o51"/>
      <w:r>
        <w:rPr/>
        <w:t>4. Exact obligation ledger O01-O51</w:t>
      </w:r>
      <w:bookmarkEnd w:id="4"/>
    </w:p>
    <w:p>
      <w:pPr>
        <w:pStyle w:val="Normal"/>
        <w:keepNext/>
        <w:keepLines/>
        <w:rPr/>
      </w:pPr>
      <w:r>
        <w:rPr/>
        <w:t>The first three values on each card and the v1.99r1 carry-forward sentence are copied exactly from the author-completed v1.99r1 Table 2. The v2.0 disposition and reopening condition are new adjacent receipts.</w:t>
      </w:r>
    </w:p>
    <w:p>
      <w:pPr>
        <w:pStyle w:val="Heading2"/>
        <w:keepNext/>
        <w:keepLines/>
        <w:rPr/>
      </w:pPr>
      <w:bookmarkStart w:id="5" w:name="o01---ω-firewall"/>
      <w:r>
        <w:rPr/>
        <w:t>O01 - Ω firewall</w:t>
      </w:r>
      <w:bookmarkEnd w:id="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the two-sorted firewall; no constructor consumes Ω.</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Keep the constructor firewall in the spine and correct Omega’s identity to unresolved possibility.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any constructor quantifies over, samples, transforms, measures, exhausts, or identifies Omega, or if Omega is equated with exterior/residue/model.</w:t>
            </w:r>
          </w:p>
        </w:tc>
      </w:tr>
    </w:tbl>
    <w:p>
      <w:pPr>
        <w:pStyle w:val="Heading2"/>
        <w:keepNext/>
        <w:keepLines/>
        <w:rPr/>
      </w:pPr>
      <w:bookmarkStart w:id="6" w:name="o02---permitted-a0-shadows"/>
      <w:r>
        <w:rPr/>
        <w:t>O02 - Permitted A0 shadows</w:t>
      </w:r>
      <w:bookmarkEnd w:id="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the paid family of nonempty universal-equivalence models; no carrier is canonical.</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Preserve the family in v2.0-M as an A0 modeling realization; it no longer defines A0 and cannot define Omega-star.</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carrier becomes canonical, the realization is promoted to A0 identity, or A0/Omega-star/Omega are conflated.</w:t>
            </w:r>
          </w:p>
        </w:tc>
      </w:tr>
    </w:tbl>
    <w:p>
      <w:pPr>
        <w:pStyle w:val="Heading2"/>
        <w:keepNext/>
        <w:keepLines/>
        <w:rPr/>
      </w:pPr>
      <w:bookmarkStart w:id="7" w:name="o03---θ-proof-theory"/>
      <w:r>
        <w:rPr/>
        <w:t>O03 - θ proof theory</w:t>
      </w:r>
      <w:bookmarkEnd w:id="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oriented nonclosure with no A1 eliminator; inspect whether v2.0 intentionally strengthens θ.</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OPENED. Preserve the no-A1-eliminator theorem in v2.0-M; hold exact theta identity at D06.</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theta selects a side, manufactures a witness, eliminates to A1, acquires a canonical geometric angle, or D06 changes.</w:t>
            </w:r>
          </w:p>
        </w:tc>
      </w:tr>
    </w:tbl>
    <w:p>
      <w:pPr>
        <w:pStyle w:val="Heading2"/>
        <w:keepNext/>
        <w:keepLines/>
        <w:rPr/>
      </w:pPr>
      <w:bookmarkStart w:id="8" w:name="o04---first-occurrence"/>
      <w:r>
        <w:rPr/>
        <w:t>O04 - First occurrence</w:t>
      </w:r>
      <w:bookmarkEnd w:id="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OPEN</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Keep visibly open. Ontic source is not derived; trace-only absolute-first identification is closed negatively.</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OPENED: D-FIRST-OCCURRENCE. Retain as the ontic interface.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Reopen/review only upon a supplied, observed, assumed, or model-specific admissible occurrence witness, or upon any claim that PAL derived the witness internally.</w:t>
            </w:r>
          </w:p>
        </w:tc>
      </w:tr>
    </w:tbl>
    <w:p>
      <w:pPr>
        <w:pStyle w:val="Normal"/>
        <w:keepNext/>
        <w:keepLines/>
        <w:rPr>
          <w:b/>
          <w:bCs/>
        </w:rPr>
      </w:pPr>
      <w:r>
        <w:rPr>
          <w:b/>
          <w:bCs/>
        </w:rPr>
        <w:t>Debt address: D-FIRST-OCCURRENCE. State: OPEN. This row is not merged with its companion and supplies no witness.</w:t>
      </w:r>
    </w:p>
    <w:p>
      <w:pPr>
        <w:pStyle w:val="Heading2"/>
        <w:keepNext/>
        <w:keepLines/>
        <w:rPr/>
      </w:pPr>
      <w:bookmarkStart w:id="9" w:name="o05---readout-choice"/>
      <w:r>
        <w:rPr/>
        <w:t>O05 - Readout choice</w:t>
      </w:r>
      <w:bookmarkEnd w:id="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Each realization must fix readout, selected sides, apartness, scope, and tolerance.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Address each choice in v2.0-M and its tests.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readout, sides, apartness, scope, baseline, or tolerance changes or is underspecified.</w:t>
            </w:r>
          </w:p>
        </w:tc>
      </w:tr>
    </w:tbl>
    <w:p>
      <w:pPr>
        <w:pStyle w:val="Heading2"/>
        <w:keepNext/>
        <w:keepLines/>
        <w:rPr/>
      </w:pPr>
      <w:bookmarkStart w:id="10" w:name="o06---a2-lifecycle"/>
      <w:r>
        <w:rPr/>
        <w:t>O06 - A2 lifecycle</w:t>
      </w:r>
      <w:bookmarkEnd w:id="1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append-only event algebra, historical residual preservation, and versioned compaction/restore receipts.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REWORDED. Spine carries recoverable consequence; lifecycle algebra remains in v2.0-M/T.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deletion, collision, mutation, failed lookup, compaction/restore change, or change to protected fields.</w:t>
            </w:r>
          </w:p>
        </w:tc>
      </w:tr>
    </w:tbl>
    <w:p>
      <w:pPr>
        <w:pStyle w:val="Heading2"/>
        <w:keepNext/>
        <w:keepLines/>
        <w:rPr/>
      </w:pPr>
      <w:bookmarkStart w:id="11" w:name="o07---relation-authority"/>
      <w:r>
        <w:rPr/>
        <w:t>O07 - Relation authority</w:t>
      </w:r>
      <w:bookmarkEnd w:id="1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typed EvidenceKind and the prohibition on silent cross-kind authority coercion.</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Mechanical relation remains A3; graph and EvidenceKind implementations are attached.</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endpoint revision, evidence invalidation, provenance conflict, scope change, or cross-kind coercion.</w:t>
            </w:r>
          </w:p>
        </w:tc>
      </w:tr>
    </w:tbl>
    <w:p>
      <w:pPr>
        <w:pStyle w:val="Heading2"/>
        <w:keepNext/>
        <w:keepLines/>
        <w:rPr/>
      </w:pPr>
      <w:bookmarkStart w:id="12" w:name="o08---soop-metricdebt"/>
      <w:r>
        <w:rPr/>
        <w:t>O08 - SOOP metric/debt</w:t>
      </w:r>
      <w:bookmarkEnd w:id="1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protected observations and prove concrete transport bounds.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PARAMETERIZED. Ordered-monoid and metric debt belong in v2.0-M.</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path, transport, observation, comparison law, debt monoid, budget, or tolerance changes.</w:t>
            </w:r>
          </w:p>
        </w:tc>
      </w:tr>
    </w:tbl>
    <w:p>
      <w:pPr>
        <w:pStyle w:val="Heading2"/>
        <w:keepNext/>
        <w:keepLines/>
        <w:rPr/>
      </w:pPr>
      <w:bookmarkStart w:id="13" w:name="o09---sore-semantics"/>
      <w:r>
        <w:rPr/>
        <w:t>O09 - SORE semantics</w:t>
      </w:r>
      <w:bookmarkEnd w:id="1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extensional, reachable, stochastic, or intervention-based dependence before causal language.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A5 earns feedback dependence; causal promotion remains realization-specific.</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dependence semantics, admitted domain, update law, reachability, stochastic model, or intervention basis changes.</w:t>
            </w:r>
          </w:p>
        </w:tc>
      </w:tr>
    </w:tbl>
    <w:p>
      <w:pPr>
        <w:pStyle w:val="Heading2"/>
        <w:keepNext/>
        <w:keepLines/>
        <w:rPr/>
      </w:pPr>
      <w:bookmarkStart w:id="14" w:name="o10---sosa-modes"/>
      <w:r>
        <w:rPr/>
        <w:t>O10 - SOSA modes</w:t>
      </w:r>
      <w:bookmarkEnd w:id="1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separate mode tags; no stability notion inherits another’s authority.</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Mode separation is a spine ceiling; proofs live in v2.0-M.</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mode, dynamics, region, scope, perturbation class, horizon, or tolerance changes.</w:t>
            </w:r>
          </w:p>
        </w:tc>
      </w:tr>
    </w:tbl>
    <w:p>
      <w:pPr>
        <w:pStyle w:val="Heading2"/>
        <w:keepNext/>
        <w:keepLines/>
        <w:rPr/>
      </w:pPr>
      <w:bookmarkStart w:id="15" w:name="o11---a7-reconstruction"/>
      <w:r>
        <w:rPr/>
        <w:t>O11 - A7 reconstruction</w:t>
      </w:r>
      <w:bookmarkEnd w:id="1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Type access, refresh, compression, route burden, and reconstruction laws per realization.</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the occurrence/access split; route operations are typed realizations.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failed reconstruction, protected-query change, root mismatch, route-operation ambiguity, or burden-model change.</w:t>
            </w:r>
          </w:p>
        </w:tc>
      </w:tr>
    </w:tbl>
    <w:p>
      <w:pPr>
        <w:pStyle w:val="Heading2"/>
        <w:keepNext/>
        <w:keepLines/>
        <w:rPr/>
      </w:pPr>
      <w:bookmarkStart w:id="16" w:name="o12---a7-to-a8-bridge"/>
      <w:r>
        <w:rPr/>
        <w:t>O12 - A7 to A8 bridge</w:t>
      </w:r>
      <w:bookmarkEnd w:id="1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the negative result: A7 alone determines no universal route-to-effect map.</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Keep the negative bridge result in v2.0-M and the no-free-effect ceiling in the spine.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universal bridge is claimed or a model-specific bridge changes assumptions, units, coverage, or causal law.</w:t>
            </w:r>
          </w:p>
        </w:tc>
      </w:tr>
    </w:tbl>
    <w:p>
      <w:pPr>
        <w:pStyle w:val="Heading2"/>
        <w:keepNext/>
        <w:keepLines/>
        <w:rPr/>
      </w:pPr>
      <w:bookmarkStart w:id="17" w:name="o13---χ-usefulness"/>
      <w:r>
        <w:rPr/>
        <w:t>O13 - χ usefulness</w:t>
      </w:r>
      <w:bookmarkEnd w:id="1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nontrivial work, finite usefulness where claimed, and aperture stability per model.</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PARAMETERIZED. The center is mechanical; usefulness and quotient/sufficiency proofs belong in v2.0-M.</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task, continuation domain, aperture, decoder, sufficiency rule, future behavior, or usefulness claim changes.</w:t>
            </w:r>
          </w:p>
        </w:tc>
      </w:tr>
    </w:tbl>
    <w:p>
      <w:pPr>
        <w:pStyle w:val="Heading2"/>
        <w:keepNext/>
        <w:keepLines/>
        <w:rPr/>
      </w:pPr>
      <w:bookmarkStart w:id="18" w:name="o14---frames"/>
      <w:r>
        <w:rPr/>
        <w:t>O14 - Frames</w:t>
      </w:r>
      <w:bookmarkEnd w:id="1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partial frame languages without implying a global total or moral order.</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A10 comparison remains partial and authority-limited.</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frame, map/span, comparator, operation order, tie band, scope, or center certificate changes.</w:t>
            </w:r>
          </w:p>
        </w:tc>
      </w:tr>
    </w:tbl>
    <w:p>
      <w:pPr>
        <w:pStyle w:val="Heading2"/>
        <w:keepNext/>
        <w:keepLines/>
        <w:rPr/>
      </w:pPr>
      <w:bookmarkStart w:id="19" w:name="o15---a11-path-semantics"/>
      <w:r>
        <w:rPr/>
        <w:t>O15 - A11 path semantics</w:t>
      </w:r>
      <w:bookmarkEnd w:id="1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Literal finite paths with ordered composition remain the weakest canonical realization.</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Retain literal paths as a minimum v2.0-M realization, not A11’s identity.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path equality, composition order, transport, coupling law, doctrine, or path sensitivity changes.</w:t>
            </w:r>
          </w:p>
        </w:tc>
      </w:tr>
    </w:tbl>
    <w:p>
      <w:pPr>
        <w:pStyle w:val="Heading2"/>
        <w:keepNext/>
        <w:keepLines/>
        <w:rPr/>
      </w:pPr>
      <w:bookmarkStart w:id="20" w:name="o16---a12-concurrency"/>
      <w:r>
        <w:rPr/>
        <w:t>O16 - A12 concurrency</w:t>
      </w:r>
      <w:bookmarkEnd w:id="2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Concurrency, durability, crash recovery, idempotence, and branching authority require an implementation branch.</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The spine retains one-token authority-safe re-entry only.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an implementation adds concurrency, persistence, external effects, crash semantics, or branch creation.</w:t>
            </w:r>
          </w:p>
        </w:tc>
      </w:tr>
    </w:tbl>
    <w:p>
      <w:pPr>
        <w:pStyle w:val="Heading2"/>
        <w:keepNext/>
        <w:keepLines/>
        <w:rPr/>
      </w:pPr>
      <w:bookmarkStart w:id="21" w:name="o17---a13-cadence"/>
      <w:r>
        <w:rPr/>
        <w:t>O17 - A13 cadence</w:t>
      </w:r>
      <w:bookmarkEnd w:id="2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rank termination or fair liveness and keep logical cadence distinct from physical time.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the two typed cadence families.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rank, fairness, scheduler, acceptance condition, stop rule, or cadence family changes.</w:t>
            </w:r>
          </w:p>
        </w:tc>
      </w:tr>
    </w:tbl>
    <w:p>
      <w:pPr>
        <w:pStyle w:val="Heading2"/>
        <w:keepNext/>
        <w:keepLines/>
        <w:rPr/>
      </w:pPr>
      <w:bookmarkStart w:id="22" w:name="o18---a14-slack"/>
      <w:r>
        <w:rPr/>
        <w:t>O18 - A14 slack</w:t>
      </w:r>
      <w:bookmarkEnd w:id="2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Vector aggregation, equality tolerance, nonsmooth sensitivity, and partial observation remain stronger branches.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Preserve scalar/interval slack as the minimum realization.</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aggregation, equality band, observation model, norm, nonsmooth analysis, evaluator, or units change.</w:t>
            </w:r>
          </w:p>
        </w:tc>
      </w:tr>
    </w:tbl>
    <w:p>
      <w:pPr>
        <w:pStyle w:val="Heading2"/>
        <w:keepNext/>
        <w:keepLines/>
        <w:rPr/>
      </w:pPr>
      <w:bookmarkStart w:id="23" w:name="o19---a15-closure"/>
      <w:r>
        <w:rPr/>
        <w:t>O19 - A15 closure</w:t>
      </w:r>
      <w:bookmarkEnd w:id="2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Formalize status vocabulary, conflicts, cycles, dependency granularity, and completeness scope.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 PARAMETERIZED. Receipt-counter identity plus separately typed checker and route closures.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status grammar, checker, conflicts, cycles, dependencies, scope, tolerance, authority, or completeness claim changes.</w:t>
            </w:r>
          </w:p>
        </w:tc>
      </w:tr>
    </w:tbl>
    <w:p>
      <w:pPr>
        <w:pStyle w:val="Heading2"/>
        <w:keepNext/>
        <w:keepLines/>
        <w:rPr/>
      </w:pPr>
      <w:bookmarkStart w:id="24" w:name="o20---conservativity"/>
      <w:r>
        <w:rPr/>
        <w:t>O20 - Conservativity</w:t>
      </w:r>
      <w:bookmarkEnd w:id="2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reduct/forgetful preservation of every predecessor theorem on admitted extensions.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STRENGTHENED. Build/Forget proofs live in v2.0-M; mechanical predecessor/carry rules govern the spine.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new capability lacks a predecessor countermodel, forgetful recovery fails, or a realization alters predecessor authority.</w:t>
            </w:r>
          </w:p>
        </w:tc>
      </w:tr>
    </w:tbl>
    <w:p>
      <w:pPr>
        <w:pStyle w:val="Heading2"/>
        <w:keepNext/>
        <w:keepLines/>
        <w:rPr/>
      </w:pPr>
      <w:bookmarkStart w:id="25" w:name="o21---response-triad"/>
      <w:r>
        <w:rPr/>
        <w:t>O21 - Response triad</w:t>
      </w:r>
      <w:bookmarkEnd w:id="2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Test response labels, dynamics, reachability, and observables inside declared model families.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SIA/SPLAT remain named active A8 realizations.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labels, effect dynamics, reachability, observables, thresholds, or empirical calibration change.</w:t>
            </w:r>
          </w:p>
        </w:tc>
      </w:tr>
    </w:tbl>
    <w:p>
      <w:pPr>
        <w:pStyle w:val="Heading2"/>
        <w:keepNext/>
        <w:keepLines/>
        <w:rPr/>
      </w:pPr>
      <w:bookmarkStart w:id="26" w:name="o22---prime-golden-module"/>
      <w:r>
        <w:rPr/>
        <w:t>O22 - Prime-golden module</w:t>
      </w:r>
      <w:bookmarkEnd w:id="2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Keep arithmetic/geometric compaction outside the spine until a metric and authority-preserving advantage are proved.</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Golden-angle material may realize theta or compaction only under declared structure.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upon a proved metric advantage with full cost/authority preservation, or any attempt to make the module primitive by analogy.</w:t>
            </w:r>
          </w:p>
        </w:tc>
      </w:tr>
    </w:tbl>
    <w:p>
      <w:pPr>
        <w:pStyle w:val="Heading2"/>
        <w:keepNext/>
        <w:keepLines/>
        <w:rPr/>
      </w:pPr>
      <w:bookmarkStart w:id="27" w:name="o23---tick-lower-bound"/>
      <w:r>
        <w:rPr/>
        <w:t>O23 - Tick lower bound</w:t>
      </w:r>
      <w:bookmarkEnd w:id="2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No positive step cost is inherited; a physical or computational branch must supply the law.</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A13 cadence remains nonphysical by default.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positive cost is asserted or a branch supplies/changes the physical or computational lower-bound law.</w:t>
            </w:r>
          </w:p>
        </w:tc>
      </w:tr>
    </w:tbl>
    <w:p>
      <w:pPr>
        <w:pStyle w:val="Heading2"/>
        <w:keepNext/>
        <w:keepLines/>
        <w:rPr/>
      </w:pPr>
      <w:bookmarkStart w:id="28" w:name="o24---branch-inspections"/>
      <w:r>
        <w:rPr/>
        <w:t>O24 - Branch inspections</w:t>
      </w:r>
      <w:bookmarkEnd w:id="2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mandatory dependencies, witnesses, constructors, ledgers, falsifiers, countermodels, ceilings, and reopening fields.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Make these mandatory fields of every v2.0-M realization card and delegated evidence packet.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card omits a field, changes source/version, or claims authority beyond its declared ceiling.</w:t>
            </w:r>
          </w:p>
        </w:tc>
      </w:tr>
    </w:tbl>
    <w:p>
      <w:pPr>
        <w:pStyle w:val="Heading2"/>
        <w:keepNext/>
        <w:keepLines/>
        <w:rPr/>
      </w:pPr>
      <w:bookmarkStart w:id="29" w:name="o25---revocation-source"/>
      <w:r>
        <w:rPr/>
        <w:t>O25 - Revocation source</w:t>
      </w:r>
      <w:bookmarkEnd w:id="2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OPEN</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Same ontic debt as O04, not a second problem. Certificate grammar cannot inhabit its own witness.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OPENED: D-FIRST-OCCURRENCE. Retain as the certificate/revocation interface to the same debt.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Same trigger as O04; additionally reopen if certificate grammar is allowed to invent, self-certify, or conceal its revocation witness.</w:t>
            </w:r>
          </w:p>
        </w:tc>
      </w:tr>
    </w:tbl>
    <w:p>
      <w:pPr>
        <w:pStyle w:val="Normal"/>
        <w:keepNext/>
        <w:keepLines/>
        <w:rPr>
          <w:b/>
          <w:bCs/>
        </w:rPr>
      </w:pPr>
      <w:r>
        <w:rPr>
          <w:b/>
          <w:bCs/>
        </w:rPr>
        <w:t>Debt address: D-FIRST-OCCURRENCE. State: OPEN. This row is not merged with its companion and supplies no witness.</w:t>
      </w:r>
    </w:p>
    <w:p>
      <w:pPr>
        <w:pStyle w:val="Heading2"/>
        <w:keepNext/>
        <w:keepLines/>
        <w:rPr/>
      </w:pPr>
      <w:bookmarkStart w:id="30" w:name="o26---decoder-soundness"/>
      <w:r>
        <w:rPr/>
        <w:t>O26 - Decoder soundness</w:t>
      </w:r>
      <w:bookmarkEnd w:id="3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each admitted failure witness yields positive oriented apartness under prior tolerances.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conditional decoding in v2.0-M/T; no decoder supplies its own witness.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decoder, failure grammar, witness class, baseline, orientation, or tolerance changes.</w:t>
            </w:r>
          </w:p>
        </w:tc>
      </w:tr>
    </w:tbl>
    <w:p>
      <w:pPr>
        <w:pStyle w:val="Heading2"/>
        <w:keepNext/>
        <w:keepLines/>
        <w:rPr/>
      </w:pPr>
      <w:bookmarkStart w:id="31" w:name="o27---certificate-firewall"/>
      <w:r>
        <w:rPr/>
        <w:t>O27 - Certificate firewall</w:t>
      </w:r>
      <w:bookmarkEnd w:id="3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Keep external assessment and internal A2 persistence in disjoint typed contexts.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Carry as no-backflow and certificate non-retroactivity.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external assessment mutates an A0/A1 identity or A2 receipt, or if persistence is inferred without an explicit A2 update.</w:t>
            </w:r>
          </w:p>
        </w:tc>
      </w:tr>
    </w:tbl>
    <w:p>
      <w:pPr>
        <w:pStyle w:val="Heading2"/>
        <w:keepNext/>
        <w:keepLines/>
        <w:rPr/>
      </w:pPr>
      <w:bookmarkStart w:id="32" w:name="o28---residual-extraction"/>
      <w:r>
        <w:rPr/>
        <w:t>O28 - Residual extraction</w:t>
      </w:r>
      <w:bookmarkEnd w:id="3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Finite enumeration plus decidability yields constructive witness extraction or exhaustion.</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The finite constructive result belongs in v2.0-M/T; the spine carries only typed residual routing.</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finiteness, enumeration, decidability, soundness, or exhaustion assumptions fail.</w:t>
            </w:r>
          </w:p>
        </w:tc>
      </w:tr>
    </w:tbl>
    <w:p>
      <w:pPr>
        <w:pStyle w:val="Heading2"/>
        <w:keepNext/>
        <w:keepLines/>
        <w:rPr/>
      </w:pPr>
      <w:bookmarkStart w:id="33" w:name="o29---θ-shadow-compatibility"/>
      <w:r>
        <w:rPr/>
        <w:t>O29 - θ-shadow compatibility</w:t>
      </w:r>
      <w:bookmarkEnd w:id="3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which certificate apertures realize Open+ without creating an A1 eliminator.</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Retain in v2.0-M and bind it to D06/D04 rather than equating θ with Ω*.</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theta identity, Omega-star relation, aperture, certificate grammar, or no-eliminator proof changes.</w:t>
            </w:r>
          </w:p>
        </w:tc>
      </w:tr>
    </w:tbl>
    <w:p>
      <w:pPr>
        <w:pStyle w:val="Heading2"/>
        <w:keepNext/>
        <w:keepLines/>
        <w:rPr/>
      </w:pPr>
      <w:bookmarkStart w:id="34" w:name="o30---well-founded-escape"/>
      <w:r>
        <w:rPr/>
        <w:t>O30 - Well-founded escape</w:t>
      </w:r>
      <w:bookmarkEnd w:id="3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nonterminality, progress, finite escape where claimed, and sound exit-to-A1 decoding.</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escape constructions as A1 realizations/tests.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well-founded order, progress rule, terminal classification, finite bound, or exit decoder changes.</w:t>
            </w:r>
          </w:p>
        </w:tc>
      </w:tr>
    </w:tbl>
    <w:p>
      <w:pPr>
        <w:pStyle w:val="Heading2"/>
        <w:keepNext/>
        <w:keepLines/>
        <w:rPr/>
      </w:pPr>
      <w:bookmarkStart w:id="35" w:name="o31---response-trichotomy"/>
      <w:r>
        <w:rPr/>
        <w:t>O31 - Response trichotomy</w:t>
      </w:r>
      <w:bookmarkEnd w:id="3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the exclusive quiet/decoded/residual classification under evaluated Option decoding.</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Keep the typed classification and its exclusivity proof in v2.0-M/T.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cases overlap, fail exhaustiveness, decoder evaluation changes, or a new response status is admitted.</w:t>
            </w:r>
          </w:p>
        </w:tc>
      </w:tr>
    </w:tbl>
    <w:p>
      <w:pPr>
        <w:pStyle w:val="Heading2"/>
        <w:keepNext/>
        <w:keepLines/>
        <w:rPr/>
      </w:pPr>
      <w:bookmarkStart w:id="36" w:name="o32---registration-soundness"/>
      <w:r>
        <w:rPr/>
        <w:t>O32 - Registration soundness</w:t>
      </w:r>
      <w:bookmarkEnd w:id="3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registered response implies positive apartness from the original baseline and tolerance.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Address to the A1 readability crossing.</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registration rule, baseline, apartness, observation profile, or tolerance changes.</w:t>
            </w:r>
          </w:p>
        </w:tc>
      </w:tr>
    </w:tbl>
    <w:p>
      <w:pPr>
        <w:pStyle w:val="Heading2"/>
        <w:keepNext/>
        <w:keepLines/>
        <w:rPr/>
      </w:pPr>
      <w:bookmarkStart w:id="37" w:name="o33---readout-horizon"/>
      <w:r>
        <w:rPr/>
        <w:t>O33 - Readout horizon</w:t>
      </w:r>
      <w:bookmarkEnd w:id="3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profile-, scope-, and tolerance-indexed classification boundaries.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Make the index receipt mandatory in spine and test surfaces.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profile, scope, tolerance, baseline, or classification boundary changes.</w:t>
            </w:r>
          </w:p>
        </w:tc>
      </w:tr>
    </w:tbl>
    <w:p>
      <w:pPr>
        <w:pStyle w:val="Heading2"/>
        <w:keepNext/>
        <w:keepLines/>
        <w:rPr/>
      </w:pPr>
      <w:bookmarkStart w:id="38" w:name="o34---residual-semantics"/>
      <w:r>
        <w:rPr/>
        <w:t>O34 - Residual semantics</w:t>
      </w:r>
      <w:bookmarkEnd w:id="3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Residual means registration plus decoder failure, not hidden cause or substrate knowledge.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Align with D05: unresolved residue is a carried result, not Omega’s identity.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later prose promotes residual into hidden-cause knowledge, substrate knowledge, or Omega, or if decoder status changes.</w:t>
            </w:r>
          </w:p>
        </w:tc>
      </w:tr>
    </w:tbl>
    <w:p>
      <w:pPr>
        <w:pStyle w:val="Heading2"/>
        <w:keepNext/>
        <w:keepLines/>
        <w:rPr/>
      </w:pPr>
      <w:bookmarkStart w:id="39" w:name="o35---aliasing"/>
      <w:r>
        <w:rPr/>
        <w:t>O35 - Aliasing</w:t>
      </w:r>
      <w:bookmarkEnd w:id="3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Supply independent checks for familiar labels generated by unfamiliar causes.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as A1/A8 diagnostic evidence.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label set, cause model, independent check, baseline, or tolerance changes.</w:t>
            </w:r>
          </w:p>
        </w:tc>
      </w:tr>
    </w:tbl>
    <w:p>
      <w:pPr>
        <w:pStyle w:val="Heading2"/>
        <w:keepNext/>
        <w:keepLines/>
        <w:rPr/>
      </w:pPr>
      <w:bookmarkStart w:id="40" w:name="o36---accumulation"/>
      <w:r>
        <w:rPr/>
        <w:t>O36 - Accumulation</w:t>
      </w:r>
      <w:bookmarkEnd w:id="4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composition, burden, orientation, uncertainty, and cancellation rules.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Carry every chosen algebra and its noncancellation limits.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composition, burden units, orientation law, uncertainty calculus, cancellation, or ordering changes.</w:t>
            </w:r>
          </w:p>
        </w:tc>
      </w:tr>
    </w:tbl>
    <w:p>
      <w:pPr>
        <w:pStyle w:val="Heading2"/>
        <w:keepNext/>
        <w:keepLines/>
        <w:rPr/>
      </w:pPr>
      <w:bookmarkStart w:id="41" w:name="o37---atlas-overlaps"/>
      <w:r>
        <w:rPr/>
        <w:t>O37 - Atlas overlaps</w:t>
      </w:r>
      <w:bookmarkEnd w:id="4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set-level pullback overlap, swap, and triple compatibility.</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This is a v2.0-M atlas conformance law, not a spine identity.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chart, overlap domain, translation, swap, or triple-compatibility proof changes.</w:t>
            </w:r>
          </w:p>
        </w:tc>
      </w:tr>
    </w:tbl>
    <w:p>
      <w:pPr>
        <w:pStyle w:val="Heading2"/>
        <w:keepNext/>
        <w:keepLines/>
        <w:rPr/>
      </w:pPr>
      <w:bookmarkStart w:id="42" w:name="o38---atlas-kernel"/>
      <w:r>
        <w:rPr/>
        <w:t>O38 - Atlas kernel</w:t>
      </w:r>
      <w:bookmarkEnd w:id="4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and machine-check the formal foundation used by realization models, fibers, Build, and Forget.</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PARAMETERIZED. Every v2.0-M family declares its foundation; PAL 2.0 selects no universal foundation.</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logic, type theory, model identity, satisfaction relation, Build/Forget implementation, or checker version changes.</w:t>
            </w:r>
          </w:p>
        </w:tc>
      </w:tr>
    </w:tbl>
    <w:p>
      <w:pPr>
        <w:pStyle w:val="Heading2"/>
        <w:keepNext/>
        <w:keepLines/>
        <w:rPr/>
      </w:pPr>
      <w:bookmarkStart w:id="43" w:name="o39---manifold-promotion"/>
      <w:r>
        <w:rPr/>
        <w:t>O39 - Manifold promotion</w:t>
      </w:r>
      <w:bookmarkEnd w:id="4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Topology, covers, local homeomorphisms, and transition regularity are required before manifold language.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Preserve the no-manifold-by-metaphor ceiling.</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manifold language appears without all witnesses or when a branch supplies/changes the topology and regularity proofs.</w:t>
            </w:r>
          </w:p>
        </w:tc>
      </w:tr>
    </w:tbl>
    <w:p>
      <w:pPr>
        <w:pStyle w:val="Heading2"/>
        <w:keepNext/>
        <w:keepLines/>
        <w:rPr/>
      </w:pPr>
      <w:bookmarkStart w:id="44" w:name="o40---residual-reinterpretation"/>
      <w:r>
        <w:rPr/>
        <w:t>O40 - Residual reinterpretation</w:t>
      </w:r>
      <w:bookmarkEnd w:id="4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Later interpretation appends while preserving the original residual and tolerance receipt.</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Make append-only interpretation a spine-wide carry rule.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an interpretation overwrites the original residual, tolerance, decoder state, evidence, or provenance.</w:t>
            </w:r>
          </w:p>
        </w:tc>
      </w:tr>
    </w:tbl>
    <w:p>
      <w:pPr>
        <w:pStyle w:val="Heading2"/>
        <w:keepNext/>
        <w:keepLines/>
        <w:rPr/>
      </w:pPr>
      <w:bookmarkStart w:id="45" w:name="o41---atlas-acquisition"/>
      <w:r>
        <w:rPr/>
        <w:t>O41 - Atlas acquisition</w:t>
      </w:r>
      <w:bookmarkEnd w:id="4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Declare search scope, stopping, copy/reference identity, provenance transport, and UNRESOLVED exit.</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PARAMETERIZED. Apply to v2.0-M acquisition and source integration.</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search scope, stop rule, identity semantics, provenance transport, source version, or UNRESOLVED route changes.</w:t>
            </w:r>
          </w:p>
        </w:tc>
      </w:tr>
    </w:tbl>
    <w:p>
      <w:pPr>
        <w:pStyle w:val="Heading2"/>
        <w:keepNext/>
        <w:keepLines/>
        <w:rPr/>
      </w:pPr>
      <w:bookmarkStart w:id="46" w:name="o42---provenance-link-grammar"/>
      <w:r>
        <w:rPr/>
        <w:t>O42 - Provenance-link grammar</w:t>
      </w:r>
      <w:bookmarkEnd w:id="4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copy, fork, move, parent resolution, and root recovery over finite acyclic receipt identities.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Keep receipt grammar in v2.0-L/M and occurrence/access lineage in the spine.</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cycle, broken parent link, ambiguous copy/fork/move, failed root recovery, or identity-version change.</w:t>
            </w:r>
          </w:p>
        </w:tc>
      </w:tr>
    </w:tbl>
    <w:p>
      <w:pPr>
        <w:pStyle w:val="Heading2"/>
        <w:keepNext/>
        <w:keepLines/>
        <w:rPr/>
      </w:pPr>
      <w:bookmarkStart w:id="47" w:name="o43---composition-doctrine"/>
      <w:r>
        <w:rPr/>
        <w:t>O43 - Composition doctrine</w:t>
      </w:r>
      <w:bookmarkEnd w:id="4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Choose local/joint types, generators, free processes, mixtures, equivalence, and tolerance before jointness.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 PARAMETERIZED. Bind to D11 and require declared flexibility to remain carried.</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doctrine, local/joint types, generators, process class, mixtures, equivalence, tolerance, or flexibility envelope changes.</w:t>
            </w:r>
          </w:p>
        </w:tc>
      </w:tr>
    </w:tbl>
    <w:p>
      <w:pPr>
        <w:pStyle w:val="Heading2"/>
        <w:keepNext/>
        <w:keepLines/>
        <w:rPr/>
      </w:pPr>
      <w:bookmarkStart w:id="48" w:name="o44---jointness-certificates"/>
      <w:r>
        <w:rPr/>
        <w:t>O44 - Jointness certificates</w:t>
      </w:r>
      <w:bookmarkEnd w:id="4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separating-functional soundness only under its named finite-dimensional assumptions.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RELOCATED + PRESERVED. The theorem belongs in v2.0-M; A11 carries only the certificate role and ceiling.</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dimension, functional class, decomposition assumptions, tolerance, doctrine, or soundness proof changes.</w:t>
            </w:r>
          </w:p>
        </w:tc>
      </w:tr>
    </w:tbl>
    <w:p>
      <w:pPr>
        <w:pStyle w:val="Heading2"/>
        <w:keepNext/>
        <w:keepLines/>
        <w:rPr/>
      </w:pPr>
      <w:bookmarkStart w:id="49" w:name="o45---jointness-decidability"/>
      <w:r>
        <w:rPr/>
        <w:t>O45 - Jointness decidability</w:t>
      </w:r>
      <w:bookmarkEnd w:id="4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Classify each chart as decidable, semidecidable, approximate, or permanently unresolved.</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Every A11 jointness realization states its decision class.</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chart, algorithm, approximation rule, tolerance, completeness, or decision class changes.</w:t>
            </w:r>
          </w:p>
        </w:tc>
      </w:tr>
    </w:tbl>
    <w:p>
      <w:pPr>
        <w:pStyle w:val="Heading2"/>
        <w:keepNext/>
        <w:keepLines/>
        <w:rPr/>
      </w:pPr>
      <w:bookmarkStart w:id="50" w:name="o46---free-process-preservation"/>
      <w:r>
        <w:rPr/>
        <w:t>O46 - Free-process preservation</w:t>
      </w:r>
      <w:bookmarkEnd w:id="5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Prove declared free maps preserve the chosen separable class and tolerance closure.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PARAMETERIZED. Keep as a doctrine-specific v2.0-M obligation.</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free-map class, separable class, composition doctrine, tolerance closure, or proof changes.</w:t>
            </w:r>
          </w:p>
        </w:tc>
      </w:tr>
    </w:tbl>
    <w:p>
      <w:pPr>
        <w:pStyle w:val="Heading2"/>
        <w:keepNext/>
        <w:keepLines/>
        <w:rPr/>
      </w:pPr>
      <w:bookmarkStart w:id="51" w:name="o47---resource-reachability"/>
      <w:r>
        <w:rPr/>
        <w:t>O47 - Resource reachability</w:t>
      </w:r>
      <w:bookmarkEnd w:id="5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versioned transition profiles, resource monoids, and budget-reachable sets.</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Retain as the minimum route-closure realization and receipt dependency.</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transition profile, resource monoid, conversions, budget, starting state, or version changes.</w:t>
            </w:r>
          </w:p>
        </w:tc>
      </w:tr>
    </w:tbl>
    <w:p>
      <w:pPr>
        <w:pStyle w:val="Heading2"/>
        <w:keepNext/>
        <w:keepLines/>
        <w:rPr/>
      </w:pPr>
      <w:bookmarkStart w:id="52" w:name="o48---breaking-cost-boundary"/>
      <w:r>
        <w:rPr/>
        <w:t>O48 - Breaking-cost boundary</w:t>
      </w:r>
      <w:bookmarkEnd w:id="5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Carry strict lower-envelope sufficiency and the unattained-boundary countermodel.</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PRESERVED / RELOCATED. Keep the theorem in v2.0-M; A15 carries its scoped boundary receipt.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path-cost law, boundary attainment, break predicate, budget, or admissible-route set changes.</w:t>
            </w:r>
          </w:p>
        </w:tc>
      </w:tr>
    </w:tbl>
    <w:p>
      <w:pPr>
        <w:pStyle w:val="Heading2"/>
        <w:keepNext/>
        <w:keepLines/>
        <w:rPr/>
      </w:pPr>
      <w:bookmarkStart w:id="53" w:name="o49---time-varying-closure"/>
      <w:r>
        <w:rPr/>
        <w:t>O49 - Time-varying closure</w:t>
      </w:r>
      <w:bookmarkEnd w:id="5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Budget, action, cost, scope, or break-predicate changes reopen current status without rewriting history.</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Make material-delta reopening mandatory for every A15 receipt.</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any material change to budget, action, cost, scope, evidence, dependency, authority, tolerance, checker, transition, or break predicate.</w:t>
            </w:r>
          </w:p>
        </w:tc>
      </w:tr>
    </w:tbl>
    <w:p>
      <w:pPr>
        <w:pStyle w:val="Heading2"/>
        <w:keepNext/>
        <w:keepLines/>
        <w:rPr/>
      </w:pPr>
      <w:bookmarkStart w:id="54" w:name="o50---physical-realization"/>
      <w:r>
        <w:rPr/>
        <w:t>O50 - Physical realization</w:t>
      </w:r>
      <w:bookmarkEnd w:id="5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Keep entanglement, Bell nonlocality, energetic robustness, and LQG separate until full costs are supplied.</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BRANCH-ROUTED. No physical example defines A11 or A15.</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 physical bridge adds/changes mathematical assumptions, empirical support, energy/resource costs, scope, or falsifier.</w:t>
            </w:r>
          </w:p>
        </w:tc>
      </w:tr>
    </w:tbl>
    <w:p>
      <w:pPr>
        <w:pStyle w:val="Heading2"/>
        <w:keepNext/>
        <w:keepLines/>
        <w:rPr/>
      </w:pPr>
      <w:bookmarkStart w:id="55" w:name="o51---learned-response-authority"/>
      <w:r>
        <w:rPr/>
        <w:t>O51 - Learned-response authority</w:t>
      </w:r>
      <w:bookmarkEnd w:id="5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spacing w:before="0" w:after="40" w:line="240" w:lineRule="auto"/>
              <w:rPr>
                <w:b/>
                <w:bCs/>
              </w:rPr>
            </w:pPr>
            <w:r>
              <w:rPr>
                <w:b/>
                <w:bCs/>
                <w:sz w:val="19"/>
              </w:rPr>
              <w:t>PAL v1.6 disposition (verbatim)</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spacing w:before="0" w:after="40" w:line="240" w:lineRule="auto"/>
              <w:rPr>
                <w:b/>
                <w:bCs/>
              </w:rPr>
            </w:pPr>
            <w:r>
              <w:rPr>
                <w:b/>
                <w:bCs/>
                <w:sz w:val="19"/>
              </w:rPr>
              <w:t>PAL v1.99r1 carry-forward (verbatim)</w:t>
            </w:r>
          </w:p>
        </w:tc>
        <w:tc>
          <w:tcPr>
            <w:tcW w:w="6739" w:type="dxa"/>
            <w:tcBorders/>
            <w:vAlign w:val="top"/>
            <w:shd w:fill="F7F9FB"/>
          </w:tcPr>
          <w:p>
            <w:pPr>
              <w:pStyle w:val="Normal"/>
              <w:widowControl/>
              <w:bidi w:val="0"/>
              <w:spacing w:lineRule="auto" w:line="240" w:before="0" w:after="40"/>
              <w:jc w:val="start"/>
              <w:rPr/>
            </w:pPr>
            <w:r>
              <w:rPr>
                <w:sz w:val="19"/>
              </w:rPr>
              <w:t>PALET diagnosis or memory may advise review but cannot self-authorize a route.</w:t>
            </w:r>
          </w:p>
        </w:tc>
      </w:tr>
      <w:tr>
        <w:trPr/>
        <w:tc>
          <w:tcPr>
            <w:tcW w:w="2621" w:type="dxa"/>
            <w:tcBorders/>
            <w:vAlign w:val="top"/>
          </w:tcPr>
          <w:p>
            <w:pPr>
              <w:pStyle w:val="Normal"/>
              <w:spacing w:before="0" w:after="40" w:line="240" w:lineRule="auto"/>
              <w:rPr>
                <w:b/>
                <w:bCs/>
              </w:rPr>
            </w:pPr>
            <w:r>
              <w:rPr>
                <w:b/>
                <w:bCs/>
                <w:sz w:val="19"/>
              </w:rPr>
              <w:t>PAL v2.0 disposition</w:t>
            </w:r>
          </w:p>
        </w:tc>
        <w:tc>
          <w:tcPr>
            <w:tcW w:w="6739" w:type="dxa"/>
            <w:tcBorders/>
            <w:vAlign w:val="top"/>
          </w:tcPr>
          <w:p>
            <w:pPr>
              <w:pStyle w:val="Normal"/>
              <w:widowControl/>
              <w:bidi w:val="0"/>
              <w:spacing w:lineRule="auto" w:line="240" w:before="0" w:after="40"/>
              <w:jc w:val="start"/>
              <w:rPr/>
            </w:pPr>
            <w:r>
              <w:rPr>
                <w:sz w:val="19"/>
              </w:rPr>
              <w:t>STRENGTHENED. Preserve PALET as useful, non-sovereign diagnostic support; no authority backflow.</w:t>
            </w:r>
          </w:p>
        </w:tc>
      </w:tr>
      <w:tr>
        <w:trPr/>
        <w:tc>
          <w:tcPr>
            <w:tcW w:w="2621" w:type="dxa"/>
            <w:tcBorders/>
            <w:vAlign w:val="top"/>
            <w:shd w:fill="F7F9FB"/>
          </w:tcPr>
          <w:p>
            <w:pPr>
              <w:pStyle w:val="Normal"/>
              <w:spacing w:before="0" w:after="40" w:line="240" w:lineRule="auto"/>
              <w:rPr>
                <w:b/>
                <w:bCs/>
              </w:rPr>
            </w:pPr>
            <w:r>
              <w:rPr>
                <w:b/>
                <w:bCs/>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a diagnostic, memory, learned relation, tool, or model is allowed to manufacture permission or bypass the declared authority route.</w:t>
            </w:r>
          </w:p>
        </w:tc>
      </w:tr>
    </w:tbl>
    <w:p>
      <w:pPr>
        <w:pStyle w:val="Heading1"/>
        <w:keepNext/>
        <w:keepLines/>
        <w:rPr/>
      </w:pPr>
      <w:bookmarkStart w:id="56" w:name="source-account"/>
      <w:r>
        <w:rPr/>
        <w:t>5. Source account</w:t>
      </w:r>
      <w:bookmarkEnd w:id="56"/>
    </w:p>
    <w:p>
      <w:pPr>
        <w:pStyle w:val="Normal"/>
        <w:keepNext/>
        <w:keepLines/>
        <w:rPr/>
      </w:pPr>
      <w:r>
        <w:rPr/>
        <w:t>The files below were consulted during the v2.0 build. They are not redistributed in this release bundle. Their hashes identify the exact input receipts; their titles and internal status do not grant public or canonical authority.</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957"/>
        <w:gridCol w:w="2012"/>
        <w:gridCol w:w="1220"/>
        <w:gridCol w:w="3171"/>
      </w:tblGrid>
      <w:tr>
        <w:trPr>
          <w:tblHeader w:val="true"/>
        </w:trPr>
        <w:tc>
          <w:tcPr>
            <w:tcW w:w="2957" w:type="dxa"/>
            <w:tcBorders/>
            <w:vAlign w:val="top"/>
            <w:shd w:fill="DCE6F1"/>
          </w:tcPr>
          <w:p>
            <w:pPr>
              <w:pStyle w:val="Normal"/>
              <w:spacing w:before="0" w:after="40" w:line="240" w:lineRule="auto"/>
              <w:rPr>
                <w:b/>
                <w:bCs/>
              </w:rPr>
            </w:pPr>
            <w:r>
              <w:rPr>
                <w:b/>
                <w:bCs/>
                <w:color w:val="1F4D78"/>
                <w:sz w:val="18"/>
              </w:rPr>
              <w:t>Input file</w:t>
            </w:r>
          </w:p>
        </w:tc>
        <w:tc>
          <w:tcPr>
            <w:tcW w:w="2012" w:type="dxa"/>
            <w:tcBorders/>
            <w:vAlign w:val="top"/>
            <w:shd w:fill="DCE6F1"/>
          </w:tcPr>
          <w:p>
            <w:pPr>
              <w:pStyle w:val="Normal"/>
              <w:spacing w:before="0" w:after="40" w:line="240" w:lineRule="auto"/>
              <w:rPr>
                <w:b/>
                <w:bCs/>
              </w:rPr>
            </w:pPr>
            <w:r>
              <w:rPr>
                <w:b/>
                <w:bCs/>
                <w:color w:val="1F4D78"/>
                <w:sz w:val="18"/>
              </w:rPr>
              <w:t>SHA-256</w:t>
            </w:r>
          </w:p>
        </w:tc>
        <w:tc>
          <w:tcPr>
            <w:tcW w:w="1220" w:type="dxa"/>
            <w:tcBorders/>
            <w:vAlign w:val="top"/>
            <w:shd w:fill="DCE6F1"/>
          </w:tcPr>
          <w:p>
            <w:pPr>
              <w:pStyle w:val="Normal"/>
              <w:spacing w:before="0" w:after="40" w:line="240" w:lineRule="auto"/>
              <w:rPr>
                <w:b/>
                <w:bCs/>
              </w:rPr>
            </w:pPr>
            <w:r>
              <w:rPr>
                <w:b/>
                <w:bCs/>
                <w:color w:val="1F4D78"/>
                <w:sz w:val="18"/>
              </w:rPr>
              <w:t>Role</w:t>
            </w:r>
          </w:p>
        </w:tc>
        <w:tc>
          <w:tcPr>
            <w:tcW w:w="3171" w:type="dxa"/>
            <w:tcBorders/>
            <w:vAlign w:val="top"/>
            <w:shd w:fill="DCE6F1"/>
          </w:tcPr>
          <w:p>
            <w:pPr>
              <w:pStyle w:val="Normal"/>
              <w:spacing w:before="0" w:after="40" w:line="240" w:lineRule="auto"/>
              <w:rPr>
                <w:b/>
                <w:bCs/>
              </w:rPr>
            </w:pPr>
            <w:r>
              <w:rPr>
                <w:b/>
                <w:bCs/>
                <w:color w:val="1F4D78"/>
                <w:sz w:val="18"/>
              </w:rPr>
              <w:t>Handling</w:t>
            </w:r>
          </w:p>
        </w:tc>
      </w:tr>
      <w:tr>
        <w:trPr/>
        <w:tc>
          <w:tcPr>
            <w:tcW w:w="2957" w:type="dxa"/>
            <w:tcBorders/>
            <w:vAlign w:val="top"/>
          </w:tcPr>
          <w:p>
            <w:pPr>
              <w:pStyle w:val="Normal"/>
              <w:spacing w:before="0" w:after="40" w:line="240" w:lineRule="auto"/>
              <w:rPr>
                <w:b/>
                <w:bCs/>
              </w:rPr>
            </w:pPr>
            <w:r>
              <w:rPr>
                <w:b/>
                <w:bCs/>
                <w:sz w:val="18"/>
              </w:rPr>
              <w:t>A0_Boundary_Kernel_v0.8.2(1).pdf</w:t>
            </w:r>
          </w:p>
        </w:tc>
        <w:tc>
          <w:tcPr>
            <w:tcW w:w="2012" w:type="dxa"/>
            <w:tcBorders/>
            <w:vAlign w:val="top"/>
          </w:tcPr>
          <w:p>
            <w:pPr>
              <w:pStyle w:val="Normal"/>
              <w:widowControl/>
              <w:bidi w:val="0"/>
              <w:spacing w:lineRule="auto" w:line="240" w:before="0" w:after="40"/>
              <w:jc w:val="start"/>
              <w:rPr/>
            </w:pPr>
            <w:r>
              <w:rPr>
                <w:sz w:val="18"/>
              </w:rPr>
              <w:t>9039e1fa24ab9a726cd3de67c54647c2dca62d14b93d5a8818fdc9e2079bcded</w:t>
            </w:r>
          </w:p>
        </w:tc>
        <w:tc>
          <w:tcPr>
            <w:tcW w:w="1220" w:type="dxa"/>
            <w:tcBorders/>
            <w:vAlign w:val="top"/>
          </w:tcPr>
          <w:p>
            <w:pPr>
              <w:pStyle w:val="Normal"/>
              <w:widowControl/>
              <w:bidi w:val="0"/>
              <w:spacing w:lineRule="auto" w:line="240" w:before="0" w:after="40"/>
              <w:jc w:val="start"/>
              <w:rPr/>
            </w:pPr>
            <w:r>
              <w:rPr>
                <w:sz w:val="18"/>
              </w:rPr>
              <w:t>Software companion</w:t>
            </w:r>
          </w:p>
        </w:tc>
        <w:tc>
          <w:tcPr>
            <w:tcW w:w="3171" w:type="dxa"/>
            <w:tcBorders/>
            <w:vAlign w:val="top"/>
          </w:tcPr>
          <w:p>
            <w:pPr>
              <w:pStyle w:val="Normal"/>
              <w:widowControl/>
              <w:bidi w:val="0"/>
              <w:spacing w:lineRule="auto" w:line="240" w:before="0" w:after="40"/>
              <w:jc w:val="start"/>
              <w:rPr/>
            </w:pPr>
            <w:r>
              <w:rPr>
                <w:sz w:val="18"/>
              </w:rPr>
              <w:t>Mine boundary status, trace, recheck, and failure memory; reject old A0=Ω mappings.</w:t>
            </w:r>
          </w:p>
        </w:tc>
      </w:tr>
      <w:tr>
        <w:trPr/>
        <w:tc>
          <w:tcPr>
            <w:tcW w:w="2957" w:type="dxa"/>
            <w:tcBorders/>
            <w:vAlign w:val="top"/>
            <w:shd w:fill="F7F9FB"/>
          </w:tcPr>
          <w:p>
            <w:pPr>
              <w:pStyle w:val="Normal"/>
              <w:spacing w:before="0" w:after="40" w:line="240" w:lineRule="auto"/>
              <w:rPr>
                <w:b/>
                <w:bCs/>
              </w:rPr>
            </w:pPr>
            <w:r>
              <w:rPr>
                <w:b/>
                <w:bCs/>
                <w:sz w:val="18"/>
              </w:rPr>
              <w:t>BLA in PAL(1).pdf</w:t>
            </w:r>
          </w:p>
        </w:tc>
        <w:tc>
          <w:tcPr>
            <w:tcW w:w="2012" w:type="dxa"/>
            <w:tcBorders/>
            <w:vAlign w:val="top"/>
            <w:shd w:fill="F7F9FB"/>
          </w:tcPr>
          <w:p>
            <w:pPr>
              <w:pStyle w:val="Normal"/>
              <w:widowControl/>
              <w:bidi w:val="0"/>
              <w:spacing w:lineRule="auto" w:line="240" w:before="0" w:after="40"/>
              <w:jc w:val="start"/>
              <w:rPr/>
            </w:pPr>
            <w:r>
              <w:rPr>
                <w:sz w:val="18"/>
              </w:rPr>
              <w:t>7ec1fbd21a792770a1617b74360b3af1b2ab1fd056d9a81bb7ba1b136008185e</w:t>
            </w:r>
          </w:p>
        </w:tc>
        <w:tc>
          <w:tcPr>
            <w:tcW w:w="1220" w:type="dxa"/>
            <w:tcBorders/>
            <w:vAlign w:val="top"/>
            <w:shd w:fill="F7F9FB"/>
          </w:tcPr>
          <w:p>
            <w:pPr>
              <w:pStyle w:val="Normal"/>
              <w:widowControl/>
              <w:bidi w:val="0"/>
              <w:spacing w:lineRule="auto" w:line="240" w:before="0" w:after="40"/>
              <w:jc w:val="start"/>
              <w:rPr/>
            </w:pPr>
            <w:r>
              <w:rPr>
                <w:sz w:val="18"/>
              </w:rPr>
              <w:t>PALET diagnostic branch</w:t>
            </w:r>
          </w:p>
        </w:tc>
        <w:tc>
          <w:tcPr>
            <w:tcW w:w="3171" w:type="dxa"/>
            <w:tcBorders/>
            <w:vAlign w:val="top"/>
            <w:shd w:fill="F7F9FB"/>
          </w:tcPr>
          <w:p>
            <w:pPr>
              <w:pStyle w:val="Normal"/>
              <w:widowControl/>
              <w:bidi w:val="0"/>
              <w:spacing w:lineRule="auto" w:line="240" w:before="0" w:after="40"/>
              <w:jc w:val="start"/>
              <w:rPr/>
            </w:pPr>
            <w:r>
              <w:rPr>
                <w:sz w:val="18"/>
              </w:rPr>
              <w:t>Retain residual and authority discipline; no spine authority.</w:t>
            </w:r>
          </w:p>
        </w:tc>
      </w:tr>
      <w:tr>
        <w:trPr/>
        <w:tc>
          <w:tcPr>
            <w:tcW w:w="2957" w:type="dxa"/>
            <w:tcBorders/>
            <w:vAlign w:val="top"/>
          </w:tcPr>
          <w:p>
            <w:pPr>
              <w:pStyle w:val="Normal"/>
              <w:spacing w:before="0" w:after="40" w:line="240" w:lineRule="auto"/>
              <w:rPr>
                <w:b/>
                <w:bCs/>
              </w:rPr>
            </w:pPr>
            <w:r>
              <w:rPr>
                <w:b/>
                <w:bCs/>
                <w:sz w:val="18"/>
              </w:rPr>
              <w:t>Boundary_Readable_Trace_and_Absorber_Informed_Closure_v1.0.1_publish_ready (1).pdf</w:t>
            </w:r>
          </w:p>
        </w:tc>
        <w:tc>
          <w:tcPr>
            <w:tcW w:w="2012" w:type="dxa"/>
            <w:tcBorders/>
            <w:vAlign w:val="top"/>
          </w:tcPr>
          <w:p>
            <w:pPr>
              <w:pStyle w:val="Normal"/>
              <w:widowControl/>
              <w:bidi w:val="0"/>
              <w:spacing w:lineRule="auto" w:line="240" w:before="0" w:after="40"/>
              <w:jc w:val="start"/>
              <w:rPr/>
            </w:pPr>
            <w:r>
              <w:rPr>
                <w:sz w:val="18"/>
              </w:rPr>
              <w:t>33da8dd002102d661976d0258a05fb5e8cffc9b93f1b708a9e86ffd91cc7a0b7</w:t>
            </w:r>
          </w:p>
        </w:tc>
        <w:tc>
          <w:tcPr>
            <w:tcW w:w="1220" w:type="dxa"/>
            <w:tcBorders/>
            <w:vAlign w:val="top"/>
          </w:tcPr>
          <w:p>
            <w:pPr>
              <w:pStyle w:val="Normal"/>
              <w:widowControl/>
              <w:bidi w:val="0"/>
              <w:spacing w:lineRule="auto" w:line="240" w:before="0" w:after="40"/>
              <w:jc w:val="start"/>
              <w:rPr/>
            </w:pPr>
            <w:r>
              <w:rPr>
                <w:sz w:val="18"/>
              </w:rPr>
              <w:t>BRT realization</w:t>
            </w:r>
          </w:p>
        </w:tc>
        <w:tc>
          <w:tcPr>
            <w:tcW w:w="3171" w:type="dxa"/>
            <w:tcBorders/>
            <w:vAlign w:val="top"/>
          </w:tcPr>
          <w:p>
            <w:pPr>
              <w:pStyle w:val="Normal"/>
              <w:widowControl/>
              <w:bidi w:val="0"/>
              <w:spacing w:lineRule="auto" w:line="240" w:before="0" w:after="40"/>
              <w:jc w:val="start"/>
              <w:rPr/>
            </w:pPr>
            <w:r>
              <w:rPr>
                <w:sz w:val="18"/>
              </w:rPr>
              <w:t>Map boundary/readability/trace/closure into typed realization cards.</w:t>
            </w:r>
          </w:p>
        </w:tc>
      </w:tr>
      <w:tr>
        <w:trPr/>
        <w:tc>
          <w:tcPr>
            <w:tcW w:w="2957" w:type="dxa"/>
            <w:tcBorders/>
            <w:vAlign w:val="top"/>
            <w:shd w:fill="F7F9FB"/>
          </w:tcPr>
          <w:p>
            <w:pPr>
              <w:pStyle w:val="Normal"/>
              <w:spacing w:before="0" w:after="40" w:line="240" w:lineRule="auto"/>
              <w:rPr>
                <w:b/>
                <w:bCs/>
              </w:rPr>
            </w:pPr>
            <w:r>
              <w:rPr>
                <w:b/>
                <w:bCs/>
                <w:sz w:val="18"/>
              </w:rPr>
              <w:t>CLEF_cluster_layer_entropy_focus_v1_0(13).pdf</w:t>
            </w:r>
          </w:p>
        </w:tc>
        <w:tc>
          <w:tcPr>
            <w:tcW w:w="2012" w:type="dxa"/>
            <w:tcBorders/>
            <w:vAlign w:val="top"/>
            <w:shd w:fill="F7F9FB"/>
          </w:tcPr>
          <w:p>
            <w:pPr>
              <w:pStyle w:val="Normal"/>
              <w:widowControl/>
              <w:bidi w:val="0"/>
              <w:spacing w:lineRule="auto" w:line="240" w:before="0" w:after="40"/>
              <w:jc w:val="start"/>
              <w:rPr/>
            </w:pPr>
            <w:r>
              <w:rPr>
                <w:sz w:val="18"/>
              </w:rPr>
              <w:t>24589330eda2020145492fc7c3395911e0cf7a17cc67dfe47dad4e7af1280d43</w:t>
            </w:r>
          </w:p>
        </w:tc>
        <w:tc>
          <w:tcPr>
            <w:tcW w:w="1220" w:type="dxa"/>
            <w:tcBorders/>
            <w:vAlign w:val="top"/>
            <w:shd w:fill="F7F9FB"/>
          </w:tcPr>
          <w:p>
            <w:pPr>
              <w:pStyle w:val="Normal"/>
              <w:widowControl/>
              <w:bidi w:val="0"/>
              <w:spacing w:lineRule="auto" w:line="240" w:before="0" w:after="40"/>
              <w:jc w:val="start"/>
              <w:rPr/>
            </w:pPr>
            <w:r>
              <w:rPr>
                <w:sz w:val="18"/>
              </w:rPr>
              <w:t>Measurement realization</w:t>
            </w:r>
          </w:p>
        </w:tc>
        <w:tc>
          <w:tcPr>
            <w:tcW w:w="3171" w:type="dxa"/>
            <w:tcBorders/>
            <w:vAlign w:val="top"/>
            <w:shd w:fill="F7F9FB"/>
          </w:tcPr>
          <w:p>
            <w:pPr>
              <w:pStyle w:val="Normal"/>
              <w:widowControl/>
              <w:bidi w:val="0"/>
              <w:spacing w:lineRule="auto" w:line="240" w:before="0" w:after="40"/>
              <w:jc w:val="start"/>
              <w:rPr/>
            </w:pPr>
            <w:r>
              <w:rPr>
                <w:sz w:val="18"/>
              </w:rPr>
              <w:t>Use aperture, baseline, noise, cost, uncertainty, and stopping rules.</w:t>
            </w:r>
          </w:p>
        </w:tc>
      </w:tr>
      <w:tr>
        <w:trPr/>
        <w:tc>
          <w:tcPr>
            <w:tcW w:w="2957" w:type="dxa"/>
            <w:tcBorders/>
            <w:vAlign w:val="top"/>
          </w:tcPr>
          <w:p>
            <w:pPr>
              <w:pStyle w:val="Normal"/>
              <w:spacing w:before="0" w:after="40" w:line="240" w:lineRule="auto"/>
              <w:rPr>
                <w:b/>
                <w:bCs/>
              </w:rPr>
            </w:pPr>
            <w:r>
              <w:rPr>
                <w:b/>
                <w:bCs/>
                <w:sz w:val="18"/>
              </w:rPr>
              <w:t>four prompts.docx</w:t>
            </w:r>
          </w:p>
        </w:tc>
        <w:tc>
          <w:tcPr>
            <w:tcW w:w="2012" w:type="dxa"/>
            <w:tcBorders/>
            <w:vAlign w:val="top"/>
          </w:tcPr>
          <w:p>
            <w:pPr>
              <w:pStyle w:val="Normal"/>
              <w:widowControl/>
              <w:bidi w:val="0"/>
              <w:spacing w:lineRule="auto" w:line="240" w:before="0" w:after="40"/>
              <w:jc w:val="start"/>
              <w:rPr/>
            </w:pPr>
            <w:r>
              <w:rPr>
                <w:sz w:val="18"/>
              </w:rPr>
              <w:t>7c788fa75499a2d5d6c7908dbfe11d0c8fcf71079c72f698d76028f30e09abde</w:t>
            </w:r>
          </w:p>
        </w:tc>
        <w:tc>
          <w:tcPr>
            <w:tcW w:w="1220" w:type="dxa"/>
            <w:tcBorders/>
            <w:vAlign w:val="top"/>
          </w:tcPr>
          <w:p>
            <w:pPr>
              <w:pStyle w:val="Normal"/>
              <w:widowControl/>
              <w:bidi w:val="0"/>
              <w:spacing w:lineRule="auto" w:line="240" w:before="0" w:after="40"/>
              <w:jc w:val="start"/>
              <w:rPr/>
            </w:pPr>
            <w:r>
              <w:rPr>
                <w:sz w:val="18"/>
              </w:rPr>
              <w:t>Origin receipt</w:t>
            </w:r>
          </w:p>
        </w:tc>
        <w:tc>
          <w:tcPr>
            <w:tcW w:w="3171" w:type="dxa"/>
            <w:tcBorders/>
            <w:vAlign w:val="top"/>
          </w:tcPr>
          <w:p>
            <w:pPr>
              <w:pStyle w:val="Normal"/>
              <w:widowControl/>
              <w:bidi w:val="0"/>
              <w:spacing w:lineRule="auto" w:line="240" w:before="0" w:after="40"/>
              <w:jc w:val="start"/>
              <w:rPr/>
            </w:pPr>
            <w:r>
              <w:rPr>
                <w:sz w:val="18"/>
              </w:rPr>
              <w:t>Retain conceptual provenance; do not promote early wording to authority.</w:t>
            </w:r>
          </w:p>
        </w:tc>
      </w:tr>
      <w:tr>
        <w:trPr/>
        <w:tc>
          <w:tcPr>
            <w:tcW w:w="2957" w:type="dxa"/>
            <w:tcBorders/>
            <w:vAlign w:val="top"/>
            <w:shd w:fill="F7F9FB"/>
          </w:tcPr>
          <w:p>
            <w:pPr>
              <w:pStyle w:val="Normal"/>
              <w:spacing w:before="0" w:after="40" w:line="240" w:lineRule="auto"/>
              <w:rPr>
                <w:b/>
                <w:bCs/>
              </w:rPr>
            </w:pPr>
            <w:r>
              <w:rPr>
                <w:b/>
                <w:bCs/>
                <w:sz w:val="18"/>
              </w:rPr>
              <w:t>framework_README(3).txt</w:t>
            </w:r>
          </w:p>
        </w:tc>
        <w:tc>
          <w:tcPr>
            <w:tcW w:w="2012" w:type="dxa"/>
            <w:tcBorders/>
            <w:vAlign w:val="top"/>
            <w:shd w:fill="F7F9FB"/>
          </w:tcPr>
          <w:p>
            <w:pPr>
              <w:pStyle w:val="Normal"/>
              <w:widowControl/>
              <w:bidi w:val="0"/>
              <w:spacing w:lineRule="auto" w:line="240" w:before="0" w:after="40"/>
              <w:jc w:val="start"/>
              <w:rPr/>
            </w:pPr>
            <w:r>
              <w:rPr>
                <w:sz w:val="18"/>
              </w:rPr>
              <w:t>2cbce2132554981cb6e5824a11f90c9d47053b1cf62a1c4c70d69dee33372c3e</w:t>
            </w:r>
          </w:p>
        </w:tc>
        <w:tc>
          <w:tcPr>
            <w:tcW w:w="1220" w:type="dxa"/>
            <w:tcBorders/>
            <w:vAlign w:val="top"/>
            <w:shd w:fill="F7F9FB"/>
          </w:tcPr>
          <w:p>
            <w:pPr>
              <w:pStyle w:val="Normal"/>
              <w:widowControl/>
              <w:bidi w:val="0"/>
              <w:spacing w:lineRule="auto" w:line="240" w:before="0" w:after="40"/>
              <w:jc w:val="start"/>
              <w:rPr/>
            </w:pPr>
            <w:r>
              <w:rPr>
                <w:sz w:val="18"/>
              </w:rPr>
              <w:t>Corpus routing map</w:t>
            </w:r>
          </w:p>
        </w:tc>
        <w:tc>
          <w:tcPr>
            <w:tcW w:w="3171" w:type="dxa"/>
            <w:tcBorders/>
            <w:vAlign w:val="top"/>
            <w:shd w:fill="F7F9FB"/>
          </w:tcPr>
          <w:p>
            <w:pPr>
              <w:pStyle w:val="Normal"/>
              <w:widowControl/>
              <w:bidi w:val="0"/>
              <w:spacing w:lineRule="auto" w:line="240" w:before="0" w:after="40"/>
              <w:jc w:val="start"/>
              <w:rPr/>
            </w:pPr>
            <w:r>
              <w:rPr>
                <w:sz w:val="18"/>
              </w:rPr>
              <w:t>Use for branch relationships; update only after v2.0 freezes.</w:t>
            </w:r>
          </w:p>
        </w:tc>
      </w:tr>
      <w:tr>
        <w:trPr/>
        <w:tc>
          <w:tcPr>
            <w:tcW w:w="2957" w:type="dxa"/>
            <w:tcBorders/>
            <w:vAlign w:val="top"/>
          </w:tcPr>
          <w:p>
            <w:pPr>
              <w:pStyle w:val="Normal"/>
              <w:spacing w:before="0" w:after="40" w:line="240" w:lineRule="auto"/>
              <w:rPr>
                <w:b/>
                <w:bCs/>
              </w:rPr>
            </w:pPr>
            <w:r>
              <w:rPr>
                <w:b/>
                <w:bCs/>
                <w:sz w:val="18"/>
              </w:rPr>
              <w:t>Measuring Ω-Shadow.pdf</w:t>
            </w:r>
          </w:p>
        </w:tc>
        <w:tc>
          <w:tcPr>
            <w:tcW w:w="2012" w:type="dxa"/>
            <w:tcBorders/>
            <w:vAlign w:val="top"/>
          </w:tcPr>
          <w:p>
            <w:pPr>
              <w:pStyle w:val="Normal"/>
              <w:widowControl/>
              <w:bidi w:val="0"/>
              <w:spacing w:lineRule="auto" w:line="240" w:before="0" w:after="40"/>
              <w:jc w:val="start"/>
              <w:rPr/>
            </w:pPr>
            <w:r>
              <w:rPr>
                <w:sz w:val="18"/>
              </w:rPr>
              <w:t>c32dbb37525d8268613a80502e9148012f2532f5c8197db7b17a2bb4bac6a485</w:t>
            </w:r>
          </w:p>
        </w:tc>
        <w:tc>
          <w:tcPr>
            <w:tcW w:w="1220" w:type="dxa"/>
            <w:tcBorders/>
            <w:vAlign w:val="top"/>
          </w:tcPr>
          <w:p>
            <w:pPr>
              <w:pStyle w:val="Normal"/>
              <w:widowControl/>
              <w:bidi w:val="0"/>
              <w:spacing w:lineRule="auto" w:line="240" w:before="0" w:after="40"/>
              <w:jc w:val="start"/>
              <w:rPr/>
            </w:pPr>
            <w:r>
              <w:rPr>
                <w:sz w:val="18"/>
              </w:rPr>
              <w:t>Historical primitive-floor commentary</w:t>
            </w:r>
          </w:p>
        </w:tc>
        <w:tc>
          <w:tcPr>
            <w:tcW w:w="3171" w:type="dxa"/>
            <w:tcBorders/>
            <w:vAlign w:val="top"/>
          </w:tcPr>
          <w:p>
            <w:pPr>
              <w:pStyle w:val="Normal"/>
              <w:widowControl/>
              <w:bidi w:val="0"/>
              <w:spacing w:lineRule="auto" w:line="240" w:before="0" w:after="40"/>
              <w:jc w:val="start"/>
              <w:rPr/>
            </w:pPr>
            <w:r>
              <w:rPr>
                <w:sz w:val="18"/>
              </w:rPr>
              <w:t>Retain Ω≠Ω* and reflection intuition; migrate obsolete prompt/memory/output and nearest-trace claims.</w:t>
            </w:r>
          </w:p>
        </w:tc>
      </w:tr>
      <w:tr>
        <w:trPr/>
        <w:tc>
          <w:tcPr>
            <w:tcW w:w="2957" w:type="dxa"/>
            <w:tcBorders/>
            <w:vAlign w:val="top"/>
            <w:shd w:fill="F7F9FB"/>
          </w:tcPr>
          <w:p>
            <w:pPr>
              <w:pStyle w:val="Normal"/>
              <w:spacing w:before="0" w:after="40" w:line="240" w:lineRule="auto"/>
              <w:rPr>
                <w:b/>
                <w:bCs/>
              </w:rPr>
            </w:pPr>
            <w:r>
              <w:rPr>
                <w:b/>
                <w:bCs/>
                <w:sz w:val="18"/>
              </w:rPr>
              <w:t>P-Gate_GPT_README(4).md</w:t>
            </w:r>
          </w:p>
        </w:tc>
        <w:tc>
          <w:tcPr>
            <w:tcW w:w="2012" w:type="dxa"/>
            <w:tcBorders/>
            <w:vAlign w:val="top"/>
            <w:shd w:fill="F7F9FB"/>
          </w:tcPr>
          <w:p>
            <w:pPr>
              <w:pStyle w:val="Normal"/>
              <w:widowControl/>
              <w:bidi w:val="0"/>
              <w:spacing w:lineRule="auto" w:line="240" w:before="0" w:after="40"/>
              <w:jc w:val="start"/>
              <w:rPr/>
            </w:pPr>
            <w:r>
              <w:rPr>
                <w:sz w:val="18"/>
              </w:rPr>
              <w:t>c109b95ca6f246abfa3f8ec0981eef1b7123ae54c053929d277178d889cb1ac8</w:t>
            </w:r>
          </w:p>
        </w:tc>
        <w:tc>
          <w:tcPr>
            <w:tcW w:w="1220" w:type="dxa"/>
            <w:tcBorders/>
            <w:vAlign w:val="top"/>
            <w:shd w:fill="F7F9FB"/>
          </w:tcPr>
          <w:p>
            <w:pPr>
              <w:pStyle w:val="Normal"/>
              <w:widowControl/>
              <w:bidi w:val="0"/>
              <w:spacing w:lineRule="auto" w:line="240" w:before="0" w:after="40"/>
              <w:jc w:val="start"/>
              <w:rPr/>
            </w:pPr>
            <w:r>
              <w:rPr>
                <w:sz w:val="18"/>
              </w:rPr>
              <w:t>Implementation interface</w:t>
            </w:r>
          </w:p>
        </w:tc>
        <w:tc>
          <w:tcPr>
            <w:tcW w:w="3171" w:type="dxa"/>
            <w:tcBorders/>
            <w:vAlign w:val="top"/>
            <w:shd w:fill="F7F9FB"/>
          </w:tcPr>
          <w:p>
            <w:pPr>
              <w:pStyle w:val="Normal"/>
              <w:widowControl/>
              <w:bidi w:val="0"/>
              <w:spacing w:lineRule="auto" w:line="240" w:before="0" w:after="40"/>
              <w:jc w:val="start"/>
              <w:rPr/>
            </w:pPr>
            <w:r>
              <w:rPr>
                <w:sz w:val="18"/>
              </w:rPr>
              <w:t>Route tool behavior without granting canon authority.</w:t>
            </w:r>
          </w:p>
        </w:tc>
      </w:tr>
      <w:tr>
        <w:trPr/>
        <w:tc>
          <w:tcPr>
            <w:tcW w:w="2957" w:type="dxa"/>
            <w:tcBorders/>
            <w:vAlign w:val="top"/>
          </w:tcPr>
          <w:p>
            <w:pPr>
              <w:pStyle w:val="Normal"/>
              <w:spacing w:before="0" w:after="40" w:line="240" w:lineRule="auto"/>
              <w:rPr>
                <w:b/>
                <w:bCs/>
              </w:rPr>
            </w:pPr>
            <w:r>
              <w:rPr>
                <w:b/>
                <w:bCs/>
                <w:sz w:val="18"/>
              </w:rPr>
              <w:t>P3LA_v0.1(2).pdf</w:t>
            </w:r>
          </w:p>
        </w:tc>
        <w:tc>
          <w:tcPr>
            <w:tcW w:w="2012" w:type="dxa"/>
            <w:tcBorders/>
            <w:vAlign w:val="top"/>
          </w:tcPr>
          <w:p>
            <w:pPr>
              <w:pStyle w:val="Normal"/>
              <w:widowControl/>
              <w:bidi w:val="0"/>
              <w:spacing w:lineRule="auto" w:line="240" w:before="0" w:after="40"/>
              <w:jc w:val="start"/>
              <w:rPr/>
            </w:pPr>
            <w:r>
              <w:rPr>
                <w:sz w:val="18"/>
              </w:rPr>
              <w:t>70dff28f57bf063b6448604c712b26becfc68feb2534728d2f0aa01853d1e0c1</w:t>
            </w:r>
          </w:p>
        </w:tc>
        <w:tc>
          <w:tcPr>
            <w:tcW w:w="1220" w:type="dxa"/>
            <w:tcBorders/>
            <w:vAlign w:val="top"/>
          </w:tcPr>
          <w:p>
            <w:pPr>
              <w:pStyle w:val="Normal"/>
              <w:widowControl/>
              <w:bidi w:val="0"/>
              <w:spacing w:lineRule="auto" w:line="240" w:before="0" w:after="40"/>
              <w:jc w:val="start"/>
              <w:rPr/>
            </w:pPr>
            <w:r>
              <w:rPr>
                <w:sz w:val="18"/>
              </w:rPr>
              <w:t>Packet/repair laboratory</w:t>
            </w:r>
          </w:p>
        </w:tc>
        <w:tc>
          <w:tcPr>
            <w:tcW w:w="3171" w:type="dxa"/>
            <w:tcBorders/>
            <w:vAlign w:val="top"/>
          </w:tcPr>
          <w:p>
            <w:pPr>
              <w:pStyle w:val="Normal"/>
              <w:widowControl/>
              <w:bidi w:val="0"/>
              <w:spacing w:lineRule="auto" w:line="240" w:before="0" w:after="40"/>
              <w:jc w:val="start"/>
              <w:rPr/>
            </w:pPr>
            <w:r>
              <w:rPr>
                <w:sz w:val="18"/>
              </w:rPr>
              <w:t>Use for provenance, repair, and route tests.</w:t>
            </w:r>
          </w:p>
        </w:tc>
      </w:tr>
      <w:tr>
        <w:trPr/>
        <w:tc>
          <w:tcPr>
            <w:tcW w:w="2957" w:type="dxa"/>
            <w:tcBorders/>
            <w:vAlign w:val="top"/>
            <w:shd w:fill="F7F9FB"/>
          </w:tcPr>
          <w:p>
            <w:pPr>
              <w:pStyle w:val="Normal"/>
              <w:spacing w:before="0" w:after="40" w:line="240" w:lineRule="auto"/>
              <w:rPr>
                <w:b/>
                <w:bCs/>
              </w:rPr>
            </w:pPr>
            <w:r>
              <w:rPr>
                <w:b/>
                <w:bCs/>
                <w:sz w:val="18"/>
              </w:rPr>
              <w:t>pal timeline july29.docx</w:t>
            </w:r>
          </w:p>
        </w:tc>
        <w:tc>
          <w:tcPr>
            <w:tcW w:w="2012" w:type="dxa"/>
            <w:tcBorders/>
            <w:vAlign w:val="top"/>
            <w:shd w:fill="F7F9FB"/>
          </w:tcPr>
          <w:p>
            <w:pPr>
              <w:pStyle w:val="Normal"/>
              <w:widowControl/>
              <w:bidi w:val="0"/>
              <w:spacing w:lineRule="auto" w:line="240" w:before="0" w:after="40"/>
              <w:jc w:val="start"/>
              <w:rPr/>
            </w:pPr>
            <w:r>
              <w:rPr>
                <w:sz w:val="18"/>
              </w:rPr>
              <w:t>4c79e3254949792b07527bc30302ea048c8cfd604db592574a0d06c8be532f83</w:t>
            </w:r>
          </w:p>
        </w:tc>
        <w:tc>
          <w:tcPr>
            <w:tcW w:w="1220" w:type="dxa"/>
            <w:tcBorders/>
            <w:vAlign w:val="top"/>
            <w:shd w:fill="F7F9FB"/>
          </w:tcPr>
          <w:p>
            <w:pPr>
              <w:pStyle w:val="Normal"/>
              <w:widowControl/>
              <w:bidi w:val="0"/>
              <w:spacing w:lineRule="auto" w:line="240" w:before="0" w:after="40"/>
              <w:jc w:val="start"/>
              <w:rPr/>
            </w:pPr>
            <w:r>
              <w:rPr>
                <w:sz w:val="18"/>
              </w:rPr>
              <w:t>Historical timeline</w:t>
            </w:r>
          </w:p>
        </w:tc>
        <w:tc>
          <w:tcPr>
            <w:tcW w:w="3171" w:type="dxa"/>
            <w:tcBorders/>
            <w:vAlign w:val="top"/>
            <w:shd w:fill="F7F9FB"/>
          </w:tcPr>
          <w:p>
            <w:pPr>
              <w:pStyle w:val="Normal"/>
              <w:widowControl/>
              <w:bidi w:val="0"/>
              <w:spacing w:lineRule="auto" w:line="240" w:before="0" w:after="40"/>
              <w:jc w:val="start"/>
              <w:rPr/>
            </w:pPr>
            <w:r>
              <w:rPr>
                <w:sz w:val="18"/>
              </w:rPr>
              <w:t>Use for provenance only; later adopted decisions control.</w:t>
            </w:r>
          </w:p>
        </w:tc>
      </w:tr>
      <w:tr>
        <w:trPr/>
        <w:tc>
          <w:tcPr>
            <w:tcW w:w="2957" w:type="dxa"/>
            <w:tcBorders/>
            <w:vAlign w:val="top"/>
          </w:tcPr>
          <w:p>
            <w:pPr>
              <w:pStyle w:val="Normal"/>
              <w:spacing w:before="0" w:after="40" w:line="240" w:lineRule="auto"/>
              <w:rPr>
                <w:b/>
                <w:bCs/>
              </w:rPr>
            </w:pPr>
            <w:r>
              <w:rPr>
                <w:b/>
                <w:bCs/>
                <w:sz w:val="18"/>
              </w:rPr>
              <w:t>PAL v1.6(1).pdf</w:t>
            </w:r>
          </w:p>
        </w:tc>
        <w:tc>
          <w:tcPr>
            <w:tcW w:w="2012" w:type="dxa"/>
            <w:tcBorders/>
            <w:vAlign w:val="top"/>
          </w:tcPr>
          <w:p>
            <w:pPr>
              <w:pStyle w:val="Normal"/>
              <w:widowControl/>
              <w:bidi w:val="0"/>
              <w:spacing w:lineRule="auto" w:line="240" w:before="0" w:after="40"/>
              <w:jc w:val="start"/>
              <w:rPr/>
            </w:pPr>
            <w:r>
              <w:rPr>
                <w:sz w:val="18"/>
              </w:rPr>
              <w:t>f9f3b1473b201600550004136e9fcf8aafd1b0741d50b7c4f4933b8c1f33b4c4</w:t>
            </w:r>
          </w:p>
        </w:tc>
        <w:tc>
          <w:tcPr>
            <w:tcW w:w="1220" w:type="dxa"/>
            <w:tcBorders/>
            <w:vAlign w:val="top"/>
          </w:tcPr>
          <w:p>
            <w:pPr>
              <w:pStyle w:val="Normal"/>
              <w:widowControl/>
              <w:bidi w:val="0"/>
              <w:spacing w:lineRule="auto" w:line="240" w:before="0" w:after="40"/>
              <w:jc w:val="start"/>
              <w:rPr/>
            </w:pPr>
            <w:r>
              <w:rPr>
                <w:sz w:val="18"/>
              </w:rPr>
              <w:t>Canonical 1.x predecessor</w:t>
            </w:r>
          </w:p>
        </w:tc>
        <w:tc>
          <w:tcPr>
            <w:tcW w:w="3171" w:type="dxa"/>
            <w:tcBorders/>
            <w:vAlign w:val="top"/>
          </w:tcPr>
          <w:p>
            <w:pPr>
              <w:pStyle w:val="Normal"/>
              <w:widowControl/>
              <w:bidi w:val="0"/>
              <w:spacing w:lineRule="auto" w:line="240" w:before="0" w:after="40"/>
              <w:jc w:val="start"/>
              <w:rPr/>
            </w:pPr>
            <w:r>
              <w:rPr>
                <w:sz w:val="18"/>
              </w:rPr>
              <w:t>Preserve formal record, 51 obligations, cross-layer laws, and predecessor DOI.</w:t>
            </w:r>
          </w:p>
        </w:tc>
      </w:tr>
      <w:tr>
        <w:trPr/>
        <w:tc>
          <w:tcPr>
            <w:tcW w:w="2957" w:type="dxa"/>
            <w:tcBorders/>
            <w:vAlign w:val="top"/>
            <w:shd w:fill="F7F9FB"/>
          </w:tcPr>
          <w:p>
            <w:pPr>
              <w:pStyle w:val="Normal"/>
              <w:spacing w:before="0" w:after="40" w:line="240" w:lineRule="auto"/>
              <w:rPr>
                <w:b/>
                <w:bCs/>
              </w:rPr>
            </w:pPr>
            <w:r>
              <w:rPr>
                <w:b/>
                <w:bCs/>
                <w:sz w:val="18"/>
              </w:rPr>
              <w:t>PAL_v1.99r1_Pre2.0_Inspection_Draft(1).docx</w:t>
            </w:r>
          </w:p>
        </w:tc>
        <w:tc>
          <w:tcPr>
            <w:tcW w:w="2012" w:type="dxa"/>
            <w:tcBorders/>
            <w:vAlign w:val="top"/>
            <w:shd w:fill="F7F9FB"/>
          </w:tcPr>
          <w:p>
            <w:pPr>
              <w:pStyle w:val="Normal"/>
              <w:widowControl/>
              <w:bidi w:val="0"/>
              <w:spacing w:lineRule="auto" w:line="240" w:before="0" w:after="40"/>
              <w:jc w:val="start"/>
              <w:rPr/>
            </w:pPr>
            <w:r>
              <w:rPr>
                <w:sz w:val="18"/>
              </w:rPr>
              <w:t>830d78c2f0ad1e5b7f506b0038eca41c7d972c02dd147228526dc4aa0e06f53e</w:t>
            </w:r>
          </w:p>
        </w:tc>
        <w:tc>
          <w:tcPr>
            <w:tcW w:w="1220" w:type="dxa"/>
            <w:tcBorders/>
            <w:vAlign w:val="top"/>
            <w:shd w:fill="F7F9FB"/>
          </w:tcPr>
          <w:p>
            <w:pPr>
              <w:pStyle w:val="Normal"/>
              <w:widowControl/>
              <w:bidi w:val="0"/>
              <w:spacing w:lineRule="auto" w:line="240" w:before="0" w:after="40"/>
              <w:jc w:val="start"/>
              <w:rPr/>
            </w:pPr>
            <w:r>
              <w:rPr>
                <w:sz w:val="18"/>
              </w:rPr>
              <w:t>Author-completed inspection controller</w:t>
            </w:r>
          </w:p>
        </w:tc>
        <w:tc>
          <w:tcPr>
            <w:tcW w:w="3171" w:type="dxa"/>
            <w:tcBorders/>
            <w:vAlign w:val="top"/>
            <w:shd w:fill="F7F9FB"/>
          </w:tcPr>
          <w:p>
            <w:pPr>
              <w:pStyle w:val="Normal"/>
              <w:widowControl/>
              <w:bidi w:val="0"/>
              <w:spacing w:lineRule="auto" w:line="240" w:before="0" w:after="40"/>
              <w:jc w:val="start"/>
              <w:rPr/>
            </w:pPr>
            <w:r>
              <w:rPr>
                <w:sz w:val="18"/>
              </w:rPr>
              <w:t>Normalize filled author decisions; preserve historical rows exactly.</w:t>
            </w:r>
          </w:p>
        </w:tc>
      </w:tr>
      <w:tr>
        <w:trPr/>
        <w:tc>
          <w:tcPr>
            <w:tcW w:w="2957" w:type="dxa"/>
            <w:tcBorders/>
            <w:vAlign w:val="top"/>
          </w:tcPr>
          <w:p>
            <w:pPr>
              <w:pStyle w:val="Normal"/>
              <w:spacing w:before="0" w:after="40" w:line="240" w:lineRule="auto"/>
              <w:rPr>
                <w:b/>
                <w:bCs/>
              </w:rPr>
            </w:pPr>
            <w:r>
              <w:rPr>
                <w:b/>
                <w:bCs/>
                <w:sz w:val="18"/>
              </w:rPr>
              <w:t>PEA_Core_v1.1.1_Public_Ethical_Review_Specification(2).pdf</w:t>
            </w:r>
          </w:p>
        </w:tc>
        <w:tc>
          <w:tcPr>
            <w:tcW w:w="2012" w:type="dxa"/>
            <w:tcBorders/>
            <w:vAlign w:val="top"/>
          </w:tcPr>
          <w:p>
            <w:pPr>
              <w:pStyle w:val="Normal"/>
              <w:widowControl/>
              <w:bidi w:val="0"/>
              <w:spacing w:lineRule="auto" w:line="240" w:before="0" w:after="40"/>
              <w:jc w:val="start"/>
              <w:rPr/>
            </w:pPr>
            <w:r>
              <w:rPr>
                <w:sz w:val="18"/>
              </w:rPr>
              <w:t>415bb626a4849ae0f7094a4e88aeaefe0eda6420da7928a6774bfc81947b00f3</w:t>
            </w:r>
          </w:p>
        </w:tc>
        <w:tc>
          <w:tcPr>
            <w:tcW w:w="1220" w:type="dxa"/>
            <w:tcBorders/>
            <w:vAlign w:val="top"/>
          </w:tcPr>
          <w:p>
            <w:pPr>
              <w:pStyle w:val="Normal"/>
              <w:widowControl/>
              <w:bidi w:val="0"/>
              <w:spacing w:lineRule="auto" w:line="240" w:before="0" w:after="40"/>
              <w:jc w:val="start"/>
              <w:rPr/>
            </w:pPr>
            <w:r>
              <w:rPr>
                <w:sz w:val="18"/>
              </w:rPr>
              <w:t>Independent ethical branch</w:t>
            </w:r>
          </w:p>
        </w:tc>
        <w:tc>
          <w:tcPr>
            <w:tcW w:w="3171" w:type="dxa"/>
            <w:tcBorders/>
            <w:vAlign w:val="top"/>
          </w:tcPr>
          <w:p>
            <w:pPr>
              <w:pStyle w:val="Normal"/>
              <w:widowControl/>
              <w:bidi w:val="0"/>
              <w:spacing w:lineRule="auto" w:line="240" w:before="0" w:after="40"/>
              <w:jc w:val="start"/>
              <w:rPr/>
            </w:pPr>
            <w:r>
              <w:rPr>
                <w:sz w:val="18"/>
              </w:rPr>
              <w:t>Retain separation between structural closure and authorization.</w:t>
            </w:r>
          </w:p>
        </w:tc>
      </w:tr>
      <w:tr>
        <w:trPr/>
        <w:tc>
          <w:tcPr>
            <w:tcW w:w="2957" w:type="dxa"/>
            <w:tcBorders/>
            <w:vAlign w:val="top"/>
            <w:shd w:fill="F7F9FB"/>
          </w:tcPr>
          <w:p>
            <w:pPr>
              <w:pStyle w:val="Normal"/>
              <w:spacing w:before="0" w:after="40" w:line="240" w:lineRule="auto"/>
              <w:rPr>
                <w:b/>
                <w:bCs/>
              </w:rPr>
            </w:pPr>
            <w:r>
              <w:rPr>
                <w:b/>
                <w:bCs/>
                <w:sz w:val="18"/>
              </w:rPr>
              <w:t>PECAN_v1.0.3_Public_Protocol_Specification (1)(1).pdf</w:t>
            </w:r>
          </w:p>
        </w:tc>
        <w:tc>
          <w:tcPr>
            <w:tcW w:w="2012" w:type="dxa"/>
            <w:tcBorders/>
            <w:vAlign w:val="top"/>
            <w:shd w:fill="F7F9FB"/>
          </w:tcPr>
          <w:p>
            <w:pPr>
              <w:pStyle w:val="Normal"/>
              <w:widowControl/>
              <w:bidi w:val="0"/>
              <w:spacing w:lineRule="auto" w:line="240" w:before="0" w:after="40"/>
              <w:jc w:val="start"/>
              <w:rPr/>
            </w:pPr>
            <w:r>
              <w:rPr>
                <w:sz w:val="18"/>
              </w:rPr>
              <w:t>c9905a9dc70a50c08298c446f9c2889a62b67eab34b0a2d171cfef5bdf57189a</w:t>
            </w:r>
          </w:p>
        </w:tc>
        <w:tc>
          <w:tcPr>
            <w:tcW w:w="1220" w:type="dxa"/>
            <w:tcBorders/>
            <w:vAlign w:val="top"/>
            <w:shd w:fill="F7F9FB"/>
          </w:tcPr>
          <w:p>
            <w:pPr>
              <w:pStyle w:val="Normal"/>
              <w:widowControl/>
              <w:bidi w:val="0"/>
              <w:spacing w:lineRule="auto" w:line="240" w:before="0" w:after="40"/>
              <w:jc w:val="start"/>
              <w:rPr/>
            </w:pPr>
            <w:r>
              <w:rPr>
                <w:sz w:val="18"/>
              </w:rPr>
              <w:t>Protocol interface</w:t>
            </w:r>
          </w:p>
        </w:tc>
        <w:tc>
          <w:tcPr>
            <w:tcW w:w="3171" w:type="dxa"/>
            <w:tcBorders/>
            <w:vAlign w:val="top"/>
            <w:shd w:fill="F7F9FB"/>
          </w:tcPr>
          <w:p>
            <w:pPr>
              <w:pStyle w:val="Normal"/>
              <w:widowControl/>
              <w:bidi w:val="0"/>
              <w:spacing w:lineRule="auto" w:line="240" w:before="0" w:after="40"/>
              <w:jc w:val="start"/>
              <w:rPr/>
            </w:pPr>
            <w:r>
              <w:rPr>
                <w:sz w:val="18"/>
              </w:rPr>
              <w:t>Use typed crossings, route authority, and order tests.</w:t>
            </w:r>
          </w:p>
        </w:tc>
      </w:tr>
      <w:tr>
        <w:trPr/>
        <w:tc>
          <w:tcPr>
            <w:tcW w:w="2957" w:type="dxa"/>
            <w:tcBorders/>
            <w:vAlign w:val="top"/>
          </w:tcPr>
          <w:p>
            <w:pPr>
              <w:pStyle w:val="Normal"/>
              <w:spacing w:before="0" w:after="40" w:line="240" w:lineRule="auto"/>
              <w:rPr>
                <w:b/>
                <w:bCs/>
              </w:rPr>
            </w:pPr>
            <w:r>
              <w:rPr>
                <w:b/>
                <w:bCs/>
                <w:sz w:val="18"/>
              </w:rPr>
              <w:t>PPP_Kernel_v0.4_Public_Integration_and_Verification_Specification(2).pdf</w:t>
            </w:r>
          </w:p>
        </w:tc>
        <w:tc>
          <w:tcPr>
            <w:tcW w:w="2012" w:type="dxa"/>
            <w:tcBorders/>
            <w:vAlign w:val="top"/>
          </w:tcPr>
          <w:p>
            <w:pPr>
              <w:pStyle w:val="Normal"/>
              <w:widowControl/>
              <w:bidi w:val="0"/>
              <w:spacing w:lineRule="auto" w:line="240" w:before="0" w:after="40"/>
              <w:jc w:val="start"/>
              <w:rPr/>
            </w:pPr>
            <w:r>
              <w:rPr>
                <w:sz w:val="18"/>
              </w:rPr>
              <w:t>fe70c880db0746e521adf8db19debc3e947afbf3bafe8c535604589b05343a77</w:t>
            </w:r>
          </w:p>
        </w:tc>
        <w:tc>
          <w:tcPr>
            <w:tcW w:w="1220" w:type="dxa"/>
            <w:tcBorders/>
            <w:vAlign w:val="top"/>
          </w:tcPr>
          <w:p>
            <w:pPr>
              <w:pStyle w:val="Normal"/>
              <w:widowControl/>
              <w:bidi w:val="0"/>
              <w:spacing w:lineRule="auto" w:line="240" w:before="0" w:after="40"/>
              <w:jc w:val="start"/>
              <w:rPr/>
            </w:pPr>
            <w:r>
              <w:rPr>
                <w:sz w:val="18"/>
              </w:rPr>
              <w:t>Integration/verification branch</w:t>
            </w:r>
          </w:p>
        </w:tc>
        <w:tc>
          <w:tcPr>
            <w:tcW w:w="3171" w:type="dxa"/>
            <w:tcBorders/>
            <w:vAlign w:val="top"/>
          </w:tcPr>
          <w:p>
            <w:pPr>
              <w:pStyle w:val="Normal"/>
              <w:widowControl/>
              <w:bidi w:val="0"/>
              <w:spacing w:lineRule="auto" w:line="240" w:before="0" w:after="40"/>
              <w:jc w:val="start"/>
              <w:rPr/>
            </w:pPr>
            <w:r>
              <w:rPr>
                <w:sz w:val="18"/>
              </w:rPr>
              <w:t>Use for packet gates and verification patterns.</w:t>
            </w:r>
          </w:p>
        </w:tc>
      </w:tr>
      <w:tr>
        <w:trPr/>
        <w:tc>
          <w:tcPr>
            <w:tcW w:w="2957" w:type="dxa"/>
            <w:tcBorders/>
            <w:vAlign w:val="top"/>
            <w:shd w:fill="F7F9FB"/>
          </w:tcPr>
          <w:p>
            <w:pPr>
              <w:pStyle w:val="Normal"/>
              <w:spacing w:before="0" w:after="40" w:line="240" w:lineRule="auto"/>
              <w:rPr>
                <w:b/>
                <w:bCs/>
              </w:rPr>
            </w:pPr>
            <w:r>
              <w:rPr>
                <w:b/>
                <w:bCs/>
                <w:sz w:val="18"/>
              </w:rPr>
              <w:t>Riemann_Ledger_v0.69_Private_Work_Draft_Three_Lane_Halting_and_Invariant_Compression(2).pdf</w:t>
            </w:r>
          </w:p>
        </w:tc>
        <w:tc>
          <w:tcPr>
            <w:tcW w:w="2012" w:type="dxa"/>
            <w:tcBorders/>
            <w:vAlign w:val="top"/>
            <w:shd w:fill="F7F9FB"/>
          </w:tcPr>
          <w:p>
            <w:pPr>
              <w:pStyle w:val="Normal"/>
              <w:widowControl/>
              <w:bidi w:val="0"/>
              <w:spacing w:lineRule="auto" w:line="240" w:before="0" w:after="40"/>
              <w:jc w:val="start"/>
              <w:rPr/>
            </w:pPr>
            <w:r>
              <w:rPr>
                <w:sz w:val="18"/>
              </w:rPr>
              <w:t>a7150de6301550a3895157df9527943d5734ab18c0dafa638eb491879507bf2d</w:t>
            </w:r>
          </w:p>
        </w:tc>
        <w:tc>
          <w:tcPr>
            <w:tcW w:w="1220" w:type="dxa"/>
            <w:tcBorders/>
            <w:vAlign w:val="top"/>
            <w:shd w:fill="F7F9FB"/>
          </w:tcPr>
          <w:p>
            <w:pPr>
              <w:pStyle w:val="Normal"/>
              <w:widowControl/>
              <w:bidi w:val="0"/>
              <w:spacing w:lineRule="auto" w:line="240" w:before="0" w:after="40"/>
              <w:jc w:val="start"/>
              <w:rPr/>
            </w:pPr>
            <w:r>
              <w:rPr>
                <w:sz w:val="18"/>
              </w:rPr>
              <w:t>Private working evidence</w:t>
            </w:r>
          </w:p>
        </w:tc>
        <w:tc>
          <w:tcPr>
            <w:tcW w:w="3171" w:type="dxa"/>
            <w:tcBorders/>
            <w:vAlign w:val="top"/>
            <w:shd w:fill="F7F9FB"/>
          </w:tcPr>
          <w:p>
            <w:pPr>
              <w:pStyle w:val="Normal"/>
              <w:widowControl/>
              <w:bidi w:val="0"/>
              <w:spacing w:lineRule="auto" w:line="240" w:before="0" w:after="40"/>
              <w:jc w:val="start"/>
              <w:rPr/>
            </w:pPr>
            <w:r>
              <w:rPr>
                <w:sz w:val="18"/>
              </w:rPr>
              <w:t>Consult for ProofPacket/StepGate patterns; do not redistribute or cite as public authority.</w:t>
            </w:r>
          </w:p>
        </w:tc>
      </w:tr>
      <w:tr>
        <w:trPr/>
        <w:tc>
          <w:tcPr>
            <w:tcW w:w="2957" w:type="dxa"/>
            <w:tcBorders/>
            <w:vAlign w:val="top"/>
          </w:tcPr>
          <w:p>
            <w:pPr>
              <w:pStyle w:val="Normal"/>
              <w:spacing w:before="0" w:after="40" w:line="240" w:lineRule="auto"/>
              <w:rPr>
                <w:b/>
                <w:bCs/>
              </w:rPr>
            </w:pPr>
            <w:r>
              <w:rPr>
                <w:b/>
                <w:bCs/>
                <w:sz w:val="18"/>
              </w:rPr>
              <w:t>SEED_v0.2_Formal_Mathematical_Extension(4).pdf</w:t>
            </w:r>
          </w:p>
        </w:tc>
        <w:tc>
          <w:tcPr>
            <w:tcW w:w="2012" w:type="dxa"/>
            <w:tcBorders/>
            <w:vAlign w:val="top"/>
          </w:tcPr>
          <w:p>
            <w:pPr>
              <w:pStyle w:val="Normal"/>
              <w:widowControl/>
              <w:bidi w:val="0"/>
              <w:spacing w:lineRule="auto" w:line="240" w:before="0" w:after="40"/>
              <w:jc w:val="start"/>
              <w:rPr/>
            </w:pPr>
            <w:r>
              <w:rPr>
                <w:sz w:val="18"/>
              </w:rPr>
              <w:t>02c244b73bd318cf23d9c8a0ec711e7376a553913eacc24de4d9f8bf6ea59bd7</w:t>
            </w:r>
          </w:p>
        </w:tc>
        <w:tc>
          <w:tcPr>
            <w:tcW w:w="1220" w:type="dxa"/>
            <w:tcBorders/>
            <w:vAlign w:val="top"/>
          </w:tcPr>
          <w:p>
            <w:pPr>
              <w:pStyle w:val="Normal"/>
              <w:widowControl/>
              <w:bidi w:val="0"/>
              <w:spacing w:lineRule="auto" w:line="240" w:before="0" w:after="40"/>
              <w:jc w:val="start"/>
              <w:rPr/>
            </w:pPr>
            <w:r>
              <w:rPr>
                <w:sz w:val="18"/>
              </w:rPr>
              <w:t>Formal extension</w:t>
            </w:r>
          </w:p>
        </w:tc>
        <w:tc>
          <w:tcPr>
            <w:tcW w:w="3171" w:type="dxa"/>
            <w:tcBorders/>
            <w:vAlign w:val="top"/>
          </w:tcPr>
          <w:p>
            <w:pPr>
              <w:pStyle w:val="Normal"/>
              <w:widowControl/>
              <w:bidi w:val="0"/>
              <w:spacing w:lineRule="auto" w:line="240" w:before="0" w:after="40"/>
              <w:jc w:val="start"/>
              <w:rPr/>
            </w:pPr>
            <w:r>
              <w:rPr>
                <w:sz w:val="18"/>
              </w:rPr>
              <w:t>Use as branch evidence under the atlas firewall.</w:t>
            </w:r>
          </w:p>
        </w:tc>
      </w:tr>
      <w:tr>
        <w:trPr/>
        <w:tc>
          <w:tcPr>
            <w:tcW w:w="2957" w:type="dxa"/>
            <w:tcBorders/>
            <w:vAlign w:val="top"/>
            <w:shd w:fill="F7F9FB"/>
          </w:tcPr>
          <w:p>
            <w:pPr>
              <w:pStyle w:val="Normal"/>
              <w:spacing w:before="0" w:after="40" w:line="240" w:lineRule="auto"/>
              <w:rPr>
                <w:b/>
                <w:bCs/>
              </w:rPr>
            </w:pPr>
            <w:r>
              <w:rPr>
                <w:b/>
                <w:bCs/>
                <w:sz w:val="18"/>
              </w:rPr>
              <w:t>The Price of Spherical Closure(2).pdf</w:t>
            </w:r>
          </w:p>
        </w:tc>
        <w:tc>
          <w:tcPr>
            <w:tcW w:w="2012" w:type="dxa"/>
            <w:tcBorders/>
            <w:vAlign w:val="top"/>
            <w:shd w:fill="F7F9FB"/>
          </w:tcPr>
          <w:p>
            <w:pPr>
              <w:pStyle w:val="Normal"/>
              <w:widowControl/>
              <w:bidi w:val="0"/>
              <w:spacing w:lineRule="auto" w:line="240" w:before="0" w:after="40"/>
              <w:jc w:val="start"/>
              <w:rPr/>
            </w:pPr>
            <w:r>
              <w:rPr>
                <w:sz w:val="18"/>
              </w:rPr>
              <w:t>81c47c7be21d6a163c359ba1b68b3361211a32340a2c7f0cf6c4140949be2d54</w:t>
            </w:r>
          </w:p>
        </w:tc>
        <w:tc>
          <w:tcPr>
            <w:tcW w:w="1220" w:type="dxa"/>
            <w:tcBorders/>
            <w:vAlign w:val="top"/>
            <w:shd w:fill="F7F9FB"/>
          </w:tcPr>
          <w:p>
            <w:pPr>
              <w:pStyle w:val="Normal"/>
              <w:widowControl/>
              <w:bidi w:val="0"/>
              <w:spacing w:lineRule="auto" w:line="240" w:before="0" w:after="40"/>
              <w:jc w:val="start"/>
              <w:rPr/>
            </w:pPr>
            <w:r>
              <w:rPr>
                <w:sz w:val="18"/>
              </w:rPr>
              <w:t>Closure laboratory</w:t>
            </w:r>
          </w:p>
        </w:tc>
        <w:tc>
          <w:tcPr>
            <w:tcW w:w="3171" w:type="dxa"/>
            <w:tcBorders/>
            <w:vAlign w:val="top"/>
            <w:shd w:fill="F7F9FB"/>
          </w:tcPr>
          <w:p>
            <w:pPr>
              <w:pStyle w:val="Normal"/>
              <w:widowControl/>
              <w:bidi w:val="0"/>
              <w:spacing w:lineRule="auto" w:line="240" w:before="0" w:after="40"/>
              <w:jc w:val="start"/>
              <w:rPr/>
            </w:pPr>
            <w:r>
              <w:rPr>
                <w:sz w:val="18"/>
              </w:rPr>
              <w:t>Use for local-closure cost and residual reasoning.</w:t>
            </w:r>
          </w:p>
        </w:tc>
      </w:tr>
      <w:tr>
        <w:trPr/>
        <w:tc>
          <w:tcPr>
            <w:tcW w:w="2957" w:type="dxa"/>
            <w:tcBorders/>
            <w:vAlign w:val="top"/>
          </w:tcPr>
          <w:p>
            <w:pPr>
              <w:pStyle w:val="Normal"/>
              <w:spacing w:before="0" w:after="40" w:line="240" w:lineRule="auto"/>
              <w:rPr>
                <w:b/>
                <w:bCs/>
              </w:rPr>
            </w:pPr>
            <w:r>
              <w:rPr>
                <w:b/>
                <w:bCs/>
                <w:sz w:val="18"/>
              </w:rPr>
              <w:t>The_Context_Is_the_Model(1).pdf</w:t>
            </w:r>
          </w:p>
        </w:tc>
        <w:tc>
          <w:tcPr>
            <w:tcW w:w="2012" w:type="dxa"/>
            <w:tcBorders/>
            <w:vAlign w:val="top"/>
          </w:tcPr>
          <w:p>
            <w:pPr>
              <w:pStyle w:val="Normal"/>
              <w:widowControl/>
              <w:bidi w:val="0"/>
              <w:spacing w:lineRule="auto" w:line="240" w:before="0" w:after="40"/>
              <w:jc w:val="start"/>
              <w:rPr/>
            </w:pPr>
            <w:r>
              <w:rPr>
                <w:sz w:val="18"/>
              </w:rPr>
              <w:t>dd6bb0c5b3df6f65ba7b24a21d338b0a1a2f6b75dd79eff04045ef27d8bccc6d</w:t>
            </w:r>
          </w:p>
        </w:tc>
        <w:tc>
          <w:tcPr>
            <w:tcW w:w="1220" w:type="dxa"/>
            <w:tcBorders/>
            <w:vAlign w:val="top"/>
          </w:tcPr>
          <w:p>
            <w:pPr>
              <w:pStyle w:val="Normal"/>
              <w:widowControl/>
              <w:bidi w:val="0"/>
              <w:spacing w:lineRule="auto" w:line="240" w:before="0" w:after="40"/>
              <w:jc w:val="start"/>
              <w:rPr/>
            </w:pPr>
            <w:r>
              <w:rPr>
                <w:sz w:val="18"/>
              </w:rPr>
              <w:t>Bounded-model laboratory</w:t>
            </w:r>
          </w:p>
        </w:tc>
        <w:tc>
          <w:tcPr>
            <w:tcW w:w="3171" w:type="dxa"/>
            <w:tcBorders/>
            <w:vAlign w:val="top"/>
          </w:tcPr>
          <w:p>
            <w:pPr>
              <w:pStyle w:val="Normal"/>
              <w:widowControl/>
              <w:bidi w:val="0"/>
              <w:spacing w:lineRule="auto" w:line="240" w:before="0" w:after="40"/>
              <w:jc w:val="start"/>
              <w:rPr/>
            </w:pPr>
            <w:r>
              <w:rPr>
                <w:sz w:val="18"/>
              </w:rPr>
              <w:t>Use for finite-check and model-relative closure examples.</w:t>
            </w:r>
          </w:p>
        </w:tc>
      </w:tr>
    </w:tbl>
    <w:p>
      <w:pPr>
        <w:pStyle w:val="Heading1"/>
        <w:keepNext/>
        <w:keepLines/>
        <w:rPr/>
      </w:pPr>
      <w:bookmarkStart w:id="57" w:name="pal-v2.1-decision-layer"/>
      <w:r>
        <w:rPr/>
        <w:t>6. PAL v2.1 decision layer</w:t>
      </w:r>
      <w:bookmarkEnd w:id="57"/>
    </w:p>
    <w:p>
      <w:pPr>
        <w:pStyle w:val="Normal"/>
        <w:keepNext/>
        <w:keepLines/>
        <w:rPr>
          <w:b/>
          <w:bCs/>
        </w:rPr>
      </w:pPr>
      <w:r>
        <w:rPr>
          <w:b/>
          <w:bCs/>
        </w:rPr>
        <w:t>The eight decisions below are the focused canonical change in PAL v2.1. They clarify existing mechanics without adding a new primitive, layer, or status and without closing D-FIRST-OCCURRENCE.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936"/>
        <w:gridCol w:w="936"/>
        <w:gridCol w:w="6552"/>
        <w:gridCol w:w="936"/>
      </w:tblGrid>
      <w:tr>
        <w:trPr>
          <w:tblHeader w:val="true"/>
        </w:trPr>
        <w:tc>
          <w:tcPr>
            <w:tcW w:w="936" w:type="dxa"/>
            <w:tcBorders/>
            <w:vAlign w:val="top"/>
            <w:shd w:fill="DCE6F1"/>
          </w:tcPr>
          <w:p>
            <w:pPr>
              <w:pStyle w:val="Normal"/>
              <w:spacing w:before="0" w:after="40" w:line="240" w:lineRule="auto"/>
              <w:rPr>
                <w:b/>
                <w:bCs/>
              </w:rPr>
            </w:pPr>
            <w:r>
              <w:rPr>
                <w:b/>
                <w:bCs/>
                <w:color w:val="1F4D78"/>
                <w:sz w:val="18"/>
              </w:rPr>
              <w:t>ID</w:t>
            </w:r>
          </w:p>
        </w:tc>
        <w:tc>
          <w:tcPr>
            <w:tcW w:w="936" w:type="dxa"/>
            <w:tcBorders/>
            <w:vAlign w:val="top"/>
            <w:shd w:fill="DCE6F1"/>
          </w:tcPr>
          <w:p>
            <w:pPr>
              <w:pStyle w:val="Normal"/>
              <w:spacing w:before="0" w:after="40" w:line="240" w:lineRule="auto"/>
              <w:rPr>
                <w:b/>
                <w:bCs/>
              </w:rPr>
            </w:pPr>
            <w:r>
              <w:rPr>
                <w:b/>
                <w:bCs/>
                <w:color w:val="1F4D78"/>
                <w:sz w:val="18"/>
              </w:rPr>
              <w:t>Area</w:t>
            </w:r>
          </w:p>
        </w:tc>
        <w:tc>
          <w:tcPr>
            <w:tcW w:w="6552" w:type="dxa"/>
            <w:tcBorders/>
            <w:vAlign w:val="top"/>
            <w:shd w:fill="DCE6F1"/>
          </w:tcPr>
          <w:p>
            <w:pPr>
              <w:pStyle w:val="Normal"/>
              <w:spacing w:before="0" w:after="40" w:line="240" w:lineRule="auto"/>
              <w:rPr>
                <w:b/>
                <w:bCs/>
              </w:rPr>
            </w:pPr>
            <w:r>
              <w:rPr>
                <w:b/>
                <w:bCs/>
                <w:color w:val="1F4D78"/>
                <w:sz w:val="18"/>
              </w:rPr>
              <w:t>Adopted PAL v2.1 decision</w:t>
            </w:r>
          </w:p>
        </w:tc>
        <w:tc>
          <w:tcPr>
            <w:tcW w:w="936" w:type="dxa"/>
            <w:tcBorders/>
            <w:vAlign w:val="top"/>
            <w:shd w:fill="DCE6F1"/>
          </w:tcPr>
          <w:p>
            <w:pPr>
              <w:pStyle w:val="Normal"/>
              <w:spacing w:before="0" w:after="40" w:line="240" w:lineRule="auto"/>
              <w:rPr>
                <w:b/>
                <w:bCs/>
              </w:rPr>
            </w:pPr>
            <w:r>
              <w:rPr>
                <w:b/>
                <w:bCs/>
                <w:color w:val="1F4D78"/>
                <w:sz w:val="18"/>
              </w:rPr>
              <w:t>State</w:t>
            </w:r>
          </w:p>
        </w:tc>
      </w:tr>
      <w:tr>
        <w:trPr/>
        <w:tc>
          <w:tcPr>
            <w:tcW w:w="936" w:type="dxa"/>
            <w:tcBorders/>
            <w:vAlign w:val="top"/>
          </w:tcPr>
          <w:p>
            <w:pPr>
              <w:pStyle w:val="Normal"/>
              <w:spacing w:before="0" w:after="40" w:line="240" w:lineRule="auto"/>
              <w:rPr>
                <w:b/>
                <w:bCs/>
              </w:rPr>
            </w:pPr>
            <w:r>
              <w:rPr>
                <w:b/>
                <w:bCs/>
                <w:sz w:val="18"/>
              </w:rPr>
              <w:t>D16</w:t>
            </w:r>
          </w:p>
        </w:tc>
        <w:tc>
          <w:tcPr>
            <w:tcW w:w="936" w:type="dxa"/>
            <w:tcBorders/>
            <w:vAlign w:val="top"/>
          </w:tcPr>
          <w:p>
            <w:pPr>
              <w:pStyle w:val="Normal"/>
              <w:widowControl/>
              <w:bidi w:val="0"/>
              <w:spacing w:lineRule="auto" w:line="240" w:before="0" w:after="40"/>
              <w:jc w:val="start"/>
              <w:rPr/>
            </w:pPr>
            <w:r>
              <w:rPr>
                <w:sz w:val="18"/>
              </w:rPr>
              <w:t>Account-relative primacy</w:t>
            </w:r>
          </w:p>
        </w:tc>
        <w:tc>
          <w:tcPr>
            <w:tcW w:w="6552" w:type="dxa"/>
            <w:tcBorders/>
            <w:vAlign w:val="top"/>
          </w:tcPr>
          <w:p>
            <w:pPr>
              <w:pStyle w:val="Normal"/>
              <w:widowControl/>
              <w:bidi w:val="0"/>
              <w:spacing w:lineRule="auto" w:line="240" w:before="0" w:after="40"/>
              <w:jc w:val="start"/>
              <w:rPr/>
            </w:pPr>
            <w:r>
              <w:rPr>
                <w:sz w:val="18"/>
              </w:rPr>
              <w:t>Within a declared PAL account, A0 is the first admitted supplied cut. This account order does not establish temporal, ontic, causal, or global primacy.</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D17</w:t>
            </w:r>
          </w:p>
        </w:tc>
        <w:tc>
          <w:tcPr>
            <w:tcW w:w="936" w:type="dxa"/>
            <w:tcBorders/>
            <w:vAlign w:val="top"/>
            <w:shd w:fill="F7F9FB"/>
          </w:tcPr>
          <w:p>
            <w:pPr>
              <w:pStyle w:val="Normal"/>
              <w:widowControl/>
              <w:bidi w:val="0"/>
              <w:spacing w:lineRule="auto" w:line="240" w:before="0" w:after="40"/>
              <w:jc w:val="start"/>
              <w:rPr/>
            </w:pPr>
            <w:r>
              <w:rPr>
                <w:sz w:val="18"/>
              </w:rPr>
              <w:t>Typed cost-bearing admission</w:t>
            </w:r>
          </w:p>
        </w:tc>
        <w:tc>
          <w:tcPr>
            <w:tcW w:w="6552" w:type="dxa"/>
            <w:tcBorders/>
            <w:vAlign w:val="top"/>
            <w:shd w:fill="F7F9FB"/>
          </w:tcPr>
          <w:p>
            <w:pPr>
              <w:pStyle w:val="Normal"/>
              <w:widowControl/>
              <w:bidi w:val="0"/>
              <w:spacing w:lineRule="auto" w:line="240" w:before="0" w:after="40"/>
              <w:jc w:val="start"/>
              <w:rPr/>
            </w:pPr>
            <w:r>
              <w:rPr>
                <w:sz w:val="18"/>
              </w:rPr>
              <w:t>Every cut admitted into a PAL account records a cut-indexed cost or obligation alongside distinct fields for scope, witness, boundary, carried trace, authority ceiling, residual, and reopening. Cost warrants ledger admission; it is not thereby causal source, truth, physical energy, permission, consent, standing, or authority.</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D18</w:t>
            </w:r>
          </w:p>
        </w:tc>
        <w:tc>
          <w:tcPr>
            <w:tcW w:w="936" w:type="dxa"/>
            <w:tcBorders/>
            <w:vAlign w:val="top"/>
          </w:tcPr>
          <w:p>
            <w:pPr>
              <w:pStyle w:val="Normal"/>
              <w:widowControl/>
              <w:bidi w:val="0"/>
              <w:spacing w:lineRule="auto" w:line="240" w:before="0" w:after="40"/>
              <w:jc w:val="start"/>
              <w:rPr/>
            </w:pPr>
            <w:r>
              <w:rPr>
                <w:sz w:val="18"/>
              </w:rPr>
              <w:t>Occurrence evidence and source ceiling</w:t>
            </w:r>
          </w:p>
        </w:tc>
        <w:tc>
          <w:tcPr>
            <w:tcW w:w="6552" w:type="dxa"/>
            <w:tcBorders/>
            <w:vAlign w:val="top"/>
          </w:tcPr>
          <w:p>
            <w:pPr>
              <w:pStyle w:val="Normal"/>
              <w:widowControl/>
              <w:bidi w:val="0"/>
              <w:spacing w:lineRule="auto" w:line="240" w:before="0" w:after="40"/>
              <w:jc w:val="start"/>
              <w:rPr/>
            </w:pPr>
            <w:r>
              <w:rPr>
                <w:sz w:val="18"/>
              </w:rPr>
              <w:t>After the distinct A1/A2 witness-and-trace route has been earned, a later account may establish that the cut occurred and preserve its recoverable occurrence trace within a declared scope. Any CLOSED_IN_SCOPE claim additionally requires an A15 receipt. Ultimate causal source and global primacy remain OPEN. An A0 cut receipt alone is not an occurrence receipt.</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D19</w:t>
            </w:r>
          </w:p>
        </w:tc>
        <w:tc>
          <w:tcPr>
            <w:tcW w:w="936" w:type="dxa"/>
            <w:tcBorders/>
            <w:vAlign w:val="top"/>
            <w:shd w:fill="F7F9FB"/>
          </w:tcPr>
          <w:p>
            <w:pPr>
              <w:pStyle w:val="Normal"/>
              <w:widowControl/>
              <w:bidi w:val="0"/>
              <w:spacing w:lineRule="auto" w:line="240" w:before="0" w:after="40"/>
              <w:jc w:val="start"/>
              <w:rPr/>
            </w:pPr>
            <w:r>
              <w:rPr>
                <w:sz w:val="18"/>
              </w:rPr>
              <w:t>Account order versus primacy evidence</w:t>
            </w:r>
          </w:p>
        </w:tc>
        <w:tc>
          <w:tcPr>
            <w:tcW w:w="6552" w:type="dxa"/>
            <w:tcBorders/>
            <w:vAlign w:val="top"/>
            <w:shd w:fill="F7F9FB"/>
          </w:tcPr>
          <w:p>
            <w:pPr>
              <w:pStyle w:val="Normal"/>
              <w:widowControl/>
              <w:bidi w:val="0"/>
              <w:spacing w:lineRule="auto" w:line="240" w:before="0" w:after="40"/>
              <w:jc w:val="start"/>
              <w:rPr/>
            </w:pPr>
            <w:r>
              <w:rPr>
                <w:sz w:val="18"/>
              </w:rPr>
              <w:t>Account order and temporal, ontic, causal, or global primacy are distinct. A0 may be called first in its declared PAL account at admission. A stronger primacy claim requires later supplied evidence and a declared comparison scope; the cut or trace alone cannot establish that claim.</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D20</w:t>
            </w:r>
          </w:p>
        </w:tc>
        <w:tc>
          <w:tcPr>
            <w:tcW w:w="936" w:type="dxa"/>
            <w:tcBorders/>
            <w:vAlign w:val="top"/>
          </w:tcPr>
          <w:p>
            <w:pPr>
              <w:pStyle w:val="Normal"/>
              <w:widowControl/>
              <w:bidi w:val="0"/>
              <w:spacing w:lineRule="auto" w:line="240" w:before="0" w:after="40"/>
              <w:jc w:val="start"/>
              <w:rPr/>
            </w:pPr>
            <w:r>
              <w:rPr>
                <w:sz w:val="18"/>
              </w:rPr>
              <w:t>Supplied inquiry-event witness</w:t>
            </w:r>
          </w:p>
        </w:tc>
        <w:tc>
          <w:tcPr>
            <w:tcW w:w="6552" w:type="dxa"/>
            <w:tcBorders/>
            <w:vAlign w:val="top"/>
          </w:tcPr>
          <w:p>
            <w:pPr>
              <w:pStyle w:val="Normal"/>
              <w:widowControl/>
              <w:bidi w:val="0"/>
              <w:spacing w:lineRule="auto" w:line="240" w:before="0" w:after="40"/>
              <w:jc w:val="start"/>
              <w:rPr/>
            </w:pPr>
            <w:r>
              <w:rPr>
                <w:sz w:val="18"/>
              </w:rPr>
              <w:t>When an inquiry event is admitted under a supplied inquiry-event witness, PAL may record a new present inquiry receipt. That receipt does not establish the inquirer’s ontology, consciousness, standing, ultimate source, or global priority, and it does not witness the original cut’s causal source.</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D21</w:t>
            </w:r>
          </w:p>
        </w:tc>
        <w:tc>
          <w:tcPr>
            <w:tcW w:w="936" w:type="dxa"/>
            <w:tcBorders/>
            <w:vAlign w:val="top"/>
            <w:shd w:fill="F7F9FB"/>
          </w:tcPr>
          <w:p>
            <w:pPr>
              <w:pStyle w:val="Normal"/>
              <w:widowControl/>
              <w:bidi w:val="0"/>
              <w:spacing w:lineRule="auto" w:line="240" w:before="0" w:after="40"/>
              <w:jc w:val="start"/>
              <w:rPr/>
            </w:pPr>
            <w:r>
              <w:rPr>
                <w:sz w:val="18"/>
              </w:rPr>
              <w:t>Cut-only source underdetermination</w:t>
            </w:r>
          </w:p>
        </w:tc>
        <w:tc>
          <w:tcPr>
            <w:tcW w:w="6552" w:type="dxa"/>
            <w:tcBorders/>
            <w:vAlign w:val="top"/>
            <w:shd w:fill="F7F9FB"/>
          </w:tcPr>
          <w:p>
            <w:pPr>
              <w:pStyle w:val="Normal"/>
              <w:widowControl/>
              <w:bidi w:val="0"/>
              <w:spacing w:lineRule="auto" w:line="240" w:before="0" w:after="40"/>
              <w:jc w:val="start"/>
              <w:rPr/>
            </w:pPr>
            <w:r>
              <w:rPr>
                <w:sz w:val="18"/>
              </w:rPr>
              <w:t>At an interface whose accessible input is only the cut, equal cut values do not warrant identification of their upstream sources. A unique-source claim requires an explicit injectivity assumption or a supplied discriminating witness.</w:t>
            </w:r>
          </w:p>
        </w:tc>
        <w:tc>
          <w:tcPr>
            <w:tcW w:w="936" w:type="dxa"/>
            <w:tcBorders/>
            <w:vAlign w:val="top"/>
            <w:shd w:fill="F7F9FB"/>
          </w:tcPr>
          <w:p>
            <w:pPr>
              <w:pStyle w:val="Normal"/>
              <w:widowControl/>
              <w:bidi w:val="0"/>
              <w:spacing w:lineRule="auto" w:line="240" w:before="0" w:after="40"/>
              <w:jc w:val="start"/>
              <w:rPr/>
            </w:pPr>
            <w:r>
              <w:rPr>
                <w:sz w:val="18"/>
              </w:rPr>
              <w:t>LOCKED</w:t>
            </w:r>
          </w:p>
        </w:tc>
      </w:tr>
      <w:tr>
        <w:trPr/>
        <w:tc>
          <w:tcPr>
            <w:tcW w:w="936" w:type="dxa"/>
            <w:tcBorders/>
            <w:vAlign w:val="top"/>
          </w:tcPr>
          <w:p>
            <w:pPr>
              <w:pStyle w:val="Normal"/>
              <w:spacing w:before="0" w:after="40" w:line="240" w:lineRule="auto"/>
              <w:rPr>
                <w:b/>
                <w:bCs/>
              </w:rPr>
            </w:pPr>
            <w:r>
              <w:rPr>
                <w:b/>
                <w:bCs/>
                <w:sz w:val="18"/>
              </w:rPr>
              <w:t>D22</w:t>
            </w:r>
          </w:p>
        </w:tc>
        <w:tc>
          <w:tcPr>
            <w:tcW w:w="936" w:type="dxa"/>
            <w:tcBorders/>
            <w:vAlign w:val="top"/>
          </w:tcPr>
          <w:p>
            <w:pPr>
              <w:pStyle w:val="Normal"/>
              <w:widowControl/>
              <w:bidi w:val="0"/>
              <w:spacing w:lineRule="auto" w:line="240" w:before="0" w:after="40"/>
              <w:jc w:val="start"/>
              <w:rPr/>
            </w:pPr>
            <w:r>
              <w:rPr>
                <w:sz w:val="18"/>
              </w:rPr>
              <w:t>Witnessed further inquiry</w:t>
            </w:r>
          </w:p>
        </w:tc>
        <w:tc>
          <w:tcPr>
            <w:tcW w:w="6552" w:type="dxa"/>
            <w:tcBorders/>
            <w:vAlign w:val="top"/>
          </w:tcPr>
          <w:p>
            <w:pPr>
              <w:pStyle w:val="Normal"/>
              <w:widowControl/>
              <w:bidi w:val="0"/>
              <w:spacing w:lineRule="auto" w:line="240" w:before="0" w:after="40"/>
              <w:jc w:val="start"/>
              <w:rPr/>
            </w:pPr>
            <w:r>
              <w:rPr>
                <w:sz w:val="18"/>
              </w:rPr>
              <w:t>When a source inquiry is admitted as a further cut, it requires its own supplied witness, cost, and receipt and preserves the prior receipt. Repeated or reopenable inquiry does not by itself prove an infinite causal ontology.</w:t>
            </w:r>
          </w:p>
        </w:tc>
        <w:tc>
          <w:tcPr>
            <w:tcW w:w="936" w:type="dxa"/>
            <w:tcBorders/>
            <w:vAlign w:val="top"/>
          </w:tcPr>
          <w:p>
            <w:pPr>
              <w:pStyle w:val="Normal"/>
              <w:widowControl/>
              <w:bidi w:val="0"/>
              <w:spacing w:lineRule="auto" w:line="240" w:before="0" w:after="40"/>
              <w:jc w:val="start"/>
              <w:rPr/>
            </w:pPr>
            <w:r>
              <w:rPr>
                <w:sz w:val="18"/>
              </w:rPr>
              <w:t>LOCKED</w:t>
            </w:r>
          </w:p>
        </w:tc>
      </w:tr>
      <w:tr>
        <w:trPr/>
        <w:tc>
          <w:tcPr>
            <w:tcW w:w="936" w:type="dxa"/>
            <w:tcBorders/>
            <w:vAlign w:val="top"/>
            <w:shd w:fill="F7F9FB"/>
          </w:tcPr>
          <w:p>
            <w:pPr>
              <w:pStyle w:val="Normal"/>
              <w:spacing w:before="0" w:after="40" w:line="240" w:lineRule="auto"/>
              <w:rPr>
                <w:b/>
                <w:bCs/>
              </w:rPr>
            </w:pPr>
            <w:r>
              <w:rPr>
                <w:b/>
                <w:bCs/>
                <w:sz w:val="18"/>
              </w:rPr>
              <w:t>D23</w:t>
            </w:r>
          </w:p>
        </w:tc>
        <w:tc>
          <w:tcPr>
            <w:tcW w:w="936" w:type="dxa"/>
            <w:tcBorders/>
            <w:vAlign w:val="top"/>
            <w:shd w:fill="F7F9FB"/>
          </w:tcPr>
          <w:p>
            <w:pPr>
              <w:pStyle w:val="Normal"/>
              <w:widowControl/>
              <w:bidi w:val="0"/>
              <w:spacing w:lineRule="auto" w:line="240" w:before="0" w:after="40"/>
              <w:jc w:val="start"/>
              <w:rPr/>
            </w:pPr>
            <w:r>
              <w:rPr>
                <w:sz w:val="18"/>
              </w:rPr>
              <w:t>Append without backflow</w:t>
            </w:r>
          </w:p>
        </w:tc>
        <w:tc>
          <w:tcPr>
            <w:tcW w:w="6552" w:type="dxa"/>
            <w:tcBorders/>
            <w:vAlign w:val="top"/>
            <w:shd w:fill="F7F9FB"/>
          </w:tcPr>
          <w:p>
            <w:pPr>
              <w:pStyle w:val="Normal"/>
              <w:widowControl/>
              <w:bidi w:val="0"/>
              <w:spacing w:lineRule="auto" w:line="240" w:before="0" w:after="40"/>
              <w:jc w:val="start"/>
              <w:rPr/>
            </w:pPr>
            <w:r>
              <w:rPr>
                <w:sz w:val="18"/>
              </w:rPr>
              <w:t>A later witness may append recovery evidence to an earlier receipt. Within PAL’s account it must not alter the earlier receipt, cost, witness basis, or authority snapshot, and it cannot retroactively supply warrant, consent, standing, or authority that was absent.</w:t>
            </w:r>
          </w:p>
        </w:tc>
        <w:tc>
          <w:tcPr>
            <w:tcW w:w="936" w:type="dxa"/>
            <w:tcBorders/>
            <w:vAlign w:val="top"/>
            <w:shd w:fill="F7F9FB"/>
          </w:tcPr>
          <w:p>
            <w:pPr>
              <w:pStyle w:val="Normal"/>
              <w:widowControl/>
              <w:bidi w:val="0"/>
              <w:spacing w:lineRule="auto" w:line="240" w:before="0" w:after="40"/>
              <w:jc w:val="start"/>
              <w:rPr/>
            </w:pPr>
            <w:r>
              <w:rPr>
                <w:sz w:val="18"/>
              </w:rPr>
              <w:t>LOCKED</w:t>
            </w:r>
          </w:p>
        </w:tc>
      </w:tr>
    </w:tbl>
    <w:p>
      <w:pPr>
        <w:pStyle w:val="Normal"/>
        <w:rPr>
          <w:b/>
          <w:bCs/>
        </w:rPr>
      </w:pPr>
      <w:r>
        <w:rPr>
          <w:b/>
          <w:bCs/>
        </w:rPr>
        <w:t>For D23, append means creating a later linked record in account history. It never means mutating fields inside the earlier immutable receipt.</w:t>
      </w:r>
    </w:p>
    <w:p>
      <w:pPr>
        <w:pStyle w:val="Heading2"/>
        <w:keepNext/>
        <w:keepLines/>
        <w:rPr/>
      </w:pPr>
      <w:bookmarkStart w:id="58" w:name="gate-4-adoption-record"/>
      <w:r>
        <w:rPr/>
        <w:t>Gate 4 adoption record</w:t>
      </w:r>
      <w:bookmarkEnd w:id="58"/>
    </w:p>
    <w:p>
      <w:pPr>
        <w:pStyle w:val="Normal"/>
        <w:keepNext/>
        <w:keepLines/>
        <w:rPr/>
      </w:pPr>
      <w:r>
        <w:rPr/>
        <w:t>Christopher D. Pang adopted the exact revised C21-01 through C21-08 wordings on 9 August 2026. They are assigned D16 through D23 respectively. The original proposal formulations were not adopted verbatim. “Occurrence-closed, source-open” remains explanatory shorthand only and is not a primitive, claim-status value, or substitute for separate scoped receipts.</w:t>
      </w:r>
    </w:p>
    <w:p>
      <w:pPr>
        <w:pStyle w:val="BodyText"/>
        <w:rPr/>
      </w:pPr>
      <w:r>
        <w:rPr/>
        <w:t>Attack Run 0002 informed this decision but did not make it. Its Lean results, countermodels, assumptions, environment receipts, and CI records are formal evidence under PAL’s realization firewall. Human adoption by Christopher D. Pang is the canonical authority. Empty axiom receipts describe that strict audit configuration; PAL v2.1 does not require every admissible realization to be axiom-free.</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066"/>
        <w:gridCol w:w="7294"/>
      </w:tblGrid>
      <w:tr>
        <w:trPr>
          <w:tblHeader w:val="true"/>
        </w:trPr>
        <w:tc>
          <w:tcPr>
            <w:tcW w:w="2066" w:type="dxa"/>
            <w:tcBorders/>
            <w:vAlign w:val="top"/>
            <w:shd w:fill="DCE6F1"/>
          </w:tcPr>
          <w:p>
            <w:pPr>
              <w:pStyle w:val="Normal"/>
              <w:spacing w:before="0" w:after="40" w:line="240" w:lineRule="auto"/>
              <w:rPr>
                <w:b/>
                <w:bCs/>
              </w:rPr>
            </w:pPr>
            <w:r>
              <w:rPr>
                <w:b/>
                <w:bCs/>
                <w:color w:val="1F4D78"/>
                <w:sz w:val="19"/>
              </w:rPr>
              <w:t>Proposal ID</w:t>
            </w:r>
          </w:p>
        </w:tc>
        <w:tc>
          <w:tcPr>
            <w:tcW w:w="7294" w:type="dxa"/>
            <w:tcBorders/>
            <w:vAlign w:val="top"/>
            <w:shd w:fill="DCE6F1"/>
          </w:tcPr>
          <w:p>
            <w:pPr>
              <w:pStyle w:val="Normal"/>
              <w:spacing w:before="0" w:after="40" w:line="240" w:lineRule="auto"/>
              <w:rPr>
                <w:b/>
                <w:bCs/>
              </w:rPr>
            </w:pPr>
            <w:r>
              <w:rPr>
                <w:b/>
                <w:bCs/>
                <w:color w:val="1F4D78"/>
                <w:sz w:val="19"/>
              </w:rPr>
              <w:t>PAL v2.1 disposition</w:t>
            </w:r>
          </w:p>
        </w:tc>
      </w:tr>
      <w:tr>
        <w:trPr/>
        <w:tc>
          <w:tcPr>
            <w:tcW w:w="2066" w:type="dxa"/>
            <w:tcBorders/>
            <w:vAlign w:val="top"/>
          </w:tcPr>
          <w:p>
            <w:pPr>
              <w:pStyle w:val="Normal"/>
              <w:spacing w:before="0" w:after="40" w:line="240" w:lineRule="auto"/>
              <w:rPr>
                <w:b/>
                <w:bCs/>
              </w:rPr>
            </w:pPr>
            <w:r>
              <w:rPr>
                <w:b/>
                <w:bCs/>
                <w:sz w:val="19"/>
              </w:rPr>
              <w:t>C21-01</w:t>
            </w:r>
          </w:p>
        </w:tc>
        <w:tc>
          <w:tcPr>
            <w:tcW w:w="7294" w:type="dxa"/>
            <w:tcBorders/>
            <w:vAlign w:val="top"/>
          </w:tcPr>
          <w:p>
            <w:pPr>
              <w:pStyle w:val="Normal"/>
              <w:widowControl/>
              <w:bidi w:val="0"/>
              <w:spacing w:lineRule="auto" w:line="240" w:before="0" w:after="40"/>
              <w:jc w:val="start"/>
              <w:rPr/>
            </w:pPr>
            <w:r>
              <w:rPr>
                <w:sz w:val="19"/>
              </w:rPr>
              <w:t>Revised and adopted as D16</w:t>
            </w:r>
          </w:p>
        </w:tc>
      </w:tr>
      <w:tr>
        <w:trPr/>
        <w:tc>
          <w:tcPr>
            <w:tcW w:w="2066" w:type="dxa"/>
            <w:tcBorders/>
            <w:vAlign w:val="top"/>
            <w:shd w:fill="F7F9FB"/>
          </w:tcPr>
          <w:p>
            <w:pPr>
              <w:pStyle w:val="Normal"/>
              <w:spacing w:before="0" w:after="40" w:line="240" w:lineRule="auto"/>
              <w:rPr>
                <w:b/>
                <w:bCs/>
              </w:rPr>
            </w:pPr>
            <w:r>
              <w:rPr>
                <w:b/>
                <w:bCs/>
                <w:sz w:val="19"/>
              </w:rPr>
              <w:t>C21-02</w:t>
            </w:r>
          </w:p>
        </w:tc>
        <w:tc>
          <w:tcPr>
            <w:tcW w:w="7294" w:type="dxa"/>
            <w:tcBorders/>
            <w:vAlign w:val="top"/>
            <w:shd w:fill="F7F9FB"/>
          </w:tcPr>
          <w:p>
            <w:pPr>
              <w:pStyle w:val="Normal"/>
              <w:widowControl/>
              <w:bidi w:val="0"/>
              <w:spacing w:lineRule="auto" w:line="240" w:before="0" w:after="40"/>
              <w:jc w:val="start"/>
              <w:rPr/>
            </w:pPr>
            <w:r>
              <w:rPr>
                <w:sz w:val="19"/>
              </w:rPr>
              <w:t>Revised and adopted as D17</w:t>
            </w:r>
          </w:p>
        </w:tc>
      </w:tr>
      <w:tr>
        <w:trPr/>
        <w:tc>
          <w:tcPr>
            <w:tcW w:w="2066" w:type="dxa"/>
            <w:tcBorders/>
            <w:vAlign w:val="top"/>
          </w:tcPr>
          <w:p>
            <w:pPr>
              <w:pStyle w:val="Normal"/>
              <w:spacing w:before="0" w:after="40" w:line="240" w:lineRule="auto"/>
              <w:rPr>
                <w:b/>
                <w:bCs/>
              </w:rPr>
            </w:pPr>
            <w:r>
              <w:rPr>
                <w:b/>
                <w:bCs/>
                <w:sz w:val="19"/>
              </w:rPr>
              <w:t>C21-03</w:t>
            </w:r>
          </w:p>
        </w:tc>
        <w:tc>
          <w:tcPr>
            <w:tcW w:w="7294" w:type="dxa"/>
            <w:tcBorders/>
            <w:vAlign w:val="top"/>
          </w:tcPr>
          <w:p>
            <w:pPr>
              <w:pStyle w:val="Normal"/>
              <w:widowControl/>
              <w:bidi w:val="0"/>
              <w:spacing w:lineRule="auto" w:line="240" w:before="0" w:after="40"/>
              <w:jc w:val="start"/>
              <w:rPr/>
            </w:pPr>
            <w:r>
              <w:rPr>
                <w:sz w:val="19"/>
              </w:rPr>
              <w:t>Revised and adopted as D18; label remains explanatory only</w:t>
            </w:r>
          </w:p>
        </w:tc>
      </w:tr>
      <w:tr>
        <w:trPr/>
        <w:tc>
          <w:tcPr>
            <w:tcW w:w="2066" w:type="dxa"/>
            <w:tcBorders/>
            <w:vAlign w:val="top"/>
            <w:shd w:fill="F7F9FB"/>
          </w:tcPr>
          <w:p>
            <w:pPr>
              <w:pStyle w:val="Normal"/>
              <w:spacing w:before="0" w:after="40" w:line="240" w:lineRule="auto"/>
              <w:rPr>
                <w:b/>
                <w:bCs/>
              </w:rPr>
            </w:pPr>
            <w:r>
              <w:rPr>
                <w:b/>
                <w:bCs/>
                <w:sz w:val="19"/>
              </w:rPr>
              <w:t>C21-04</w:t>
            </w:r>
          </w:p>
        </w:tc>
        <w:tc>
          <w:tcPr>
            <w:tcW w:w="7294" w:type="dxa"/>
            <w:tcBorders/>
            <w:vAlign w:val="top"/>
            <w:shd w:fill="F7F9FB"/>
          </w:tcPr>
          <w:p>
            <w:pPr>
              <w:pStyle w:val="Normal"/>
              <w:widowControl/>
              <w:bidi w:val="0"/>
              <w:spacing w:lineRule="auto" w:line="240" w:before="0" w:after="40"/>
              <w:jc w:val="start"/>
              <w:rPr/>
            </w:pPr>
            <w:r>
              <w:rPr>
                <w:sz w:val="19"/>
              </w:rPr>
              <w:t>Revised and adopted as D19</w:t>
            </w:r>
          </w:p>
        </w:tc>
      </w:tr>
      <w:tr>
        <w:trPr/>
        <w:tc>
          <w:tcPr>
            <w:tcW w:w="2066" w:type="dxa"/>
            <w:tcBorders/>
            <w:vAlign w:val="top"/>
          </w:tcPr>
          <w:p>
            <w:pPr>
              <w:pStyle w:val="Normal"/>
              <w:spacing w:before="0" w:after="40" w:line="240" w:lineRule="auto"/>
              <w:rPr>
                <w:b/>
                <w:bCs/>
              </w:rPr>
            </w:pPr>
            <w:r>
              <w:rPr>
                <w:b/>
                <w:bCs/>
                <w:sz w:val="19"/>
              </w:rPr>
              <w:t>C21-05</w:t>
            </w:r>
          </w:p>
        </w:tc>
        <w:tc>
          <w:tcPr>
            <w:tcW w:w="7294" w:type="dxa"/>
            <w:tcBorders/>
            <w:vAlign w:val="top"/>
          </w:tcPr>
          <w:p>
            <w:pPr>
              <w:pStyle w:val="Normal"/>
              <w:widowControl/>
              <w:bidi w:val="0"/>
              <w:spacing w:lineRule="auto" w:line="240" w:before="0" w:after="40"/>
              <w:jc w:val="start"/>
              <w:rPr/>
            </w:pPr>
            <w:r>
              <w:rPr>
                <w:sz w:val="19"/>
              </w:rPr>
              <w:t>Revised and adopted as D20</w:t>
            </w:r>
          </w:p>
        </w:tc>
      </w:tr>
      <w:tr>
        <w:trPr/>
        <w:tc>
          <w:tcPr>
            <w:tcW w:w="2066" w:type="dxa"/>
            <w:tcBorders/>
            <w:vAlign w:val="top"/>
            <w:shd w:fill="F7F9FB"/>
          </w:tcPr>
          <w:p>
            <w:pPr>
              <w:pStyle w:val="Normal"/>
              <w:spacing w:before="0" w:after="40" w:line="240" w:lineRule="auto"/>
              <w:rPr>
                <w:b/>
                <w:bCs/>
              </w:rPr>
            </w:pPr>
            <w:r>
              <w:rPr>
                <w:b/>
                <w:bCs/>
                <w:sz w:val="19"/>
              </w:rPr>
              <w:t>C21-06</w:t>
            </w:r>
          </w:p>
        </w:tc>
        <w:tc>
          <w:tcPr>
            <w:tcW w:w="7294" w:type="dxa"/>
            <w:tcBorders/>
            <w:vAlign w:val="top"/>
            <w:shd w:fill="F7F9FB"/>
          </w:tcPr>
          <w:p>
            <w:pPr>
              <w:pStyle w:val="Normal"/>
              <w:widowControl/>
              <w:bidi w:val="0"/>
              <w:spacing w:lineRule="auto" w:line="240" w:before="0" w:after="40"/>
              <w:jc w:val="start"/>
              <w:rPr/>
            </w:pPr>
            <w:r>
              <w:rPr>
                <w:sz w:val="19"/>
              </w:rPr>
              <w:t>Tightened and adopted as D21</w:t>
            </w:r>
          </w:p>
        </w:tc>
      </w:tr>
      <w:tr>
        <w:trPr/>
        <w:tc>
          <w:tcPr>
            <w:tcW w:w="2066" w:type="dxa"/>
            <w:tcBorders/>
            <w:vAlign w:val="top"/>
          </w:tcPr>
          <w:p>
            <w:pPr>
              <w:pStyle w:val="Normal"/>
              <w:spacing w:before="0" w:after="40" w:line="240" w:lineRule="auto"/>
              <w:rPr>
                <w:b/>
                <w:bCs/>
              </w:rPr>
            </w:pPr>
            <w:r>
              <w:rPr>
                <w:b/>
                <w:bCs/>
                <w:sz w:val="19"/>
              </w:rPr>
              <w:t>C21-07</w:t>
            </w:r>
          </w:p>
        </w:tc>
        <w:tc>
          <w:tcPr>
            <w:tcW w:w="7294" w:type="dxa"/>
            <w:tcBorders/>
            <w:vAlign w:val="top"/>
          </w:tcPr>
          <w:p>
            <w:pPr>
              <w:pStyle w:val="Normal"/>
              <w:widowControl/>
              <w:bidi w:val="0"/>
              <w:spacing w:lineRule="auto" w:line="240" w:before="0" w:after="40"/>
              <w:jc w:val="start"/>
              <w:rPr/>
            </w:pPr>
            <w:r>
              <w:rPr>
                <w:sz w:val="19"/>
              </w:rPr>
              <w:t>Revised and adopted as D22</w:t>
            </w:r>
          </w:p>
        </w:tc>
      </w:tr>
      <w:tr>
        <w:trPr/>
        <w:tc>
          <w:tcPr>
            <w:tcW w:w="2066" w:type="dxa"/>
            <w:tcBorders/>
            <w:vAlign w:val="top"/>
            <w:shd w:fill="F7F9FB"/>
          </w:tcPr>
          <w:p>
            <w:pPr>
              <w:pStyle w:val="Normal"/>
              <w:spacing w:before="0" w:after="40" w:line="240" w:lineRule="auto"/>
              <w:rPr>
                <w:b/>
                <w:bCs/>
              </w:rPr>
            </w:pPr>
            <w:r>
              <w:rPr>
                <w:b/>
                <w:bCs/>
                <w:sz w:val="19"/>
              </w:rPr>
              <w:t>C21-08</w:t>
            </w:r>
          </w:p>
        </w:tc>
        <w:tc>
          <w:tcPr>
            <w:tcW w:w="7294" w:type="dxa"/>
            <w:tcBorders/>
            <w:vAlign w:val="top"/>
            <w:shd w:fill="F7F9FB"/>
          </w:tcPr>
          <w:p>
            <w:pPr>
              <w:pStyle w:val="Normal"/>
              <w:widowControl/>
              <w:bidi w:val="0"/>
              <w:spacing w:lineRule="auto" w:line="240" w:before="0" w:after="40"/>
              <w:jc w:val="start"/>
              <w:rPr/>
            </w:pPr>
            <w:r>
              <w:rPr>
                <w:sz w:val="19"/>
              </w:rPr>
              <w:t>Revised and adopted as D23</w:t>
            </w:r>
          </w:p>
        </w:tc>
      </w:tr>
    </w:tbl>
    <w:p>
      <w:pPr>
        <w:pStyle w:val="Heading2"/>
        <w:keepNext/>
        <w:keepLines/>
        <w:rPr/>
      </w:pPr>
      <w:bookmarkStart w:id="59" w:name="d-first-occurrence-delta"/>
      <w:r>
        <w:rPr/>
        <w:t>D-FIRST-OCCURRENCE delta</w:t>
      </w:r>
      <w:bookmarkEnd w:id="59"/>
    </w:p>
    <w:p>
      <w:pPr>
        <w:pStyle w:val="Normal"/>
        <w:keepNext/>
        <w:keepLines/>
        <w:rPr>
          <w:b/>
          <w:bCs/>
        </w:rPr>
      </w:pPr>
      <w:r>
        <w:rPr>
          <w:b/>
          <w:bCs/>
        </w:rPr>
        <w:t>D-FIRST-OCCURRENCE — PAL v2.1 disposition: OPEN / CLARIFIED</w:t>
      </w:r>
    </w:p>
    <w:p>
      <w:pPr>
        <w:pStyle w:val="BodyText"/>
        <w:rPr/>
      </w:pPr>
      <w:r>
        <w:rPr/>
        <w:t>O04 and O25 remain separate historical rows and two interfaces to one debt. They are not merged, split, or closed.</w:t>
      </w:r>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631"/>
        <w:gridCol w:w="7729"/>
      </w:tblGrid>
      <w:tr>
        <w:trPr>
          <w:tblHeader w:val="true"/>
        </w:trPr>
        <w:tc>
          <w:tcPr>
            <w:tcW w:w="1631" w:type="dxa"/>
            <w:tcBorders/>
            <w:vAlign w:val="top"/>
            <w:shd w:fill="DCE6F1"/>
          </w:tcPr>
          <w:p>
            <w:pPr>
              <w:pStyle w:val="Normal"/>
              <w:spacing w:before="0" w:after="40" w:line="240" w:lineRule="auto"/>
              <w:rPr>
                <w:b/>
                <w:bCs/>
              </w:rPr>
            </w:pPr>
            <w:r>
              <w:rPr>
                <w:b/>
                <w:bCs/>
                <w:color w:val="1F4D78"/>
                <w:sz w:val="19"/>
              </w:rPr>
              <w:t>Interface</w:t>
            </w:r>
          </w:p>
        </w:tc>
        <w:tc>
          <w:tcPr>
            <w:tcW w:w="7729" w:type="dxa"/>
            <w:tcBorders/>
            <w:vAlign w:val="top"/>
            <w:shd w:fill="DCE6F1"/>
          </w:tcPr>
          <w:p>
            <w:pPr>
              <w:pStyle w:val="Normal"/>
              <w:spacing w:before="0" w:after="40" w:line="240" w:lineRule="auto"/>
              <w:rPr>
                <w:b/>
                <w:bCs/>
              </w:rPr>
            </w:pPr>
            <w:r>
              <w:rPr>
                <w:b/>
                <w:bCs/>
                <w:color w:val="1F4D78"/>
                <w:sz w:val="19"/>
              </w:rPr>
              <w:t>PAL v2.1 clarification</w:t>
            </w:r>
          </w:p>
        </w:tc>
      </w:tr>
      <w:tr>
        <w:trPr/>
        <w:tc>
          <w:tcPr>
            <w:tcW w:w="1631" w:type="dxa"/>
            <w:tcBorders/>
            <w:vAlign w:val="top"/>
          </w:tcPr>
          <w:p>
            <w:pPr>
              <w:pStyle w:val="Normal"/>
              <w:spacing w:before="0" w:after="40" w:line="240" w:lineRule="auto"/>
              <w:rPr>
                <w:b/>
                <w:bCs/>
              </w:rPr>
            </w:pPr>
            <w:r>
              <w:rPr>
                <w:b/>
                <w:bCs/>
                <w:sz w:val="19"/>
              </w:rPr>
              <w:t>O04 — ontic inhabitance/source</w:t>
            </w:r>
          </w:p>
        </w:tc>
        <w:tc>
          <w:tcPr>
            <w:tcW w:w="7729" w:type="dxa"/>
            <w:tcBorders/>
            <w:vAlign w:val="top"/>
          </w:tcPr>
          <w:p>
            <w:pPr>
              <w:pStyle w:val="Normal"/>
              <w:widowControl/>
              <w:bidi w:val="0"/>
              <w:spacing w:lineRule="auto" w:line="240" w:before="0" w:after="40"/>
              <w:jc w:val="start"/>
              <w:rPr/>
            </w:pPr>
            <w:r>
              <w:rPr>
                <w:sz w:val="19"/>
              </w:rPr>
              <w:t>A supplied witness may warrant one local account admission and, after the separately earned A1/A2/A15 route, a scoped occurrence closure. It does not establish the ontic origin of the supplied witness, global primacy, or an absolute first event, and it does not close D-FIRST-OCCURRENCE.</w:t>
            </w:r>
          </w:p>
        </w:tc>
      </w:tr>
      <w:tr>
        <w:trPr/>
        <w:tc>
          <w:tcPr>
            <w:tcW w:w="1631" w:type="dxa"/>
            <w:tcBorders/>
            <w:vAlign w:val="top"/>
            <w:shd w:fill="F7F9FB"/>
          </w:tcPr>
          <w:p>
            <w:pPr>
              <w:pStyle w:val="Normal"/>
              <w:spacing w:before="0" w:after="40" w:line="240" w:lineRule="auto"/>
              <w:rPr>
                <w:b/>
                <w:bCs/>
              </w:rPr>
            </w:pPr>
            <w:r>
              <w:rPr>
                <w:b/>
                <w:bCs/>
                <w:sz w:val="19"/>
              </w:rPr>
              <w:t>O25 — certificate/revocation and witness nonmanufacture</w:t>
            </w:r>
          </w:p>
        </w:tc>
        <w:tc>
          <w:tcPr>
            <w:tcW w:w="7729" w:type="dxa"/>
            <w:tcBorders/>
            <w:vAlign w:val="top"/>
            <w:shd w:fill="F7F9FB"/>
          </w:tcPr>
          <w:p>
            <w:pPr>
              <w:pStyle w:val="Normal"/>
              <w:widowControl/>
              <w:bidi w:val="0"/>
              <w:spacing w:lineRule="auto" w:line="240" w:before="0" w:after="40"/>
              <w:jc w:val="start"/>
              <w:rPr/>
            </w:pPr>
            <w:r>
              <w:rPr>
                <w:sz w:val="19"/>
              </w:rPr>
              <w:t>A receipt or certificate may carry, check, or revoke authority under a supplied witness. It may not invent, self-certify, backdate, or conceal that witness. A local A0 or occurrence receipt does not close this interface.</w:t>
            </w:r>
          </w:p>
        </w:tc>
      </w:tr>
    </w:tbl>
    <w:p>
      <w:pPr>
        <w:pStyle w:val="Normal"/>
        <w:rPr/>
      </w:pPr>
      <w:r>
        <w:rPr/>
        <w:t>The historical obligation checksum remains: 51 = 23 CORE CLOSED + 19 PARAMETERIZED + 7 BRANCH + 2 OPEN.</w:t>
      </w:r>
    </w:p>
    <w:p>
      <w:pPr>
        <w:pStyle w:val="Heading2"/>
        <w:keepNext/>
        <w:keepLines/>
        <w:rPr/>
      </w:pPr>
      <w:bookmarkStart w:id="60" w:name="formal-audit-provenance"/>
      <w:r>
        <w:rPr/>
        <w:t>Formal-audit provenance</w:t>
      </w:r>
      <w:bookmarkEnd w:id="6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1845"/>
        <w:gridCol w:w="5603"/>
        <w:gridCol w:w="1912"/>
      </w:tblGrid>
      <w:tr>
        <w:trPr>
          <w:tblHeader w:val="true"/>
        </w:trPr>
        <w:tc>
          <w:tcPr>
            <w:tcW w:w="1845" w:type="dxa"/>
            <w:tcBorders/>
            <w:vAlign w:val="top"/>
            <w:shd w:fill="DCE6F1"/>
          </w:tcPr>
          <w:p>
            <w:pPr>
              <w:pStyle w:val="Normal"/>
              <w:spacing w:before="0" w:after="40" w:line="240" w:lineRule="auto"/>
              <w:rPr>
                <w:b/>
                <w:bCs/>
              </w:rPr>
            </w:pPr>
            <w:r>
              <w:rPr>
                <w:b/>
                <w:bCs/>
                <w:color w:val="1F4D78"/>
                <w:sz w:val="18"/>
              </w:rPr>
              <w:t>Receipt</w:t>
            </w:r>
          </w:p>
        </w:tc>
        <w:tc>
          <w:tcPr>
            <w:tcW w:w="5603" w:type="dxa"/>
            <w:tcBorders/>
            <w:vAlign w:val="top"/>
            <w:shd w:fill="DCE6F1"/>
          </w:tcPr>
          <w:p>
            <w:pPr>
              <w:pStyle w:val="Normal"/>
              <w:spacing w:before="0" w:after="40" w:line="240" w:lineRule="auto"/>
              <w:rPr>
                <w:b/>
                <w:bCs/>
              </w:rPr>
            </w:pPr>
            <w:r>
              <w:rPr>
                <w:b/>
                <w:bCs/>
                <w:color w:val="1F4D78"/>
                <w:sz w:val="18"/>
              </w:rPr>
              <w:t>Value</w:t>
            </w:r>
          </w:p>
        </w:tc>
        <w:tc>
          <w:tcPr>
            <w:tcW w:w="1912" w:type="dxa"/>
            <w:tcBorders/>
            <w:vAlign w:val="top"/>
            <w:shd w:fill="DCE6F1"/>
          </w:tcPr>
          <w:p>
            <w:pPr>
              <w:pStyle w:val="Normal"/>
              <w:spacing w:before="0" w:after="40" w:line="240" w:lineRule="auto"/>
              <w:rPr>
                <w:b/>
                <w:bCs/>
              </w:rPr>
            </w:pPr>
            <w:r>
              <w:rPr>
                <w:b/>
                <w:bCs/>
                <w:color w:val="1F4D78"/>
                <w:sz w:val="18"/>
              </w:rPr>
              <w:t>Authority class</w:t>
            </w:r>
          </w:p>
        </w:tc>
      </w:tr>
      <w:tr>
        <w:trPr/>
        <w:tc>
          <w:tcPr>
            <w:tcW w:w="1845" w:type="dxa"/>
            <w:tcBorders/>
            <w:vAlign w:val="top"/>
          </w:tcPr>
          <w:p>
            <w:pPr>
              <w:pStyle w:val="Normal"/>
              <w:spacing w:before="0" w:after="40" w:line="240" w:lineRule="auto"/>
              <w:rPr>
                <w:b/>
                <w:bCs/>
              </w:rPr>
            </w:pPr>
            <w:r>
              <w:rPr>
                <w:b/>
                <w:bCs/>
                <w:sz w:val="18"/>
              </w:rPr>
              <w:t>Repository</w:t>
            </w:r>
          </w:p>
        </w:tc>
        <w:tc>
          <w:tcPr>
            <w:tcW w:w="5603" w:type="dxa"/>
            <w:tcBorders/>
            <w:vAlign w:val="top"/>
          </w:tcPr>
          <w:p>
            <w:pPr>
              <w:pStyle w:val="Normal"/>
              <w:widowControl/>
              <w:bidi w:val="0"/>
              <w:spacing w:lineRule="auto" w:line="240" w:before="0" w:after="40"/>
              <w:jc w:val="start"/>
              <w:rPr/>
            </w:pPr>
            <w:r>
              <w:rPr>
                <w:sz w:val="18"/>
              </w:rPr>
              <w:t>https://github.com/Grativy6/PAL-Lean-Audit</w:t>
            </w:r>
          </w:p>
        </w:tc>
        <w:tc>
          <w:tcPr>
            <w:tcW w:w="1912" w:type="dxa"/>
            <w:tcBorders/>
            <w:vAlign w:val="top"/>
          </w:tcPr>
          <w:p>
            <w:pPr>
              <w:pStyle w:val="Normal"/>
              <w:widowControl/>
              <w:bidi w:val="0"/>
              <w:spacing w:lineRule="auto" w:line="240" w:before="0" w:after="40"/>
              <w:jc w:val="start"/>
              <w:rPr/>
            </w:pPr>
            <w:r>
              <w:rPr>
                <w:sz w:val="18"/>
              </w:rPr>
              <w:t>FORMAL_AUDIT_EVIDENCE</w:t>
            </w:r>
          </w:p>
        </w:tc>
      </w:tr>
      <w:tr>
        <w:trPr/>
        <w:tc>
          <w:tcPr>
            <w:tcW w:w="1845" w:type="dxa"/>
            <w:tcBorders/>
            <w:vAlign w:val="top"/>
            <w:shd w:fill="F7F9FB"/>
          </w:tcPr>
          <w:p>
            <w:pPr>
              <w:pStyle w:val="Normal"/>
              <w:spacing w:before="0" w:after="40" w:line="240" w:lineRule="auto"/>
              <w:rPr>
                <w:b/>
                <w:bCs/>
              </w:rPr>
            </w:pPr>
            <w:r>
              <w:rPr>
                <w:b/>
                <w:bCs/>
                <w:sz w:val="18"/>
              </w:rPr>
              <w:t>Attack Run 0002 PR</w:t>
            </w:r>
          </w:p>
        </w:tc>
        <w:tc>
          <w:tcPr>
            <w:tcW w:w="5603" w:type="dxa"/>
            <w:tcBorders/>
            <w:vAlign w:val="top"/>
            <w:shd w:fill="F7F9FB"/>
          </w:tcPr>
          <w:p>
            <w:pPr>
              <w:pStyle w:val="Normal"/>
              <w:widowControl/>
              <w:bidi w:val="0"/>
              <w:spacing w:lineRule="auto" w:line="240" w:before="0" w:after="40"/>
              <w:jc w:val="start"/>
              <w:rPr/>
            </w:pPr>
            <w:r>
              <w:rPr>
                <w:sz w:val="18"/>
              </w:rPr>
              <w:t>#5; proposal head 5a9afad9243905b88444138486154f534e45ebcc</w:t>
            </w:r>
          </w:p>
        </w:tc>
        <w:tc>
          <w:tcPr>
            <w:tcW w:w="1912" w:type="dxa"/>
            <w:tcBorders/>
            <w:vAlign w:val="top"/>
            <w:shd w:fill="F7F9FB"/>
          </w:tcPr>
          <w:p>
            <w:pPr>
              <w:pStyle w:val="Normal"/>
              <w:widowControl/>
              <w:bidi w:val="0"/>
              <w:spacing w:lineRule="auto" w:line="240" w:before="0" w:after="40"/>
              <w:jc w:val="start"/>
              <w:rPr/>
            </w:pPr>
            <w:r>
              <w:rPr>
                <w:sz w:val="18"/>
              </w:rPr>
              <w:t>NOT ADOPTION AUTHORITY</w:t>
            </w:r>
          </w:p>
        </w:tc>
      </w:tr>
      <w:tr>
        <w:trPr/>
        <w:tc>
          <w:tcPr>
            <w:tcW w:w="1845" w:type="dxa"/>
            <w:tcBorders/>
            <w:vAlign w:val="top"/>
          </w:tcPr>
          <w:p>
            <w:pPr>
              <w:pStyle w:val="Normal"/>
              <w:spacing w:before="0" w:after="40" w:line="240" w:lineRule="auto"/>
              <w:rPr>
                <w:b/>
                <w:bCs/>
              </w:rPr>
            </w:pPr>
            <w:r>
              <w:rPr>
                <w:b/>
                <w:bCs/>
                <w:sz w:val="18"/>
              </w:rPr>
              <w:t>Tested synthetic merge</w:t>
            </w:r>
          </w:p>
        </w:tc>
        <w:tc>
          <w:tcPr>
            <w:tcW w:w="5603" w:type="dxa"/>
            <w:tcBorders/>
            <w:vAlign w:val="top"/>
          </w:tcPr>
          <w:p>
            <w:pPr>
              <w:pStyle w:val="Normal"/>
              <w:widowControl/>
              <w:bidi w:val="0"/>
              <w:spacing w:lineRule="auto" w:line="240" w:before="0" w:after="40"/>
              <w:jc w:val="start"/>
              <w:rPr/>
            </w:pPr>
            <w:r>
              <w:rPr>
                <w:sz w:val="18"/>
              </w:rPr>
              <w:t>cbce1130b2e059f2d1e8e594e365ee07320291f9</w:t>
            </w:r>
          </w:p>
        </w:tc>
        <w:tc>
          <w:tcPr>
            <w:tcW w:w="1912" w:type="dxa"/>
            <w:tcBorders/>
            <w:vAlign w:val="top"/>
          </w:tcPr>
          <w:p>
            <w:pPr>
              <w:pStyle w:val="Normal"/>
              <w:widowControl/>
              <w:bidi w:val="0"/>
              <w:spacing w:lineRule="auto" w:line="240" w:before="0" w:after="40"/>
              <w:jc w:val="start"/>
              <w:rPr/>
            </w:pPr>
            <w:r>
              <w:rPr>
                <w:sz w:val="18"/>
              </w:rPr>
              <w:t>FORMAL_AUDIT_EVIDENCE</w:t>
            </w:r>
          </w:p>
        </w:tc>
      </w:tr>
      <w:tr>
        <w:trPr/>
        <w:tc>
          <w:tcPr>
            <w:tcW w:w="1845" w:type="dxa"/>
            <w:tcBorders/>
            <w:vAlign w:val="top"/>
            <w:shd w:fill="F7F9FB"/>
          </w:tcPr>
          <w:p>
            <w:pPr>
              <w:pStyle w:val="Normal"/>
              <w:spacing w:before="0" w:after="40" w:line="240" w:lineRule="auto"/>
              <w:rPr>
                <w:b/>
                <w:bCs/>
              </w:rPr>
            </w:pPr>
            <w:r>
              <w:rPr>
                <w:b/>
                <w:bCs/>
                <w:sz w:val="18"/>
              </w:rPr>
              <w:t>Merged evidence commit</w:t>
            </w:r>
          </w:p>
        </w:tc>
        <w:tc>
          <w:tcPr>
            <w:tcW w:w="5603" w:type="dxa"/>
            <w:tcBorders/>
            <w:vAlign w:val="top"/>
            <w:shd w:fill="F7F9FB"/>
          </w:tcPr>
          <w:p>
            <w:pPr>
              <w:pStyle w:val="Normal"/>
              <w:widowControl/>
              <w:bidi w:val="0"/>
              <w:spacing w:lineRule="auto" w:line="240" w:before="0" w:after="40"/>
              <w:jc w:val="start"/>
              <w:rPr/>
            </w:pPr>
            <w:r>
              <w:rPr>
                <w:sz w:val="18"/>
              </w:rPr>
              <w:t>144b08973fde16ebeabefc78166691afc861abec</w:t>
            </w:r>
          </w:p>
        </w:tc>
        <w:tc>
          <w:tcPr>
            <w:tcW w:w="1912" w:type="dxa"/>
            <w:tcBorders/>
            <w:vAlign w:val="top"/>
            <w:shd w:fill="F7F9FB"/>
          </w:tcPr>
          <w:p>
            <w:pPr>
              <w:pStyle w:val="Normal"/>
              <w:widowControl/>
              <w:bidi w:val="0"/>
              <w:spacing w:lineRule="auto" w:line="240" w:before="0" w:after="40"/>
              <w:jc w:val="start"/>
              <w:rPr/>
            </w:pPr>
            <w:r>
              <w:rPr>
                <w:sz w:val="18"/>
              </w:rPr>
              <w:t>FORMAL_AUDIT_EVIDENCE</w:t>
            </w:r>
          </w:p>
        </w:tc>
      </w:tr>
      <w:tr>
        <w:trPr/>
        <w:tc>
          <w:tcPr>
            <w:tcW w:w="1845" w:type="dxa"/>
            <w:tcBorders/>
            <w:vAlign w:val="top"/>
          </w:tcPr>
          <w:p>
            <w:pPr>
              <w:pStyle w:val="Normal"/>
              <w:spacing w:before="0" w:after="40" w:line="240" w:lineRule="auto"/>
              <w:rPr>
                <w:b/>
                <w:bCs/>
              </w:rPr>
            </w:pPr>
            <w:r>
              <w:rPr>
                <w:b/>
                <w:bCs/>
                <w:sz w:val="18"/>
              </w:rPr>
              <w:t>CI run</w:t>
            </w:r>
          </w:p>
        </w:tc>
        <w:tc>
          <w:tcPr>
            <w:tcW w:w="5603" w:type="dxa"/>
            <w:tcBorders/>
            <w:vAlign w:val="top"/>
          </w:tcPr>
          <w:p>
            <w:pPr>
              <w:pStyle w:val="Normal"/>
              <w:widowControl/>
              <w:bidi w:val="0"/>
              <w:spacing w:lineRule="auto" w:line="240" w:before="0" w:after="40"/>
              <w:jc w:val="start"/>
              <w:rPr/>
            </w:pPr>
            <w:r>
              <w:rPr>
                <w:sz w:val="18"/>
              </w:rPr>
              <w:t>31319145212 — successful blocking checks</w:t>
            </w:r>
          </w:p>
        </w:tc>
        <w:tc>
          <w:tcPr>
            <w:tcW w:w="1912" w:type="dxa"/>
            <w:tcBorders/>
            <w:vAlign w:val="top"/>
          </w:tcPr>
          <w:p>
            <w:pPr>
              <w:pStyle w:val="Normal"/>
              <w:widowControl/>
              <w:bidi w:val="0"/>
              <w:spacing w:lineRule="auto" w:line="240" w:before="0" w:after="40"/>
              <w:jc w:val="start"/>
              <w:rPr/>
            </w:pPr>
            <w:r>
              <w:rPr>
                <w:sz w:val="18"/>
              </w:rPr>
              <w:t>FORMAL_AUDIT_EVIDENCE</w:t>
            </w:r>
          </w:p>
        </w:tc>
      </w:tr>
      <w:tr>
        <w:trPr/>
        <w:tc>
          <w:tcPr>
            <w:tcW w:w="1845" w:type="dxa"/>
            <w:tcBorders/>
            <w:vAlign w:val="top"/>
            <w:shd w:fill="F7F9FB"/>
          </w:tcPr>
          <w:p>
            <w:pPr>
              <w:pStyle w:val="Normal"/>
              <w:spacing w:before="0" w:after="40" w:line="240" w:lineRule="auto"/>
              <w:rPr>
                <w:b/>
                <w:bCs/>
              </w:rPr>
            </w:pPr>
            <w:r>
              <w:rPr>
                <w:b/>
                <w:bCs/>
                <w:sz w:val="18"/>
              </w:rPr>
              <w:t>Formal environment</w:t>
            </w:r>
          </w:p>
        </w:tc>
        <w:tc>
          <w:tcPr>
            <w:tcW w:w="5603" w:type="dxa"/>
            <w:tcBorders/>
            <w:vAlign w:val="top"/>
            <w:shd w:fill="F7F9FB"/>
          </w:tcPr>
          <w:p>
            <w:pPr>
              <w:pStyle w:val="Normal"/>
              <w:widowControl/>
              <w:bidi w:val="0"/>
              <w:spacing w:lineRule="auto" w:line="240" w:before="0" w:after="40"/>
              <w:jc w:val="start"/>
              <w:rPr/>
            </w:pPr>
            <w:r>
              <w:rPr>
                <w:sz w:val="18"/>
              </w:rPr>
              <w:t>Lean 4 v4.32.1; Mathlib v4.32.1 / resolved 520045ab14e26149ee970e2e617ca04b09bde5d6</w:t>
            </w:r>
          </w:p>
        </w:tc>
        <w:tc>
          <w:tcPr>
            <w:tcW w:w="1912" w:type="dxa"/>
            <w:tcBorders/>
            <w:vAlign w:val="top"/>
            <w:shd w:fill="F7F9FB"/>
          </w:tcPr>
          <w:p>
            <w:pPr>
              <w:pStyle w:val="Normal"/>
              <w:widowControl/>
              <w:bidi w:val="0"/>
              <w:spacing w:lineRule="auto" w:line="240" w:before="0" w:after="40"/>
              <w:jc w:val="start"/>
              <w:rPr/>
            </w:pPr>
            <w:r>
              <w:rPr>
                <w:sz w:val="18"/>
              </w:rPr>
              <w:t>BOUNDED IMPLEMENTATION</w:t>
            </w:r>
          </w:p>
        </w:tc>
      </w:tr>
      <w:tr>
        <w:trPr/>
        <w:tc>
          <w:tcPr>
            <w:tcW w:w="1845" w:type="dxa"/>
            <w:tcBorders/>
            <w:vAlign w:val="top"/>
          </w:tcPr>
          <w:p>
            <w:pPr>
              <w:pStyle w:val="Normal"/>
              <w:spacing w:before="0" w:after="40" w:line="240" w:lineRule="auto"/>
              <w:rPr>
                <w:b/>
                <w:bCs/>
              </w:rPr>
            </w:pPr>
            <w:r>
              <w:rPr>
                <w:b/>
                <w:bCs/>
                <w:sz w:val="18"/>
              </w:rPr>
              <w:t>Outcome population</w:t>
            </w:r>
          </w:p>
        </w:tc>
        <w:tc>
          <w:tcPr>
            <w:tcW w:w="5603" w:type="dxa"/>
            <w:tcBorders/>
            <w:vAlign w:val="top"/>
          </w:tcPr>
          <w:p>
            <w:pPr>
              <w:pStyle w:val="Normal"/>
              <w:widowControl/>
              <w:bidi w:val="0"/>
              <w:spacing w:lineRule="auto" w:line="240" w:before="0" w:after="40"/>
              <w:jc w:val="start"/>
              <w:rPr/>
            </w:pPr>
            <w:r>
              <w:rPr>
                <w:sz w:val="18"/>
              </w:rPr>
              <w:t>3 PROVED; 5 COUNTERMODEL; all eight empty Lean axiom receipts</w:t>
            </w:r>
          </w:p>
        </w:tc>
        <w:tc>
          <w:tcPr>
            <w:tcW w:w="1912" w:type="dxa"/>
            <w:tcBorders/>
            <w:vAlign w:val="top"/>
          </w:tcPr>
          <w:p>
            <w:pPr>
              <w:pStyle w:val="Normal"/>
              <w:widowControl/>
              <w:bidi w:val="0"/>
              <w:spacing w:lineRule="auto" w:line="240" w:before="0" w:after="40"/>
              <w:jc w:val="start"/>
              <w:rPr/>
            </w:pPr>
            <w:r>
              <w:rPr>
                <w:sz w:val="18"/>
              </w:rPr>
              <w:t>SELECTED FORMAL RESULTS</w:t>
            </w:r>
          </w:p>
        </w:tc>
      </w:tr>
      <w:tr>
        <w:trPr/>
        <w:tc>
          <w:tcPr>
            <w:tcW w:w="1845" w:type="dxa"/>
            <w:tcBorders/>
            <w:vAlign w:val="top"/>
            <w:shd w:fill="F7F9FB"/>
          </w:tcPr>
          <w:p>
            <w:pPr>
              <w:pStyle w:val="Normal"/>
              <w:spacing w:before="0" w:after="40" w:line="240" w:lineRule="auto"/>
              <w:rPr>
                <w:b/>
                <w:bCs/>
              </w:rPr>
            </w:pPr>
            <w:r>
              <w:rPr>
                <w:b/>
                <w:bCs/>
                <w:sz w:val="18"/>
              </w:rPr>
              <w:t>Open population</w:t>
            </w:r>
          </w:p>
        </w:tc>
        <w:tc>
          <w:tcPr>
            <w:tcW w:w="5603" w:type="dxa"/>
            <w:tcBorders/>
            <w:vAlign w:val="top"/>
            <w:shd w:fill="F7F9FB"/>
          </w:tcPr>
          <w:p>
            <w:pPr>
              <w:pStyle w:val="Normal"/>
              <w:widowControl/>
              <w:bidi w:val="0"/>
              <w:spacing w:lineRule="auto" w:line="240" w:before="0" w:after="40"/>
              <w:jc w:val="start"/>
              <w:rPr/>
            </w:pPr>
            <w:r>
              <w:rPr>
                <w:sz w:val="18"/>
              </w:rPr>
              <w:t>Manual semantic controls; D-FIRST-OCCURRENCE, O04, and O25 remain OPEN</w:t>
            </w:r>
          </w:p>
        </w:tc>
        <w:tc>
          <w:tcPr>
            <w:tcW w:w="1912" w:type="dxa"/>
            <w:tcBorders/>
            <w:vAlign w:val="top"/>
            <w:shd w:fill="F7F9FB"/>
          </w:tcPr>
          <w:p>
            <w:pPr>
              <w:pStyle w:val="Normal"/>
              <w:widowControl/>
              <w:bidi w:val="0"/>
              <w:spacing w:lineRule="auto" w:line="240" w:before="0" w:after="40"/>
              <w:jc w:val="start"/>
              <w:rPr/>
            </w:pPr>
            <w:r>
              <w:rPr>
                <w:sz w:val="18"/>
              </w:rPr>
              <w:t>SEPARATE FROM FORMAL COUNTS</w:t>
            </w:r>
          </w:p>
        </w:tc>
      </w:tr>
      <w:tr>
        <w:trPr/>
        <w:tc>
          <w:tcPr>
            <w:tcW w:w="1845" w:type="dxa"/>
            <w:tcBorders/>
            <w:vAlign w:val="top"/>
          </w:tcPr>
          <w:p>
            <w:pPr>
              <w:pStyle w:val="Normal"/>
              <w:spacing w:before="0" w:after="40" w:line="240" w:lineRule="auto"/>
              <w:rPr>
                <w:b/>
                <w:bCs/>
              </w:rPr>
            </w:pPr>
            <w:r>
              <w:rPr>
                <w:b/>
                <w:bCs/>
                <w:sz w:val="18"/>
              </w:rPr>
              <w:t>Experimental tooling</w:t>
            </w:r>
          </w:p>
        </w:tc>
        <w:tc>
          <w:tcPr>
            <w:tcW w:w="5603" w:type="dxa"/>
            <w:tcBorders/>
            <w:vAlign w:val="top"/>
          </w:tcPr>
          <w:p>
            <w:pPr>
              <w:pStyle w:val="Normal"/>
              <w:widowControl/>
              <w:bidi w:val="0"/>
              <w:spacing w:lineRule="auto" w:line="240" w:before="0" w:after="40"/>
              <w:jc w:val="start"/>
              <w:rPr/>
            </w:pPr>
            <w:r>
              <w:rPr>
                <w:sz w:val="18"/>
              </w:rPr>
              <w:t>Nonblocking nanoda failure retained in the repository audit receipt</w:t>
            </w:r>
          </w:p>
        </w:tc>
        <w:tc>
          <w:tcPr>
            <w:tcW w:w="1912" w:type="dxa"/>
            <w:tcBorders/>
            <w:vAlign w:val="top"/>
          </w:tcPr>
          <w:p>
            <w:pPr>
              <w:pStyle w:val="Normal"/>
              <w:widowControl/>
              <w:bidi w:val="0"/>
              <w:spacing w:lineRule="auto" w:line="240" w:before="0" w:after="40"/>
              <w:jc w:val="start"/>
              <w:rPr/>
            </w:pPr>
            <w:r>
              <w:rPr>
                <w:sz w:val="18"/>
              </w:rPr>
              <w:t>TOOLING EVIDENCE ONLY</w:t>
            </w:r>
          </w:p>
        </w:tc>
      </w:tr>
    </w:tbl>
    <w:p>
      <w:pPr>
        <w:pStyle w:val="Heading2"/>
        <w:keepNext/>
        <w:keepLines/>
        <w:rPr/>
      </w:pPr>
      <w:bookmarkStart w:id="61" w:name="controlling-pal-v2.0-input-hashes"/>
      <w:r>
        <w:rPr/>
        <w:t>Controlling PAL v2.0 input hashes</w:t>
      </w:r>
      <w:bookmarkEnd w:id="6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Source</w:t>
            </w:r>
          </w:p>
        </w:tc>
        <w:tc>
          <w:tcPr>
            <w:tcW w:w="6739" w:type="dxa"/>
            <w:tcBorders/>
            <w:vAlign w:val="top"/>
            <w:shd w:fill="DCE6F1"/>
          </w:tcPr>
          <w:p>
            <w:pPr>
              <w:pStyle w:val="Normal"/>
              <w:spacing w:before="0" w:after="40" w:line="240" w:lineRule="auto"/>
              <w:rPr>
                <w:b/>
                <w:bCs/>
              </w:rPr>
            </w:pPr>
            <w:r>
              <w:rPr>
                <w:b/>
                <w:bCs/>
                <w:color w:val="1F4D78"/>
                <w:sz w:val="19"/>
              </w:rPr>
              <w:t>SHA-256</w:t>
            </w:r>
          </w:p>
        </w:tc>
      </w:tr>
      <w:tr>
        <w:trPr/>
        <w:tc>
          <w:tcPr>
            <w:tcW w:w="2621" w:type="dxa"/>
            <w:tcBorders/>
            <w:vAlign w:val="top"/>
          </w:tcPr>
          <w:p>
            <w:pPr>
              <w:pStyle w:val="Normal"/>
              <w:spacing w:before="0" w:after="40" w:line="240" w:lineRule="auto"/>
              <w:rPr>
                <w:b/>
                <w:bCs/>
              </w:rPr>
            </w:pPr>
            <w:r>
              <w:rPr>
                <w:b/>
                <w:bCs/>
                <w:sz w:val="19"/>
              </w:rPr>
              <w:t>PAL-v2.0-Spine</w:t>
            </w:r>
          </w:p>
        </w:tc>
        <w:tc>
          <w:tcPr>
            <w:tcW w:w="6739" w:type="dxa"/>
            <w:tcBorders/>
            <w:vAlign w:val="top"/>
          </w:tcPr>
          <w:p>
            <w:pPr>
              <w:pStyle w:val="Normal"/>
              <w:widowControl/>
              <w:bidi w:val="0"/>
              <w:spacing w:lineRule="auto" w:line="240" w:before="0" w:after="40"/>
              <w:jc w:val="start"/>
              <w:rPr/>
            </w:pPr>
            <w:r>
              <w:rPr>
                <w:sz w:val="19"/>
              </w:rPr>
              <w:t>4631747f9da65ae353e27902da40294c077fd05eafe12f6d6d781b04d02897be</w:t>
            </w:r>
          </w:p>
        </w:tc>
      </w:tr>
      <w:tr>
        <w:trPr/>
        <w:tc>
          <w:tcPr>
            <w:tcW w:w="2621" w:type="dxa"/>
            <w:tcBorders/>
            <w:vAlign w:val="top"/>
            <w:shd w:fill="F7F9FB"/>
          </w:tcPr>
          <w:p>
            <w:pPr>
              <w:pStyle w:val="Normal"/>
              <w:spacing w:before="0" w:after="40" w:line="240" w:lineRule="auto"/>
              <w:rPr>
                <w:b/>
                <w:bCs/>
              </w:rPr>
            </w:pPr>
            <w:r>
              <w:rPr>
                <w:b/>
                <w:bCs/>
                <w:sz w:val="19"/>
              </w:rPr>
              <w:t>PAL-v2.0-M</w:t>
            </w:r>
          </w:p>
        </w:tc>
        <w:tc>
          <w:tcPr>
            <w:tcW w:w="6739" w:type="dxa"/>
            <w:tcBorders/>
            <w:vAlign w:val="top"/>
            <w:shd w:fill="F7F9FB"/>
          </w:tcPr>
          <w:p>
            <w:pPr>
              <w:pStyle w:val="Normal"/>
              <w:widowControl/>
              <w:bidi w:val="0"/>
              <w:spacing w:lineRule="auto" w:line="240" w:before="0" w:after="40"/>
              <w:jc w:val="start"/>
              <w:rPr/>
            </w:pPr>
            <w:r>
              <w:rPr>
                <w:sz w:val="19"/>
              </w:rPr>
              <w:t>237b4f0c74dd601786d5c5559934594b7e6cf89ebeb34c2a794bf2d0e6ff5fe0</w:t>
            </w:r>
          </w:p>
        </w:tc>
      </w:tr>
      <w:tr>
        <w:trPr/>
        <w:tc>
          <w:tcPr>
            <w:tcW w:w="2621" w:type="dxa"/>
            <w:tcBorders/>
            <w:vAlign w:val="top"/>
          </w:tcPr>
          <w:p>
            <w:pPr>
              <w:pStyle w:val="Normal"/>
              <w:spacing w:before="0" w:after="40" w:line="240" w:lineRule="auto"/>
              <w:rPr>
                <w:b/>
                <w:bCs/>
              </w:rPr>
            </w:pPr>
            <w:r>
              <w:rPr>
                <w:b/>
                <w:bCs/>
                <w:sz w:val="19"/>
              </w:rPr>
              <w:t>PAL-v2.0-L</w:t>
            </w:r>
          </w:p>
        </w:tc>
        <w:tc>
          <w:tcPr>
            <w:tcW w:w="6739" w:type="dxa"/>
            <w:tcBorders/>
            <w:vAlign w:val="top"/>
          </w:tcPr>
          <w:p>
            <w:pPr>
              <w:pStyle w:val="Normal"/>
              <w:widowControl/>
              <w:bidi w:val="0"/>
              <w:spacing w:lineRule="auto" w:line="240" w:before="0" w:after="40"/>
              <w:jc w:val="start"/>
              <w:rPr/>
            </w:pPr>
            <w:r>
              <w:rPr>
                <w:sz w:val="19"/>
              </w:rPr>
              <w:t>97a5394e97e8e09115d04b073cf8ba2390893d585a602fa68979011d359e92d7</w:t>
            </w:r>
          </w:p>
        </w:tc>
      </w:tr>
      <w:tr>
        <w:trPr/>
        <w:tc>
          <w:tcPr>
            <w:tcW w:w="2621" w:type="dxa"/>
            <w:tcBorders/>
            <w:vAlign w:val="top"/>
            <w:shd w:fill="F7F9FB"/>
          </w:tcPr>
          <w:p>
            <w:pPr>
              <w:pStyle w:val="Normal"/>
              <w:spacing w:before="0" w:after="40" w:line="240" w:lineRule="auto"/>
              <w:rPr>
                <w:b/>
                <w:bCs/>
              </w:rPr>
            </w:pPr>
            <w:r>
              <w:rPr>
                <w:b/>
                <w:bCs/>
                <w:sz w:val="19"/>
              </w:rPr>
              <w:t>PAL-v2.0-T</w:t>
            </w:r>
          </w:p>
        </w:tc>
        <w:tc>
          <w:tcPr>
            <w:tcW w:w="6739" w:type="dxa"/>
            <w:tcBorders/>
            <w:vAlign w:val="top"/>
            <w:shd w:fill="F7F9FB"/>
          </w:tcPr>
          <w:p>
            <w:pPr>
              <w:pStyle w:val="Normal"/>
              <w:widowControl/>
              <w:bidi w:val="0"/>
              <w:spacing w:lineRule="auto" w:line="240" w:before="0" w:after="40"/>
              <w:jc w:val="start"/>
              <w:rPr/>
            </w:pPr>
            <w:r>
              <w:rPr>
                <w:sz w:val="19"/>
              </w:rPr>
              <w:t>4fd3b96e037d2568b0f79404fa588cad42af4d4bd6bf8b69f5169308348514e8</w:t>
            </w:r>
          </w:p>
        </w:tc>
      </w:tr>
      <w:tr>
        <w:trPr/>
        <w:tc>
          <w:tcPr>
            <w:tcW w:w="2621" w:type="dxa"/>
            <w:tcBorders/>
            <w:vAlign w:val="top"/>
          </w:tcPr>
          <w:p>
            <w:pPr>
              <w:pStyle w:val="Normal"/>
              <w:spacing w:before="0" w:after="40" w:line="240" w:lineRule="auto"/>
              <w:rPr>
                <w:b/>
                <w:bCs/>
              </w:rPr>
            </w:pPr>
            <w:r>
              <w:rPr>
                <w:b/>
                <w:bCs/>
                <w:sz w:val="19"/>
              </w:rPr>
              <w:t>PAL-v2.0-C</w:t>
            </w:r>
          </w:p>
        </w:tc>
        <w:tc>
          <w:tcPr>
            <w:tcW w:w="6739" w:type="dxa"/>
            <w:tcBorders/>
            <w:vAlign w:val="top"/>
          </w:tcPr>
          <w:p>
            <w:pPr>
              <w:pStyle w:val="Normal"/>
              <w:widowControl/>
              <w:bidi w:val="0"/>
              <w:spacing w:lineRule="auto" w:line="240" w:before="0" w:after="40"/>
              <w:jc w:val="start"/>
              <w:rPr/>
            </w:pPr>
            <w:r>
              <w:rPr>
                <w:sz w:val="19"/>
              </w:rPr>
              <w:t>a0e7ff203ada4160e5ab7600b623bb1ebd0ec95c6906642b2a988ceb88953c67</w:t>
            </w:r>
          </w:p>
        </w:tc>
      </w:tr>
    </w:tbl>
    <w:p>
      <w:pPr>
        <w:pStyle w:val="Normal"/>
        <w:keepNext/>
        <w:keepLines/>
        <w:rPr/>
      </w:pPr>
      <w:r>
        <w:rPr/>
        <w:t>Immediate prior release: PAL v2.0, DOI 10.5281/zenodo.21754097. PAL v2.1 release DOI: 10.5281/zenodo.21864767.</w:t>
      </w:r>
    </w:p>
    <w:p>
      <w:pPr>
        <w:pStyle w:val="Heading1"/>
        <w:keepNext/>
        <w:keepLines/>
        <w:rPr/>
      </w:pPr>
      <w:bookmarkStart w:id="62" w:name="pal-v2.2-decision-layer-d24-d30"/>
      <w:r>
        <w:rPr/>
        <w:t>7. PAL v2.2 decision layer D24-D30</w:t>
      </w:r>
      <w:bookmarkEnd w:id="62"/>
    </w:p>
    <w:p>
      <w:pPr>
        <w:pStyle w:val="Normal"/>
        <w:keepNext/>
        <w:keepLines/>
        <w:rPr/>
      </w:pPr>
      <w:r>
        <w:rPr/>
        <w:t>The decision text below is preserved from the PAL v2.2 layer. For the exact PAL v2.3 bytes bound by the final internal manifest and AUTHOR_RELEASE_RECEIPT.json, D24-D30 are LOCKED under Christopher D. Pang’s 2 September 2026 release instruction. This successor state does not backdate or rewrite the predecessor receipt.</w:t>
      </w:r>
    </w:p>
    <w:p>
      <w:pPr>
        <w:pStyle w:val="Heading2"/>
        <w:keepNext/>
        <w:keepLines/>
        <w:rPr/>
      </w:pPr>
      <w:bookmarkStart w:id="63" w:name="d24---account-transition-grammar"/>
      <w:r>
        <w:rPr/>
        <w:t>D24 - Account transition grammar</w:t>
      </w:r>
      <w:bookmarkEnd w:id="6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PAL admits exactly ROOT, APPEND, CHILD, VERSION, and SUCCESSOR under the account rules stated in SC-20. Account links are lineage only and never establish Ω-origin, global firstness, or a witness.</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4" w:name="d25---immutable-receiptheader-and-link-i"/>
      <w:r>
        <w:rPr/>
        <w:t>D25 - Immutable ReceiptHeader and link identity</w:t>
      </w:r>
      <w:bookmarkEnd w:id="6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Every native receipt has one immutable typed header. Corrections append. Digests are integrity pins only and carry no authority or authenticity by themselves.</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5" w:name="d26---typed-receipt-payload-separation"/>
      <w:r>
        <w:rPr/>
        <w:t>D26 - Typed receipt payload separation</w:t>
      </w:r>
      <w:bookmarkEnd w:id="6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Cut, AccountTransition, Occurrence, Closure, Test, Transport, Residual, and LegacyReceiptRef payloads remain distinct. Test evidence does not own A15 status.</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6" w:name="d27---complete-a15-claim-status-receipts"/>
      <w:r>
        <w:rPr/>
        <w:t>D27 - Complete A15 claim-status receipts</w:t>
      </w:r>
      <w:bookmarkEnd w:id="6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Every status binds exact claim semantics, scope, dependencies/versions, evidence, checker/rule, tolerance, resources, authority, residuals, and material reopening policy; status-specific payloads remain distinct.</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7" w:name="d28---typed-admission-obligationcost"/>
      <w:r>
        <w:rPr/>
        <w:t>D28 - Typed admission obligation/cost</w:t>
      </w:r>
      <w:bookmarkEnd w:id="6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Every A0-A15 card carries DECLARED_OBLIGATION, QUANTIFIED_COST, or NO_ADDITIONAL_OBLIGATION with reason. Ω uses NOT_APPLICABLE. Numeric zero is valid only in a declared cost algebra.</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8" w:name="d29---stable-residual-lineage"/>
      <w:r>
        <w:rPr/>
        <w:t>D29 - Stable residual lineage</w:t>
      </w:r>
      <w:bookmarkEnd w:id="6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Material residuals keep stable identities through carry, split, partial discharge, scoped discharge, reopening, and supersession. A split proves coverage or retains an unallocated remainder.</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2"/>
        <w:keepNext/>
        <w:keepLines/>
        <w:rPr/>
      </w:pPr>
      <w:bookmarkStart w:id="69" w:name="d30---frozen-history-and-normative-migra"/>
      <w:r>
        <w:rPr/>
        <w:t>D30 - Frozen history and normative migration</w:t>
      </w:r>
      <w:bookmarkEnd w:id="6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Canonical account</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Pre-v2.2 records remain historical evidence. LegacyReceiptRef never retrofits fields or upgrades authority. Released v2.1 defaults to SUCCESSOR unless independent immutable evidence proves every VERSION invariant.</w:t>
            </w:r>
          </w:p>
        </w:tc>
      </w:tr>
      <w:tr>
        <w:trPr/>
        <w:tc>
          <w:tcPr>
            <w:tcW w:w="2621" w:type="dxa"/>
            <w:tcBorders/>
            <w:vAlign w:val="top"/>
            <w:shd w:fill="F7F9FB"/>
          </w:tcPr>
          <w:p>
            <w:pPr>
              <w:pStyle w:val="Normal"/>
              <w:widowControl/>
              <w:bidi w:val="0"/>
              <w:spacing w:lineRule="auto" w:line="240" w:before="0" w:after="40"/>
              <w:jc w:val="start"/>
              <w:rPr/>
            </w:pPr>
            <w:r>
              <w:rPr>
                <w:sz w:val="19"/>
              </w:rPr>
              <w:t>PAL v2.3 state</w:t>
            </w:r>
          </w:p>
        </w:tc>
        <w:tc>
          <w:tcPr>
            <w:tcW w:w="6739" w:type="dxa"/>
            <w:tcBorders/>
            <w:vAlign w:val="top"/>
            <w:shd w:fill="F7F9FB"/>
          </w:tcPr>
          <w:p>
            <w:pPr>
              <w:pStyle w:val="Normal"/>
              <w:widowControl/>
              <w:bidi w:val="0"/>
              <w:spacing w:lineRule="auto" w:line="240" w:before="0" w:after="40"/>
              <w:jc w:val="start"/>
              <w:rPr/>
            </w:pPr>
            <w:r>
              <w:rPr>
                <w:sz w:val="19"/>
              </w:rPr>
              <w:t>LOCKED</w:t>
            </w:r>
          </w:p>
        </w:tc>
      </w:tr>
      <w:tr>
        <w:trPr/>
        <w:tc>
          <w:tcPr>
            <w:tcW w:w="2621" w:type="dxa"/>
            <w:tcBorders/>
            <w:vAlign w:val="top"/>
          </w:tcPr>
          <w:p>
            <w:pPr>
              <w:pStyle w:val="Normal"/>
              <w:widowControl/>
              <w:bidi w:val="0"/>
              <w:spacing w:lineRule="auto" w:line="240" w:before="0" w:after="40"/>
              <w:jc w:val="start"/>
              <w:rPr/>
            </w:pPr>
            <w:r>
              <w:rPr>
                <w:sz w:val="19"/>
              </w:rPr>
              <w:t>Authority</w:t>
            </w:r>
          </w:p>
        </w:tc>
        <w:tc>
          <w:tcPr>
            <w:tcW w:w="6739" w:type="dxa"/>
            <w:tcBorders/>
            <w:vAlign w:val="top"/>
          </w:tcPr>
          <w:p>
            <w:pPr>
              <w:pStyle w:val="Normal"/>
              <w:widowControl/>
              <w:bidi w:val="0"/>
              <w:spacing w:lineRule="auto" w:line="240" w:before="0" w:after="40"/>
              <w:jc w:val="start"/>
              <w:rPr/>
            </w:pPr>
            <w:r>
              <w:rPr>
                <w:sz w:val="19"/>
              </w:rPr>
              <w:t>Christopher D. Pang; normative authority and release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w:t>
            </w:r>
          </w:p>
        </w:tc>
        <w:tc>
          <w:tcPr>
            <w:tcW w:w="6739" w:type="dxa"/>
            <w:tcBorders/>
            <w:vAlign w:val="top"/>
            <w:shd w:fill="F7F9FB"/>
          </w:tcPr>
          <w:p>
            <w:pPr>
              <w:pStyle w:val="Normal"/>
              <w:widowControl/>
              <w:bidi w:val="0"/>
              <w:spacing w:lineRule="auto" w:line="240" w:before="0" w:after="40"/>
              <w:jc w:val="start"/>
              <w:rPr/>
            </w:pPr>
            <w:r>
              <w:rPr>
                <w:sz w:val="19"/>
              </w:rPr>
              <w:t>A material change to the decision text, schema behavior, dependencies, boundary, authority, or receipt topology creates a new decision/test record.</w:t>
            </w:r>
          </w:p>
        </w:tc>
      </w:tr>
    </w:tbl>
    <w:p>
      <w:pPr>
        <w:pStyle w:val="Heading1"/>
        <w:keepNext/>
        <w:keepLines/>
        <w:rPr/>
      </w:pPr>
      <w:bookmarkStart w:id="70" w:name="preserved-obligations-and-new-design-bou"/>
      <w:r>
        <w:rPr/>
        <w:t>8. Preserved obligations and new design boundary</w:t>
      </w:r>
      <w:bookmarkEnd w:id="70"/>
    </w:p>
    <w:p>
      <w:pPr>
        <w:pStyle w:val="Normal"/>
        <w:keepNext/>
        <w:keepLines/>
        <w:rPr/>
      </w:pPr>
      <w:r>
        <w:rPr/>
        <w:t>O01-O51 remain frozen. The historical checksum remains exactly:</w:t>
      </w:r>
    </w:p>
    <w:p>
      <w:pPr>
        <w:pStyle w:val="BodyText"/>
        <w:rPr/>
      </w:pPr>
      <w:r>
        <w:rPr/>
        <w:t>51 = 23 CORE CLOSED + 19 PARAMETERIZED + 7 BRANCH + 2 OPEN</w:t>
      </w:r>
    </w:p>
    <w:p>
      <w:pPr>
        <w:pStyle w:val="BodyText"/>
        <w:rPr/>
      </w:pPr>
      <w:r>
        <w:rPr/>
        <w:t>D-FIRST-OCCURRENCE remains OPEN through its O04 and O25 interfaces. No v2.3 addition claims that first occurrence or revocation source has been closed.</w:t>
      </w:r>
    </w:p>
    <w:p>
      <w:pPr>
        <w:pStyle w:val="Heading2"/>
        <w:keepNext/>
        <w:keepLines/>
        <w:rPr/>
      </w:pPr>
      <w:bookmarkStart w:id="71" w:name="open-design-boundary---multi-parent-line"/>
      <w:r>
        <w:rPr/>
        <w:t>OPEN design boundary - Multi-parent lineage</w:t>
      </w:r>
      <w:bookmarkEnd w:id="71"/>
    </w:p>
    <w:p>
      <w:pPr>
        <w:pStyle w:val="Normal"/>
        <w:keepNext/>
        <w:keepLines/>
        <w:rPr/>
      </w:pPr>
      <w:r>
        <w:rPr/>
        <w:t>Core v2.2 admits at most one parent account. A multi-parent merge, joint child, or braided account history is nonconformant unless a later adopted branch supplies conflict, authority, witness, residual, and currentness semantics. This scoped OPEN item is outside the frozen O01-O51 checksum.</w:t>
      </w:r>
    </w:p>
    <w:p>
      <w:pPr>
        <w:pStyle w:val="Heading1"/>
        <w:keepNext/>
        <w:keepLines/>
        <w:rPr/>
      </w:pPr>
      <w:bookmarkStart w:id="72" w:name="native-schemas-and-migration-receipt"/>
      <w:r>
        <w:rPr/>
        <w:t>9. Native schemas and migration receipt</w:t>
      </w:r>
      <w:bookmarkEnd w:id="72"/>
    </w:p>
    <w:p>
      <w:pPr>
        <w:pStyle w:val="Normal"/>
        <w:keepNext/>
        <w:keepLines/>
        <w:rPr/>
      </w:pPr>
      <w:r>
        <w:rPr/>
        <w:t>Native ReceiptHeader and typed payload fields are controlled by SC-20/D25-D30. A LegacyReceiptRef payload uses the same identity as its header: wrapper_receipt_id = ReceiptHeader.receipt_id. It binds source release/component, immutable locator, digest profile and exact bytes, historical authority class, current import role, and no-rewrite flag. It cannot by itself establish VERSION continuity.</w:t>
      </w:r>
    </w:p>
    <w:p>
      <w:pPr>
        <w:pStyle w:val="Heading1"/>
        <w:keepNext/>
        <w:keepLines/>
        <w:rPr/>
      </w:pPr>
      <w:bookmarkStart w:id="73" w:name="pal-v2.3-decision-layer-d31-d39"/>
      <w:r>
        <w:rPr/>
        <w:t>10. PAL v2.3 decision layer D31-D39</w:t>
      </w:r>
      <w:bookmarkEnd w:id="73"/>
    </w:p>
    <w:p>
      <w:pPr>
        <w:pStyle w:val="Normal"/>
        <w:keepNext/>
        <w:keepLines/>
        <w:rPr/>
      </w:pPr>
      <w:r>
        <w:rPr/>
        <w:t>D31-D37 implement the fixed PAL v2.3 Release Build Specification. D38-D39 record Christopher D. Pang’s later 2 September 2026 instructions for the author-written opening scope firewall and the Atlas-local RAINBOW section. Every card is LOCKED only for the exact final PAL v2.3 bytes bound by the internal manifest and the non-signature AUTHOR_RELEASE_RECEIPT.json. The receipt records author release; it creates no cryptographic-signature claim, new authority source, or independent corroboration.</w:t>
      </w:r>
    </w:p>
    <w:p>
      <w:pPr>
        <w:pStyle w:val="Heading2"/>
        <w:keepNext/>
        <w:keepLines/>
        <w:rPr/>
      </w:pPr>
      <w:bookmarkStart w:id="74" w:name="d31---boundary-role-typing-and-noncoerci"/>
      <w:r>
        <w:rPr/>
        <w:t>D31 - Boundary-role typing and noncoercion</w:t>
      </w:r>
      <w:bookmarkEnd w:id="7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Every realization using “boundary” declares its role, carrier, and scope, plus scale/resolution where applicable or reasoned N/A otherwise. Cut, chain, interface, topological, constraint, scope, and transport-validity roles remain distinct. A shared word, diagram, or zero does not identify them. Translation requires a named adapter stating hypotheses, preserved data, losses, authority ceiling, and reopening condition.</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any role, carrier, scope, adapter hypothesis, preservation/loss claim, or authority-ceiling change, or on silent role substitution.</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I11 and SC-21; Atlas conditional extension profile; Ledger O52; Tests T49, T53, T58, T59, T70, and T71.</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BoundaryRef; BOUNDARY_ADAPTER TransportReceipt profile; v2.3 boundary-role and cross-card audits. These are internal conformance evidence, not independent validation.</w:t>
            </w:r>
          </w:p>
        </w:tc>
      </w:tr>
    </w:tbl>
    <w:p>
      <w:pPr>
        <w:pStyle w:val="Heading2"/>
        <w:keepNext/>
        <w:keepLines/>
        <w:rPr/>
      </w:pPr>
      <w:bookmarkStart w:id="75" w:name="d32---structural-and-resolution-qualifie"/>
      <w:r>
        <w:rPr/>
        <w:t>D32 - Structural and resolution-qualified minimality</w:t>
      </w:r>
      <w:bookmarkEnd w:id="7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D06’s “minimum trace-bearing turn” means minimal in PAL’s capability order, not a least positive metric magnitude. θ has no canonical angle, scale, side selection, or readout. A smallest nonzero asymmetry exists only relative to a declared admissible set, order, and resolution. q-splits and Boolean comparators belong at A1 and do not redefine A0, Ω*, or θ.</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D06 changes, θ receives metric/readout content, or a minimality claim changes its domain, order, resolution, or tolerance.</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Ledger D06; PAL v2.3 Spine θ card, I02, L09, and SC-21; Atlas M-A1-QSPLIT and primitive-floor cards; Ledger O53; Tests T50-T52.</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Resolution-qualified q-split derivation, positive-real ε/2 counterfixture, parity fixture, and structural-capability audit.</w:t>
            </w:r>
          </w:p>
        </w:tc>
      </w:tr>
    </w:tbl>
    <w:p>
      <w:pPr>
        <w:pStyle w:val="Heading2"/>
        <w:keepNext/>
        <w:keepLines/>
        <w:rPr/>
      </w:pPr>
      <w:bookmarkStart w:id="76" w:name="d33---reachable-factorization-and-decode"/>
      <w:r>
        <w:rPr/>
        <w:t>D33 - Reachable factorization and decoder typing</w:t>
      </w:r>
      <w:bookmarkEnd w:id="7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For declared τ:W→T and q:W→Q, absence of target-conflicting collisions—L(τ,q)=∅—means q factors uniquely through the reachable image. Extension to all T and any stronger decoder class require separate witnesses. Postprocessing cannot repair a target conflict. Refinement, question coarsening, labels, and empty-domain controls remain explicit.</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map, domain, reachable image, requested answer, decoder class, totalization, refinement, labels, or existence assumptions change.</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L10 and SC-21; Atlas M-INTERFACE-FIBER; Ledger O54; Tests T54-T57.</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Reachable-image factorization proof, collision/refinement fixtures, deterministic-restatement negative fixture, finite-label bound, and empty-domain control.</w:t>
            </w:r>
          </w:p>
        </w:tc>
      </w:tr>
    </w:tbl>
    <w:p>
      <w:pPr>
        <w:pStyle w:val="Heading2"/>
        <w:keepNext/>
        <w:keepLines/>
        <w:rPr/>
      </w:pPr>
      <w:bookmarkStart w:id="77" w:name="d34---action-trace-lift-and-retention"/>
      <w:r>
        <w:rPr/>
        <w:t>D34 - Action-trace lift and retention</w:t>
      </w:r>
      <w:bookmarkEnd w:id="7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A noninjective update may become locally reversible when paired with a sufficient action receipt. For the declared two-point compare-exchange fiber, one bit is locally sufficient and worst-case necessary. This establishes neither global log minimality nor A2 persistence unless the bit is bound, retained, and recoverable under the known schedule.</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update rule, fiber, action alphabet, receipt binding/store, schedule, inverse, or minimality scope changes.</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A2, SC-05, L04, and SC-21; Atlas M-A2-TRACE-LIFT; Ledger O55; Tests T60-T61 together with T12-T14 on the new card.</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Compare-exchange collision pair, lifted left inverse, one-bit local counting argument, and finite reverse-reconstruction fixture.</w:t>
            </w:r>
          </w:p>
        </w:tc>
      </w:tr>
    </w:tbl>
    <w:p>
      <w:pPr>
        <w:pStyle w:val="Heading2"/>
        <w:keepNext/>
        <w:keepLines/>
        <w:rPr/>
      </w:pPr>
      <w:bookmarkStart w:id="78" w:name="d35---exact-return-projected-stutter-and"/>
      <w:r>
        <w:rPr/>
        <w:t>D35 - Exact return, projected stutter, and exported receipt</w:t>
      </w:r>
      <w:bookmarkEnd w:id="7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Exact total-state return, equality under a work projection, hidden motion, direct residual, and exported audit receipt are distinct. A quiet heartbeat may preserve work while changing audit state. It does not prove total-state identity, liveness, progress, success, consciousness, permission, or authority.</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state space, projection, return map, heartbeat meaning, export, or progress criterion changes.</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I12, L11, and SC-21; Atlas M-RETURN-PROJ and M-A13-STUTTER; Ledger O56; Tests T62, T65, and T66.</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Fixed-point/projected-stutter counterfixtures, hidden-motion and exported-receipt fixtures, and HEARTBEAT_STUTTER receipts.</w:t>
            </w:r>
          </w:p>
        </w:tc>
      </w:tr>
    </w:tbl>
    <w:p>
      <w:pPr>
        <w:pStyle w:val="Heading2"/>
        <w:keepNext/>
        <w:keepLines/>
        <w:rPr/>
      </w:pPr>
      <w:bookmarkStart w:id="79" w:name="d36---exact-capsule-transport-and-receip"/>
      <w:r>
        <w:rPr/>
        <w:t>D36 - Exact capsule transport and receipted re-entry</w:t>
      </w:r>
      <w:bookmarkEnd w:id="7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Exact checkpoint continuity requires freeze/thaw identity for the declared work state and binds cursor, comparator, schedule, code/dependency/environment identities, earned invariant, grant, resource state, authority boundary, residuals, and receipt chain for revalidation. Grant, resource, authority, and audit coordinates may narrow, consume, expire, or gain new entries; they are not transported by equality. Under the same deterministic suffix, equivalence concludes equality only of terminal work state. A material mismatch creates a typed transport-break result and A15 re-entry without history rewrite. Work stutter may consume resources; a top-up begins a newly receipted grant epoch.</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capsule fields, freeze/thaw law, suffix, identity, grant, resource algebra, trace chain, authority, or break/re-entry treatment changes.</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L12 and SC-21; Atlas M-A12-CAPSULE, M-A13-STUTTER, and M-A14-SLACK amendments; Ledger O57-O58; Tests T63-T65 and T67.</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CHECKPOINT_FREEZE, CHECKPOINT_THAW, and REENTRY receipt profiles; exact-thaw and mismatch fixtures; grant-epoch and slack ledgers.</w:t>
            </w:r>
          </w:p>
        </w:tc>
      </w:tr>
    </w:tbl>
    <w:p>
      <w:pPr>
        <w:pStyle w:val="Heading2"/>
        <w:keepNext/>
        <w:keepLines/>
        <w:rPr/>
      </w:pPr>
      <w:bookmarkStart w:id="80" w:name="d37---conservative-realization-integrati"/>
      <w:r>
        <w:rPr/>
        <w:t>D37 - Conservative realization integration and source ceiling</w:t>
      </w:r>
      <w:bookmarkEnd w:id="8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v2.3 extends the Atlas, Ledger, Tests, and Compatibility Note without adding a primitive, layer, claim-status value, or authority source. Existing receipts remain valid in their original scope and receive no retrofit. Exact source results remain distinct from new PAL placement and interpretation. Same-author works, AI output, and internal tests are not independent corroboration.</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primitive inventory, layer order, status grammar, receipt compatibility, source role, theorem/synthesis boundary, corroboration claim, or five-surface authority changes.</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All five PAL v2.3 authority faces; Ledger O59-O60; Tests T01-T02, T25-T26, T28-T30, and T68-T72; final manifest and checksum receipt.</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Predecessor-byte verification, source-role matrix, five-face crosswalk, fixture provenance, final manifest, and package audit.</w:t>
            </w:r>
          </w:p>
        </w:tc>
      </w:tr>
    </w:tbl>
    <w:p>
      <w:pPr>
        <w:pStyle w:val="Heading2"/>
        <w:keepNext/>
        <w:keepLines/>
        <w:rPr/>
      </w:pPr>
      <w:bookmarkStart w:id="81" w:name="d38---seven-question-scope-firewall"/>
      <w:r>
        <w:rPr/>
        <w:t>D38 - Seven-question scope firewall</w:t>
      </w:r>
      <w:bookmarkEnd w:id="8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The seven-question opening supplied by Christopher D. Pang on 2 September 2026 is a scope firewall and is preserved in the Spine in the author’s wording. The phrase “some distance, a supplied separation” means a nonmetric, account-relative supplied distinction from which asymmetry may become closable; it creates no primitive metric. PAL does not answer the frame-dependent questions as posed. Ω is not their hidden answer, and A0 is not the first event, cause, or boundary of reality. PAL begins with a supplied cut inside a declared account and limits its claim to what can honestly be distinguished, traced, and carried forward from there.</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the author-written wording or placement changes; if distance is given primitive metric content; if Ω is treated as a hidden answer, exterior, precursor, container, or state; if A0 is promoted to temporal, ontic, causal, or global firstness; or if PAL is claimed to settle the cosmological, spatial, temporal, abstract, or measurement questions it expressly brackets.</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Spine opening scope firewall, D02-D03, D16, and D19; Ledger O61; Tests T05-T06, T10-T11, and release text lint.</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Christopher D. Pang’s 2 September 2026 author instruction; exact-text comparison against the frozen Spine; primitive-floor and account-firstness regressions.</w:t>
            </w:r>
          </w:p>
        </w:tc>
      </w:tr>
    </w:tbl>
    <w:p>
      <w:pPr>
        <w:pStyle w:val="Heading2"/>
        <w:keepNext/>
        <w:keepLines/>
        <w:rPr/>
      </w:pPr>
      <w:bookmarkStart w:id="82" w:name="d39---rainbow-atlas-local-realization-bo"/>
      <w:r>
        <w:rPr/>
        <w:t>D39 - RAINBOW Atlas-local realization boundary</w:t>
      </w:r>
      <w:bookmarkEnd w:id="8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PAL v2.3 state</w:t>
            </w:r>
          </w:p>
        </w:tc>
        <w:tc>
          <w:tcPr>
            <w:tcW w:w="6739" w:type="dxa"/>
            <w:tcBorders/>
            <w:vAlign w:val="top"/>
          </w:tcPr>
          <w:p>
            <w:pPr>
              <w:pStyle w:val="Normal"/>
              <w:widowControl/>
              <w:bidi w:val="0"/>
              <w:spacing w:lineRule="auto" w:line="240" w:before="0" w:after="40"/>
              <w:jc w:val="start"/>
              <w:rPr/>
            </w:pPr>
            <w:r>
              <w:rPr>
                <w:sz w:val="19"/>
              </w:rPr>
              <w:t>LOCKED</w:t>
            </w:r>
          </w:p>
        </w:tc>
      </w:tr>
      <w:tr>
        <w:trPr/>
        <w:tc>
          <w:tcPr>
            <w:tcW w:w="2621" w:type="dxa"/>
            <w:tcBorders/>
            <w:vAlign w:val="top"/>
            <w:shd w:fill="F7F9FB"/>
          </w:tcPr>
          <w:p>
            <w:pPr>
              <w:pStyle w:val="Normal"/>
              <w:widowControl/>
              <w:bidi w:val="0"/>
              <w:spacing w:lineRule="auto" w:line="240" w:before="0" w:after="40"/>
              <w:jc w:val="start"/>
              <w:rPr/>
            </w:pPr>
            <w:r>
              <w:rPr>
                <w:sz w:val="19"/>
              </w:rPr>
              <w:t>Normative authority</w:t>
            </w:r>
          </w:p>
        </w:tc>
        <w:tc>
          <w:tcPr>
            <w:tcW w:w="6739" w:type="dxa"/>
            <w:tcBorders/>
            <w:vAlign w:val="top"/>
            <w:shd w:fill="F7F9FB"/>
          </w:tcPr>
          <w:p>
            <w:pPr>
              <w:pStyle w:val="Normal"/>
              <w:widowControl/>
              <w:bidi w:val="0"/>
              <w:spacing w:lineRule="auto" w:line="240" w:before="0" w:after="40"/>
              <w:jc w:val="start"/>
              <w:rPr/>
            </w:pPr>
            <w:r>
              <w:rPr>
                <w:sz w:val="19"/>
              </w:rPr>
              <w:t>Christopher D. Pang</w:t>
            </w:r>
          </w:p>
        </w:tc>
      </w:tr>
      <w:tr>
        <w:trPr/>
        <w:tc>
          <w:tcPr>
            <w:tcW w:w="2621" w:type="dxa"/>
            <w:tcBorders/>
            <w:vAlign w:val="top"/>
          </w:tcPr>
          <w:p>
            <w:pPr>
              <w:pStyle w:val="Normal"/>
              <w:widowControl/>
              <w:bidi w:val="0"/>
              <w:spacing w:lineRule="auto" w:line="240" w:before="0" w:after="40"/>
              <w:jc w:val="start"/>
              <w:rPr/>
            </w:pPr>
            <w:r>
              <w:rPr>
                <w:sz w:val="19"/>
              </w:rPr>
              <w:t>Decision</w:t>
            </w:r>
          </w:p>
        </w:tc>
        <w:tc>
          <w:tcPr>
            <w:tcW w:w="6739" w:type="dxa"/>
            <w:tcBorders/>
            <w:vAlign w:val="top"/>
          </w:tcPr>
          <w:p>
            <w:pPr>
              <w:pStyle w:val="Normal"/>
              <w:widowControl/>
              <w:bidi w:val="0"/>
              <w:spacing w:lineRule="auto" w:line="240" w:before="0" w:after="40"/>
              <w:jc w:val="start"/>
              <w:rPr/>
            </w:pPr>
            <w:r>
              <w:rPr>
                <w:sz w:val="19"/>
              </w:rPr>
              <w:t>RAINBOW — Ribbon-Amplitude Interference Norms: Boundary-Orbit Weaves is an Atlas-local decorated realization section. It is not a primitive, numbered layer, sixth authority face, release-wide title, or physical theory. Each claim is labeled as established arithmetic, a constructed PAL adapter, presentation, or open analogy. “Interference” is used mathematically only under a declared amplitude space, combination rule, and readout; orbit overlap, endpoint confluence, path multiplicity, color, thickness, blur, embedding, and camera projection do not by themselves establish wave interference. Eisenstein norm arithmetic remains distinct from the constructed log-norm/history lift. Wavefunction collapse, Lagrange-point dynamics, quantum ontology, and physical-law readings remain unclaimed unless a later branch supplies their own models, evidence, and adapters.</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if the section name or Atlas-local role changes; if arithmetic, adapter, presentation, or analogy labels are merged; if amplitude/interference semantics, norm carrier, orbit rule, history transport, rendering code, source basis, or claim ceiling changes; or if any quantum, dynamical, cosmological, or physical claim is promoted.</w:t>
            </w:r>
          </w:p>
        </w:tc>
      </w:tr>
      <w:tr>
        <w:trPr/>
        <w:tc>
          <w:tcPr>
            <w:tcW w:w="2621" w:type="dxa"/>
            <w:tcBorders/>
            <w:vAlign w:val="top"/>
          </w:tcPr>
          <w:p>
            <w:pPr>
              <w:pStyle w:val="Normal"/>
              <w:widowControl/>
              <w:bidi w:val="0"/>
              <w:spacing w:lineRule="auto" w:line="240" w:before="0" w:after="40"/>
              <w:jc w:val="start"/>
              <w:rPr/>
            </w:pPr>
            <w:r>
              <w:rPr>
                <w:sz w:val="19"/>
              </w:rPr>
              <w:t>Controlling surfaces</w:t>
            </w:r>
          </w:p>
        </w:tc>
        <w:tc>
          <w:tcPr>
            <w:tcW w:w="6739" w:type="dxa"/>
            <w:tcBorders/>
            <w:vAlign w:val="top"/>
          </w:tcPr>
          <w:p>
            <w:pPr>
              <w:pStyle w:val="Normal"/>
              <w:widowControl/>
              <w:bidi w:val="0"/>
              <w:spacing w:lineRule="auto" w:line="240" w:before="0" w:after="40"/>
              <w:jc w:val="start"/>
              <w:rPr/>
            </w:pPr>
            <w:r>
              <w:rPr>
                <w:sz w:val="19"/>
              </w:rPr>
              <w:t>PAL v2.3 Atlas RAINBOW section and figure captions; Ledger O59 and O62; Tests T12-T14, T34, T46, T51, T58-T59, and T68-T72; Compatibility v2.2→v2.3 Atlas map.</w:t>
            </w:r>
          </w:p>
        </w:tc>
      </w:tr>
      <w:tr>
        <w:trPr/>
        <w:tc>
          <w:tcPr>
            <w:tcW w:w="2621" w:type="dxa"/>
            <w:tcBorders/>
            <w:vAlign w:val="top"/>
            <w:shd w:fill="F7F9FB"/>
          </w:tcPr>
          <w:p>
            <w:pPr>
              <w:pStyle w:val="Normal"/>
              <w:widowControl/>
              <w:bidi w:val="0"/>
              <w:spacing w:lineRule="auto" w:line="240" w:before="0" w:after="40"/>
              <w:jc w:val="start"/>
              <w:rPr/>
            </w:pPr>
            <w:r>
              <w:rPr>
                <w:sz w:val="19"/>
              </w:rPr>
              <w:t>Internal evidence references</w:t>
            </w:r>
          </w:p>
        </w:tc>
        <w:tc>
          <w:tcPr>
            <w:tcW w:w="6739" w:type="dxa"/>
            <w:tcBorders/>
            <w:vAlign w:val="top"/>
            <w:shd w:fill="F7F9FB"/>
          </w:tcPr>
          <w:p>
            <w:pPr>
              <w:pStyle w:val="Normal"/>
              <w:widowControl/>
              <w:bidi w:val="0"/>
              <w:spacing w:lineRule="auto" w:line="240" w:before="0" w:after="40"/>
              <w:jc w:val="start"/>
              <w:rPr/>
            </w:pPr>
            <w:r>
              <w:rPr>
                <w:sz w:val="19"/>
              </w:rPr>
              <w:t>Exact Eisenstein-lattice identities and finite shell fixtures; declared log-norm/history adapters; SVG source/provenance and grayscale checks; author instruction establishing the section’s presentation role.</w:t>
            </w:r>
          </w:p>
        </w:tc>
      </w:tr>
    </w:tbl>
    <w:p>
      <w:pPr>
        <w:pStyle w:val="Heading1"/>
        <w:keepNext/>
        <w:keepLines/>
        <w:rPr/>
      </w:pPr>
      <w:bookmarkStart w:id="83" w:name="pal-v2.3-extension-obligations-o52-o62"/>
      <w:r>
        <w:rPr/>
        <w:t>11. PAL v2.3 extension obligations O52-O62</w:t>
      </w:r>
      <w:bookmarkEnd w:id="83"/>
    </w:p>
    <w:p>
      <w:pPr>
        <w:pStyle w:val="Normal"/>
        <w:keepNext/>
        <w:keepLines/>
        <w:rPr/>
      </w:pPr>
      <w:r>
        <w:rPr/>
        <w:t>The PAL v2.2 historical checksum is preserved without redistribution:</w:t>
      </w:r>
    </w:p>
    <w:p>
      <w:pPr>
        <w:pStyle w:val="BodyText"/>
        <w:rPr/>
      </w:pPr>
      <w:r>
        <w:rPr/>
        <w:t>51 = 23 CORE CLOSED + 19 PARAMETERIZED + 7 BRANCH + 2 OPEN</w:t>
      </w:r>
    </w:p>
    <w:p>
      <w:pPr>
        <w:pStyle w:val="BodyText"/>
        <w:rPr/>
      </w:pPr>
      <w:r>
        <w:rPr/>
        <w:t>The fixed Release Build Specification extension checksum is preserved separately:</w:t>
      </w:r>
    </w:p>
    <w:p>
      <w:pPr>
        <w:pStyle w:val="BodyText"/>
        <w:rPr/>
      </w:pPr>
      <w:r>
        <w:rPr/>
        <w:t>9 = 2 CORE CLOSED + 6 PARAMETERIZED + 1 BRANCH + 0 OPEN</w:t>
      </w:r>
    </w:p>
    <w:p>
      <w:pPr>
        <w:pStyle w:val="BodyText"/>
        <w:rPr/>
      </w:pPr>
      <w:r>
        <w:rPr/>
        <w:t>The later author-directed scope-and-Atlas delta is separately receipted:</w:t>
      </w:r>
    </w:p>
    <w:p>
      <w:pPr>
        <w:pStyle w:val="BodyText"/>
        <w:rPr/>
      </w:pPr>
      <w:r>
        <w:rPr/>
        <w:t>2 = 1 CORE CLOSED + 0 PARAMETERIZED + 1 BRANCH + 0 OPEN</w:t>
      </w:r>
    </w:p>
    <w:p>
      <w:pPr>
        <w:pStyle w:val="BodyText"/>
        <w:rPr/>
      </w:pPr>
      <w:r>
        <w:rPr/>
        <w:t>The complete PAL v2.3 obligation population is therefore:</w:t>
      </w:r>
    </w:p>
    <w:p>
      <w:pPr>
        <w:pStyle w:val="BodyText"/>
        <w:rPr/>
      </w:pPr>
      <w:r>
        <w:rPr/>
        <w:t>62 = 26 CORE CLOSED + 25 PARAMETERIZED + 9 BRANCH + 2 OPEN</w:t>
      </w:r>
    </w:p>
    <w:p>
      <w:pPr>
        <w:pStyle w:val="BodyText"/>
        <w:rPr/>
      </w:pPr>
      <w:r>
        <w:rPr/>
        <w:t>The two OPEN rows remain O04 and O25, and both remain interfaces to D-FIRST-OCCURRENCE. The open multi-parent-lineage design boundary remains outside every obligation checksum.</w:t>
      </w:r>
    </w:p>
    <w:p>
      <w:pPr>
        <w:pStyle w:val="Heading2"/>
        <w:keepNext/>
        <w:keepLines/>
        <w:rPr/>
      </w:pPr>
      <w:bookmarkStart w:id="84" w:name="o52---boundary-role-registry-and-adapter"/>
      <w:r>
        <w:rPr/>
        <w:t>O52 - Boundary-role registry and adapters</w:t>
      </w:r>
      <w:bookmarkEnd w:id="8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Every boundary-bearing card/fixture declares role, carrier, scope, applicable scale/resolution or reasoned N/A, and adapter where used; fibers stay separately typed.</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D31; BoundaryRef; I11; SC-21; conditional Atlas profile.</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T49, T53, T58, T59, T70, and T71.</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 boundary role, carrier/domain, scope, scale/resolution, adapter, preserved/lost-data claim, witness, or authority ceiling changes, or on silent role substitution.</w:t>
            </w:r>
          </w:p>
        </w:tc>
      </w:tr>
    </w:tbl>
    <w:p>
      <w:pPr>
        <w:pStyle w:val="Heading2"/>
        <w:keepNext/>
        <w:keepLines/>
        <w:rPr/>
      </w:pPr>
      <w:bookmarkStart w:id="85" w:name="o53---minimality-scope"/>
      <w:r>
        <w:rPr/>
        <w:t>O53 - Minimality scope</w:t>
      </w:r>
      <w:bookmarkEnd w:id="85"/>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Every minimum/smallest/unit claim declares domain, order, resolution, and tolerance; θ remains structural.</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D32; L09; structural capability order; M-A1-QSPLIT and primitive-floor realization cards.</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T50-T52.</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carrier, quantifier domain, order, admissible value set, resolution, tolerance, units, structural interpretation, witness, or authority ceiling changes.</w:t>
            </w:r>
          </w:p>
        </w:tc>
      </w:tr>
    </w:tbl>
    <w:p>
      <w:pPr>
        <w:pStyle w:val="Heading2"/>
        <w:keepNext/>
        <w:keepLines/>
        <w:rPr/>
      </w:pPr>
      <w:bookmarkStart w:id="86" w:name="o54---interface-factorization-and-decode"/>
      <w:r>
        <w:rPr/>
        <w:t>O54 - Interface factorization and decoder scope</w:t>
      </w:r>
      <w:bookmarkEnd w:id="86"/>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Declare τ, q, reachable image, collision set, reachable/total decoder, decoder class, transformations, labels, and existence seams.</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D33; L10; M-INTERFACE-FIBER; APCI and Compactification Costs source receipts.</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T54-T57.</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map, domain, reachable image, requested answer, collision set, decoder extent/class, transformation, label, existence assumption, witness, or authority ceiling changes.</w:t>
            </w:r>
          </w:p>
        </w:tc>
      </w:tr>
    </w:tbl>
    <w:p>
      <w:pPr>
        <w:pStyle w:val="Heading2"/>
        <w:keepNext/>
        <w:keepLines/>
        <w:rPr/>
      </w:pPr>
      <w:bookmarkStart w:id="87" w:name="o55---action-trace-recoverability"/>
      <w:r>
        <w:rPr/>
        <w:t>O55 - Action-trace recoverability</w:t>
      </w:r>
      <w:bookmarkEnd w:id="87"/>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Declare update, fiber, action alphabet, binding/store, schedule, inverse, and local/global ceiling.</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D34; Spine A2, SC-05, and L04; M-A2-TRACE-LIFT; F-SCT-PAIRWISE and F-FUNG-SWEEP.</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T60-T61 plus T12-T14 on the new card.</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update, fiber, action alphabet, binding/store, schedule, inverse, minimality scope, witness, or authority ceiling changes.</w:t>
            </w:r>
          </w:p>
        </w:tc>
      </w:tr>
    </w:tbl>
    <w:p>
      <w:pPr>
        <w:pStyle w:val="Heading2"/>
        <w:keepNext/>
        <w:keepLines/>
        <w:rPr/>
      </w:pPr>
      <w:bookmarkStart w:id="88" w:name="o56---return-and-workaudit-projection"/>
      <w:r>
        <w:rPr/>
        <w:t>O56 - Return and work/audit projection</w:t>
      </w:r>
      <w:bookmarkEnd w:id="88"/>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Separate exact return, projected stutter, hidden motion, direct residual, export, and progress; namespace heartbeats.</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D35; I12; L11; M-RETURN-PROJ; M-A13-STUTTER.</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T62, T65, and T66.</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state space, projection, return map, hidden coordinate, residual/export type, heartbeat namespace, progress criterion, witness, or authority ceiling changes.</w:t>
            </w:r>
          </w:p>
        </w:tc>
      </w:tr>
    </w:tbl>
    <w:p>
      <w:pPr>
        <w:pStyle w:val="Heading2"/>
        <w:keepNext/>
        <w:keepLines/>
        <w:rPr/>
      </w:pPr>
      <w:bookmarkStart w:id="89" w:name="o57---checkpoint-transport-and-re-entry"/>
      <w:r>
        <w:rPr/>
        <w:t>O57 - Checkpoint transport and re-entry</w:t>
      </w:r>
      <w:bookmarkEnd w:id="89"/>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Record capsule identity, freeze/thaw, suffix, one-token lineage, break route, and history preservation.</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D36; L12; M-A12-CAPSULE; checkpoint and re-entry receipt profiles.</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T63-T64.</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capsule identity, freeze/thaw law, suffix, token lineage, protected-state rule, break route, history-preservation claim, witness, or authority ceiling changes.</w:t>
            </w:r>
          </w:p>
        </w:tc>
      </w:tr>
    </w:tbl>
    <w:p>
      <w:pPr>
        <w:pStyle w:val="Heading2"/>
        <w:keepNext/>
        <w:keepLines/>
        <w:rPr/>
      </w:pPr>
      <w:bookmarkStart w:id="90" w:name="o58---cadence-slack-and-grant-epochs"/>
      <w:r>
        <w:rPr/>
        <w:t>O58 - Cadence, slack, and grant epochs</w:t>
      </w:r>
      <w:bookmarkEnd w:id="9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PARAMETERIZED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Separate administrative stutter from productive macrosteps; account for stutter resource use and receipted top-ups.</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D35-D36; M-A13-STUTTER; M-A14-SLACK amendment; grant-epoch receipts.</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T65 and T67.</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work projection, productive coordinate, macrostep, cadence/fairness law, resource algebra, top-up rule, grant epoch, witness, or authority ceiling changes.</w:t>
            </w:r>
          </w:p>
        </w:tc>
      </w:tr>
    </w:tbl>
    <w:p>
      <w:pPr>
        <w:pStyle w:val="Heading2"/>
        <w:keepNext/>
        <w:keepLines/>
        <w:rPr/>
      </w:pPr>
      <w:bookmarkStart w:id="91" w:name="o59---geometry-and-source-fixture-discip"/>
      <w:r>
        <w:rPr/>
        <w:t>O59 - Geometry and source-fixture discipline</w:t>
      </w:r>
      <w:bookmarkEnd w:id="9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Keep geometry, compactification, sorting, Euler, loop, GPPR, and rhythm material scoped and source-bounded.</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D37 and D39; conditional Atlas profile; named source-role matrix and fixture provenance.</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T51, T58, T59, T61, and T68-T72.</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 geometry, compactification, sorting, Euler, loop, GPPR, rhythm, RAINBOW, source, fixture, witness, interpretation, or authority ceiling changes.</w:t>
            </w:r>
          </w:p>
        </w:tc>
      </w:tr>
    </w:tbl>
    <w:p>
      <w:pPr>
        <w:pStyle w:val="Heading2"/>
        <w:keepNext/>
        <w:keepLines/>
        <w:rPr/>
      </w:pPr>
      <w:bookmarkStart w:id="92" w:name="o60---conservative-package-and-provenanc"/>
      <w:r>
        <w:rPr/>
        <w:t>O60 - Conservative package and provenance</w:t>
      </w:r>
      <w:bookmarkEnd w:id="92"/>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Preserve five faces, IDs, receipts, source credit, exact titles, DOI, changelog placement, manifest integrity, and omnibus ceiling.</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D37; five-face authority map; source-role matrix; package manifest contract.</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T01, T02, T25, T26, T28-T30, final manifest, and checksum receipt.</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a face, identifier, receipt, source role/credit, title, DOI, change-log rule, manifest rule, omnibus role, witness, or authority ceiling changes.</w:t>
            </w:r>
          </w:p>
        </w:tc>
      </w:tr>
    </w:tbl>
    <w:p>
      <w:pPr>
        <w:pStyle w:val="Heading2"/>
        <w:keepNext/>
        <w:keepLines/>
        <w:rPr/>
      </w:pPr>
      <w:bookmarkStart w:id="93" w:name="o61---author-written-opening-scope-firew"/>
      <w:r>
        <w:rPr/>
        <w:t>O61 - Author-written opening scope firewall</w:t>
      </w:r>
      <w:bookmarkEnd w:id="9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CORE CLOSED</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Preserve Christopher D. Pang’s seven-question opening in the Spine in the author’s wording, allowing only typography-equivalent rendering of A_0. Interpret “distance” only through the immediately supplied “a supplied separation,” not as a primitive metric. State that PAL does not answer the questions as posed, Ω is not their hidden answer, and A0 is not the first event, cause, or boundary of reality.</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D38; Spine opening firewall; D02-D03, D16, and D19.</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T05-T06, T10-T11, exact-text comparison, and release semantic lint.</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on any change to the author-written wording, placement, scope, supplied-separation interpretation, Ω/A0 ceiling, witness basis, or authority.</w:t>
            </w:r>
          </w:p>
        </w:tc>
      </w:tr>
    </w:tbl>
    <w:p>
      <w:pPr>
        <w:pStyle w:val="Heading2"/>
        <w:keepNext/>
        <w:keepLines/>
        <w:rPr/>
      </w:pPr>
      <w:bookmarkStart w:id="94" w:name="o62---rainbow-realization-and-presentati"/>
      <w:r>
        <w:rPr/>
        <w:t>O62 - RAINBOW realization and presentation discipline</w:t>
      </w:r>
      <w:bookmarkEnd w:id="94"/>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PAL v2.3 account</w:t>
            </w:r>
          </w:p>
        </w:tc>
      </w:tr>
      <w:tr>
        <w:trPr/>
        <w:tc>
          <w:tcPr>
            <w:tcW w:w="2621" w:type="dxa"/>
            <w:tcBorders/>
            <w:vAlign w:val="top"/>
          </w:tcPr>
          <w:p>
            <w:pPr>
              <w:pStyle w:val="Normal"/>
              <w:widowControl/>
              <w:bidi w:val="0"/>
              <w:spacing w:lineRule="auto" w:line="240" w:before="0" w:after="40"/>
              <w:jc w:val="start"/>
              <w:rPr/>
            </w:pPr>
            <w:r>
              <w:rPr>
                <w:sz w:val="19"/>
              </w:rPr>
              <w:t>Disposition</w:t>
            </w:r>
          </w:p>
        </w:tc>
        <w:tc>
          <w:tcPr>
            <w:tcW w:w="6739" w:type="dxa"/>
            <w:tcBorders/>
            <w:vAlign w:val="top"/>
          </w:tcPr>
          <w:p>
            <w:pPr>
              <w:pStyle w:val="Normal"/>
              <w:widowControl/>
              <w:bidi w:val="0"/>
              <w:spacing w:lineRule="auto" w:line="240" w:before="0" w:after="40"/>
              <w:jc w:val="start"/>
              <w:rPr/>
            </w:pPr>
            <w:r>
              <w:rPr>
                <w:sz w:val="19"/>
              </w:rPr>
              <w:t>BRANCH</w:t>
            </w:r>
          </w:p>
        </w:tc>
      </w:tr>
      <w:tr>
        <w:trPr/>
        <w:tc>
          <w:tcPr>
            <w:tcW w:w="2621" w:type="dxa"/>
            <w:tcBorders/>
            <w:vAlign w:val="top"/>
            <w:shd w:fill="F7F9FB"/>
          </w:tcPr>
          <w:p>
            <w:pPr>
              <w:pStyle w:val="Normal"/>
              <w:widowControl/>
              <w:bidi w:val="0"/>
              <w:spacing w:lineRule="auto" w:line="240" w:before="0" w:after="40"/>
              <w:jc w:val="start"/>
              <w:rPr/>
            </w:pPr>
            <w:r>
              <w:rPr>
                <w:sz w:val="19"/>
              </w:rPr>
              <w:t>Requirement</w:t>
            </w:r>
          </w:p>
        </w:tc>
        <w:tc>
          <w:tcPr>
            <w:tcW w:w="6739" w:type="dxa"/>
            <w:tcBorders/>
            <w:vAlign w:val="top"/>
            <w:shd w:fill="F7F9FB"/>
          </w:tcPr>
          <w:p>
            <w:pPr>
              <w:pStyle w:val="Normal"/>
              <w:widowControl/>
              <w:bidi w:val="0"/>
              <w:spacing w:lineRule="auto" w:line="240" w:before="0" w:after="40"/>
              <w:jc w:val="start"/>
              <w:rPr/>
            </w:pPr>
            <w:r>
              <w:rPr>
                <w:sz w:val="19"/>
              </w:rPr>
              <w:t>Keep RAINBOW Atlas-local and distinguish established arithmetic, constructed adapter, presentation, and open analogy. Declare any amplitude space, combination rule, and readout before using “interference” mathematically. Keep color, thickness, blur, embedding, camera, path multiplicity, and endpoint confluence from becoming evidence by themselves. Make no quantum-collapse, Lagrange-dynamics, cosmological, or physical-law claim.</w:t>
            </w:r>
          </w:p>
        </w:tc>
      </w:tr>
      <w:tr>
        <w:trPr/>
        <w:tc>
          <w:tcPr>
            <w:tcW w:w="2621" w:type="dxa"/>
            <w:tcBorders/>
            <w:vAlign w:val="top"/>
          </w:tcPr>
          <w:p>
            <w:pPr>
              <w:pStyle w:val="Normal"/>
              <w:widowControl/>
              <w:bidi w:val="0"/>
              <w:spacing w:lineRule="auto" w:line="240" w:before="0" w:after="40"/>
              <w:jc w:val="start"/>
              <w:rPr/>
            </w:pPr>
            <w:r>
              <w:rPr>
                <w:sz w:val="19"/>
              </w:rPr>
              <w:t>Controlling evidence</w:t>
            </w:r>
          </w:p>
        </w:tc>
        <w:tc>
          <w:tcPr>
            <w:tcW w:w="6739" w:type="dxa"/>
            <w:tcBorders/>
            <w:vAlign w:val="top"/>
          </w:tcPr>
          <w:p>
            <w:pPr>
              <w:pStyle w:val="Normal"/>
              <w:widowControl/>
              <w:bidi w:val="0"/>
              <w:spacing w:lineRule="auto" w:line="240" w:before="0" w:after="40"/>
              <w:jc w:val="start"/>
              <w:rPr/>
            </w:pPr>
            <w:r>
              <w:rPr>
                <w:sz w:val="19"/>
              </w:rPr>
              <w:t>D39; Atlas RAINBOW section and figure captions; O59; source/figure provenance.</w:t>
            </w:r>
          </w:p>
        </w:tc>
      </w:tr>
      <w:tr>
        <w:trPr/>
        <w:tc>
          <w:tcPr>
            <w:tcW w:w="2621" w:type="dxa"/>
            <w:tcBorders/>
            <w:vAlign w:val="top"/>
            <w:shd w:fill="F7F9FB"/>
          </w:tcPr>
          <w:p>
            <w:pPr>
              <w:pStyle w:val="Normal"/>
              <w:widowControl/>
              <w:bidi w:val="0"/>
              <w:spacing w:lineRule="auto" w:line="240" w:before="0" w:after="40"/>
              <w:jc w:val="start"/>
              <w:rPr/>
            </w:pPr>
            <w:r>
              <w:rPr>
                <w:sz w:val="19"/>
              </w:rPr>
              <w:t>Verification</w:t>
            </w:r>
          </w:p>
        </w:tc>
        <w:tc>
          <w:tcPr>
            <w:tcW w:w="6739" w:type="dxa"/>
            <w:tcBorders/>
            <w:vAlign w:val="top"/>
            <w:shd w:fill="F7F9FB"/>
          </w:tcPr>
          <w:p>
            <w:pPr>
              <w:pStyle w:val="Normal"/>
              <w:widowControl/>
              <w:bidi w:val="0"/>
              <w:spacing w:lineRule="auto" w:line="240" w:before="0" w:after="40"/>
              <w:jc w:val="start"/>
              <w:rPr/>
            </w:pPr>
            <w:r>
              <w:rPr>
                <w:sz w:val="19"/>
              </w:rPr>
              <w:t>T12-T14, T34, T46, T51, T58-T59, T68-T72, Atlas card audit, SVG source audit, and grayscale/legibility review.</w:t>
            </w:r>
          </w:p>
        </w:tc>
      </w:tr>
      <w:tr>
        <w:trPr/>
        <w:tc>
          <w:tcPr>
            <w:tcW w:w="2621" w:type="dxa"/>
            <w:tcBorders/>
            <w:vAlign w:val="top"/>
          </w:tcPr>
          <w:p>
            <w:pPr>
              <w:pStyle w:val="Normal"/>
              <w:widowControl/>
              <w:bidi w:val="0"/>
              <w:spacing w:lineRule="auto" w:line="240" w:before="0" w:after="40"/>
              <w:jc w:val="start"/>
              <w:rPr/>
            </w:pPr>
            <w:r>
              <w:rPr>
                <w:sz w:val="19"/>
              </w:rPr>
              <w:t>Normative authority</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Reopening condition</w:t>
            </w:r>
          </w:p>
        </w:tc>
        <w:tc>
          <w:tcPr>
            <w:tcW w:w="6739" w:type="dxa"/>
            <w:tcBorders/>
            <w:vAlign w:val="top"/>
            <w:shd w:fill="F7F9FB"/>
          </w:tcPr>
          <w:p>
            <w:pPr>
              <w:pStyle w:val="Normal"/>
              <w:widowControl/>
              <w:bidi w:val="0"/>
              <w:spacing w:lineRule="auto" w:line="240" w:before="0" w:after="40"/>
              <w:jc w:val="start"/>
              <w:rPr/>
            </w:pPr>
            <w:r>
              <w:rPr>
                <w:sz w:val="19"/>
              </w:rPr>
              <w:t>Reopen when the RAINBOW name, section role, arithmetic theorem, carrier, adapter, amplitude/interference semantics, visual encoding, analogy, source basis, witness, or authority ceiling changes.</w:t>
            </w:r>
          </w:p>
        </w:tc>
      </w:tr>
    </w:tbl>
    <w:p>
      <w:pPr>
        <w:pStyle w:val="Heading2"/>
        <w:keepNext/>
        <w:keepLines/>
        <w:rPr/>
      </w:pPr>
      <w:bookmarkStart w:id="95" w:name="verification-map-and-predecessor-crosswa"/>
      <w:r>
        <w:rPr/>
        <w:t>Verification map and predecessor crosswalk</w:t>
      </w:r>
      <w:bookmarkEnd w:id="95"/>
    </w:p>
    <w:p>
      <w:pPr>
        <w:pStyle w:val="Normal"/>
        <w:keepNext/>
        <w:keepLines/>
        <w:rPr/>
      </w:pPr>
      <w:r>
        <w:rPr/>
        <w:t>The specified extension crosswalk is:</w:t>
      </w:r>
    </w:p>
    <w:p>
      <w:pPr>
        <w:pStyle w:val="BodyText"/>
        <w:numPr>
          <w:ilvl w:val="0"/>
          <w:numId w:val="8"/>
        </w:numPr>
        <w:spacing w:before="0" w:after="0"/>
        <w:rPr/>
      </w:pPr>
      <w:r>
        <w:rPr/>
        <w:t>O52 → O05, O15, O37-O39, O48.</w:t>
      </w:r>
    </w:p>
    <w:p>
      <w:pPr>
        <w:pStyle w:val="BodyText"/>
        <w:numPr>
          <w:ilvl w:val="0"/>
          <w:numId w:val="8"/>
        </w:numPr>
        <w:spacing w:before="0" w:after="0"/>
        <w:rPr/>
      </w:pPr>
      <w:r>
        <w:rPr/>
        <w:t>O53 → O03, O05, O22, O23, O29.</w:t>
      </w:r>
    </w:p>
    <w:p>
      <w:pPr>
        <w:pStyle w:val="BodyText"/>
        <w:numPr>
          <w:ilvl w:val="0"/>
          <w:numId w:val="8"/>
        </w:numPr>
        <w:spacing w:before="0" w:after="0"/>
        <w:rPr/>
      </w:pPr>
      <w:r>
        <w:rPr/>
        <w:t>O54 → O11, O13, O26, O33, O35.</w:t>
      </w:r>
    </w:p>
    <w:p>
      <w:pPr>
        <w:pStyle w:val="BodyText"/>
        <w:numPr>
          <w:ilvl w:val="0"/>
          <w:numId w:val="8"/>
        </w:numPr>
        <w:spacing w:before="0" w:after="0"/>
        <w:rPr/>
      </w:pPr>
      <w:r>
        <w:rPr/>
        <w:t>O55 → O06, O11, O42.</w:t>
      </w:r>
    </w:p>
    <w:p>
      <w:pPr>
        <w:pStyle w:val="BodyText"/>
        <w:numPr>
          <w:ilvl w:val="0"/>
          <w:numId w:val="8"/>
        </w:numPr>
        <w:spacing w:before="0" w:after="0"/>
        <w:rPr/>
      </w:pPr>
      <w:r>
        <w:rPr/>
        <w:t>O56 → O08, O15, O28, O34, O40.</w:t>
      </w:r>
    </w:p>
    <w:p>
      <w:pPr>
        <w:pStyle w:val="BodyText"/>
        <w:numPr>
          <w:ilvl w:val="0"/>
          <w:numId w:val="8"/>
        </w:numPr>
        <w:spacing w:before="0" w:after="0"/>
        <w:rPr/>
      </w:pPr>
      <w:r>
        <w:rPr/>
        <w:t>O57 → O06, O16, O42, O47, O49.</w:t>
      </w:r>
    </w:p>
    <w:p>
      <w:pPr>
        <w:pStyle w:val="BodyText"/>
        <w:numPr>
          <w:ilvl w:val="0"/>
          <w:numId w:val="8"/>
        </w:numPr>
        <w:spacing w:before="0" w:after="0"/>
        <w:rPr/>
      </w:pPr>
      <w:r>
        <w:rPr/>
        <w:t>O58 → O17, O18, O23, O47, O49.</w:t>
      </w:r>
    </w:p>
    <w:p>
      <w:pPr>
        <w:pStyle w:val="BodyText"/>
        <w:numPr>
          <w:ilvl w:val="0"/>
          <w:numId w:val="8"/>
        </w:numPr>
        <w:spacing w:before="0" w:after="0"/>
        <w:rPr/>
      </w:pPr>
      <w:r>
        <w:rPr/>
        <w:t>O59 → O22, O24, O37-O39, O43, O46, O48, O50.</w:t>
      </w:r>
    </w:p>
    <w:p>
      <w:pPr>
        <w:pStyle w:val="BodyText"/>
        <w:numPr>
          <w:ilvl w:val="0"/>
          <w:numId w:val="8"/>
        </w:numPr>
        <w:spacing w:before="0" w:after="0"/>
        <w:rPr/>
      </w:pPr>
      <w:r>
        <w:rPr/>
        <w:t>O60 → O20, O24, O27, O40-O42, O49, O51.</w:t>
      </w:r>
    </w:p>
    <w:p>
      <w:pPr>
        <w:pStyle w:val="Normal"/>
        <w:rPr/>
      </w:pPr>
      <w:r>
        <w:rPr/>
        <w:t>The late author-directed delta crosswalk is:</w:t>
      </w:r>
    </w:p>
    <w:p>
      <w:pPr>
        <w:pStyle w:val="BodyText"/>
        <w:numPr>
          <w:ilvl w:val="0"/>
          <w:numId w:val="9"/>
        </w:numPr>
        <w:spacing w:before="0" w:after="0"/>
        <w:rPr/>
      </w:pPr>
      <w:r>
        <w:rPr/>
        <w:t>O61 → O01, O03-O04, O25, O29.</w:t>
      </w:r>
    </w:p>
    <w:p>
      <w:pPr>
        <w:pStyle w:val="BodyText"/>
        <w:numPr>
          <w:ilvl w:val="0"/>
          <w:numId w:val="9"/>
        </w:numPr>
        <w:spacing w:before="0" w:after="0"/>
        <w:rPr/>
      </w:pPr>
      <w:r>
        <w:rPr/>
        <w:t>O62 → O05, O22, O37-O39, O43, O46, O48, O50.</w:t>
      </w:r>
    </w:p>
    <w:p>
      <w:pPr>
        <w:pStyle w:val="Normal"/>
        <w:rPr/>
      </w:pPr>
      <w:r>
        <w:rPr/>
        <w:t>No crosswalk changes a predecessor row’s disposition, text, evidence, authority, or reopening condition.</w:t>
      </w:r>
    </w:p>
    <w:p>
      <w:pPr>
        <w:pStyle w:val="Heading1"/>
        <w:keepNext/>
        <w:keepLines/>
        <w:rPr/>
      </w:pPr>
      <w:bookmarkStart w:id="96" w:name="current-open-boundaries"/>
      <w:r>
        <w:rPr/>
        <w:t>12. Current open boundaries</w:t>
      </w:r>
      <w:bookmarkEnd w:id="96"/>
    </w:p>
    <w:p>
      <w:pPr>
        <w:pStyle w:val="Heading2"/>
        <w:keepNext/>
        <w:keepLines/>
        <w:rPr/>
      </w:pPr>
      <w:bookmarkStart w:id="97" w:name="d-first-occurrence"/>
      <w:r>
        <w:rPr/>
        <w:t>D-FIRST-OCCURRENCE</w:t>
      </w:r>
      <w:bookmarkEnd w:id="97"/>
    </w:p>
    <w:p>
      <w:pPr>
        <w:pStyle w:val="Normal"/>
        <w:keepNext/>
        <w:keepLines/>
        <w:rPr/>
      </w:pPr>
      <w:r>
        <w:rPr>
          <w:b/>
          <w:bCs/>
        </w:rPr>
        <w:t>State: OPEN.</w:t>
      </w:r>
      <w:r>
        <w:rPr/>
        <w:t xml:space="preserve"> O04 and O25 remain separate historical rows and two interfaces to one debt. They are not merged, split, or closed.</w:t>
      </w:r>
    </w:p>
    <w:p>
      <w:pPr>
        <w:pStyle w:val="BodyText"/>
        <w:numPr>
          <w:ilvl w:val="0"/>
          <w:numId w:val="10"/>
        </w:numPr>
        <w:spacing w:before="0" w:after="0"/>
        <w:rPr/>
      </w:pPr>
      <w:r>
        <w:rPr/>
        <w:t>O04 remains the ontic inhabitance/source interface.</w:t>
      </w:r>
    </w:p>
    <w:p>
      <w:pPr>
        <w:pStyle w:val="BodyText"/>
        <w:numPr>
          <w:ilvl w:val="0"/>
          <w:numId w:val="10"/>
        </w:numPr>
        <w:spacing w:before="0" w:after="0"/>
        <w:rPr/>
      </w:pPr>
      <w:r>
        <w:rPr/>
        <w:t>O25 remains the certificate/revocation and witness-nonmanufacture interface.</w:t>
      </w:r>
    </w:p>
    <w:p>
      <w:pPr>
        <w:pStyle w:val="BodyText"/>
        <w:numPr>
          <w:ilvl w:val="0"/>
          <w:numId w:val="10"/>
        </w:numPr>
        <w:spacing w:before="0" w:after="0"/>
        <w:rPr/>
      </w:pPr>
      <w:r>
        <w:rPr/>
        <w:t>A supplied witness may warrant a local account admission and, after the separately earned A1/A2/A15 route, a scoped occurrence closure. It does not establish the witness’s ontic origin, an absolute first event, global primacy, or ultimate causal source.</w:t>
      </w:r>
    </w:p>
    <w:p>
      <w:pPr>
        <w:pStyle w:val="BodyText"/>
        <w:numPr>
          <w:ilvl w:val="0"/>
          <w:numId w:val="10"/>
        </w:numPr>
        <w:spacing w:before="0" w:after="0"/>
        <w:rPr/>
      </w:pPr>
      <w:r>
        <w:rPr/>
        <w:t>No receipt, certificate, scope firewall, geometric realization, release instruction, or checksum manufactures the missing witness.</w:t>
      </w:r>
    </w:p>
    <w:p>
      <w:pPr>
        <w:pStyle w:val="Heading2"/>
        <w:keepNext/>
        <w:keepLines/>
        <w:rPr/>
      </w:pPr>
      <w:bookmarkStart w:id="98" w:name="multi-parent-lineage"/>
      <w:r>
        <w:rPr/>
        <w:t>Multi-parent lineage</w:t>
      </w:r>
      <w:bookmarkEnd w:id="98"/>
    </w:p>
    <w:p>
      <w:pPr>
        <w:pStyle w:val="Normal"/>
        <w:keepNext/>
        <w:keepLines/>
        <w:rPr/>
      </w:pPr>
      <w:r>
        <w:rPr>
          <w:b/>
          <w:bCs/>
        </w:rPr>
        <w:t>State: OPEN outside the obligation checksums.</w:t>
      </w:r>
      <w:r>
        <w:rPr/>
        <w:t xml:space="preserve"> Core PAL v2.3 admits at most one parent account. A multi-parent merge, joint child, or braided account history is nonconformant unless a later adopted branch supplies conflict, authority, witness, residual, and currentness semantics. RAINBOW path confluence, a commuting factorization diamond, common endpoints, or joint detector sufficiency does not close this account-topology boundary.</w:t>
      </w:r>
    </w:p>
    <w:p>
      <w:pPr>
        <w:pStyle w:val="Heading1"/>
        <w:keepNext/>
        <w:keepLines/>
        <w:rPr/>
      </w:pPr>
      <w:bookmarkStart w:id="99" w:name="pal-v2.3-provenance-and-change-log"/>
      <w:r>
        <w:rPr/>
        <w:t>13. PAL v2.3 provenance and change log</w:t>
      </w:r>
      <w:bookmarkEnd w:id="99"/>
    </w:p>
    <w:p>
      <w:pPr>
        <w:pStyle w:val="Heading2"/>
        <w:keepNext/>
        <w:keepLines/>
        <w:rPr/>
      </w:pPr>
      <w:bookmarkStart w:id="100" w:name="source-role-matrix"/>
      <w:r>
        <w:rPr/>
        <w:t>13.1 Source-role matrix</w:t>
      </w:r>
      <w:bookmarkEnd w:id="100"/>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Source</w:t>
            </w:r>
          </w:p>
        </w:tc>
        <w:tc>
          <w:tcPr>
            <w:tcW w:w="2340" w:type="dxa"/>
            <w:tcBorders/>
            <w:vAlign w:val="top"/>
            <w:shd w:fill="DCE6F1"/>
          </w:tcPr>
          <w:p>
            <w:pPr>
              <w:pStyle w:val="Normal"/>
              <w:spacing w:before="0" w:after="40" w:line="240" w:lineRule="auto"/>
              <w:rPr>
                <w:b/>
                <w:bCs/>
              </w:rPr>
            </w:pPr>
            <w:r>
              <w:rPr>
                <w:b/>
                <w:bCs/>
                <w:color w:val="1F4D78"/>
                <w:sz w:val="18"/>
              </w:rPr>
              <w:t>Prior source contribution</w:t>
            </w:r>
          </w:p>
        </w:tc>
        <w:tc>
          <w:tcPr>
            <w:tcW w:w="2340" w:type="dxa"/>
            <w:tcBorders/>
            <w:vAlign w:val="top"/>
            <w:shd w:fill="DCE6F1"/>
          </w:tcPr>
          <w:p>
            <w:pPr>
              <w:pStyle w:val="Normal"/>
              <w:spacing w:before="0" w:after="40" w:line="240" w:lineRule="auto"/>
              <w:rPr>
                <w:b/>
                <w:bCs/>
              </w:rPr>
            </w:pPr>
            <w:r>
              <w:rPr>
                <w:b/>
                <w:bCs/>
                <w:color w:val="1F4D78"/>
                <w:sz w:val="18"/>
              </w:rPr>
              <w:t>PAL v2.3 integration</w:t>
            </w:r>
          </w:p>
        </w:tc>
        <w:tc>
          <w:tcPr>
            <w:tcW w:w="2340" w:type="dxa"/>
            <w:tcBorders/>
            <w:vAlign w:val="top"/>
            <w:shd w:fill="DCE6F1"/>
          </w:tcPr>
          <w:p>
            <w:pPr>
              <w:pStyle w:val="Normal"/>
              <w:spacing w:before="0" w:after="40" w:line="240" w:lineRule="auto"/>
              <w:rPr>
                <w:b/>
                <w:bCs/>
              </w:rPr>
            </w:pPr>
            <w:r>
              <w:rPr>
                <w:b/>
                <w:bCs/>
                <w:color w:val="1F4D78"/>
                <w:sz w:val="18"/>
              </w:rPr>
              <w:t>Ceiling</w:t>
            </w:r>
          </w:p>
        </w:tc>
      </w:tr>
      <w:tr>
        <w:trPr/>
        <w:tc>
          <w:tcPr>
            <w:tcW w:w="2340" w:type="dxa"/>
            <w:tcBorders/>
            <w:vAlign w:val="top"/>
          </w:tcPr>
          <w:p>
            <w:pPr>
              <w:pStyle w:val="Normal"/>
              <w:widowControl/>
              <w:bidi w:val="0"/>
              <w:spacing w:lineRule="auto" w:line="240" w:before="0" w:after="40"/>
              <w:jc w:val="start"/>
              <w:rPr/>
            </w:pPr>
            <w:r>
              <w:rPr>
                <w:sz w:val="18"/>
              </w:rPr>
              <w:t>PAL v2.2 · 11 Aug 2026 · DOI 10.5281/zenodo.21891598</w:t>
            </w:r>
          </w:p>
        </w:tc>
        <w:tc>
          <w:tcPr>
            <w:tcW w:w="2340" w:type="dxa"/>
            <w:tcBorders/>
            <w:vAlign w:val="top"/>
          </w:tcPr>
          <w:p>
            <w:pPr>
              <w:pStyle w:val="Normal"/>
              <w:widowControl/>
              <w:bidi w:val="0"/>
              <w:spacing w:lineRule="auto" w:line="240" w:before="0" w:after="40"/>
              <w:jc w:val="start"/>
              <w:rPr/>
            </w:pPr>
            <w:r>
              <w:rPr>
                <w:sz w:val="18"/>
              </w:rPr>
              <w:t>Five-face spine, Atlas, Ledger, Tests, Compatibility, account, and receipt baseline.</w:t>
            </w:r>
          </w:p>
        </w:tc>
        <w:tc>
          <w:tcPr>
            <w:tcW w:w="2340" w:type="dxa"/>
            <w:tcBorders/>
            <w:vAlign w:val="top"/>
          </w:tcPr>
          <w:p>
            <w:pPr>
              <w:pStyle w:val="Normal"/>
              <w:widowControl/>
              <w:bidi w:val="0"/>
              <w:spacing w:lineRule="auto" w:line="240" w:before="0" w:after="40"/>
              <w:jc w:val="start"/>
              <w:rPr/>
            </w:pPr>
            <w:r>
              <w:rPr>
                <w:sz w:val="18"/>
              </w:rPr>
              <w:t>Immediate predecessor and frozen preservation boundary.</w:t>
            </w:r>
          </w:p>
        </w:tc>
        <w:tc>
          <w:tcPr>
            <w:tcW w:w="2340" w:type="dxa"/>
            <w:tcBorders/>
            <w:vAlign w:val="top"/>
          </w:tcPr>
          <w:p>
            <w:pPr>
              <w:pStyle w:val="Normal"/>
              <w:widowControl/>
              <w:bidi w:val="0"/>
              <w:spacing w:lineRule="auto" w:line="240" w:before="0" w:after="40"/>
              <w:jc w:val="start"/>
              <w:rPr/>
            </w:pPr>
            <w:r>
              <w:rPr>
                <w:sz w:val="18"/>
              </w:rPr>
              <w:t>Publication predecessor; not independent confirmation of its successor.</w:t>
            </w:r>
          </w:p>
        </w:tc>
      </w:tr>
      <w:tr>
        <w:trPr/>
        <w:tc>
          <w:tcPr>
            <w:tcW w:w="2340" w:type="dxa"/>
            <w:tcBorders/>
            <w:vAlign w:val="top"/>
            <w:shd w:fill="F7F9FB"/>
          </w:tcPr>
          <w:p>
            <w:pPr>
              <w:pStyle w:val="Normal"/>
              <w:widowControl/>
              <w:bidi w:val="0"/>
              <w:spacing w:lineRule="auto" w:line="240" w:before="0" w:after="40"/>
              <w:jc w:val="start"/>
              <w:rPr/>
            </w:pPr>
            <w:r>
              <w:rPr>
                <w:sz w:val="18"/>
              </w:rPr>
              <w:t>APCI v1.0.0 · 13 Aug 2026 · DOI 10.5281/zenodo.21923290</w:t>
            </w:r>
          </w:p>
        </w:tc>
        <w:tc>
          <w:tcPr>
            <w:tcW w:w="2340" w:type="dxa"/>
            <w:tcBorders/>
            <w:vAlign w:val="top"/>
            <w:shd w:fill="F7F9FB"/>
          </w:tcPr>
          <w:p>
            <w:pPr>
              <w:pStyle w:val="Normal"/>
              <w:widowControl/>
              <w:bidi w:val="0"/>
              <w:spacing w:lineRule="auto" w:line="240" w:before="0" w:after="40"/>
              <w:jc w:val="start"/>
              <w:rPr/>
            </w:pPr>
            <w:r>
              <w:rPr>
                <w:sz w:val="18"/>
              </w:rPr>
              <w:t>Reachable-fiber factorization, injectivity controls, deterministic collision persistence, finite capacity fixture, and empty-type control.</w:t>
            </w:r>
          </w:p>
        </w:tc>
        <w:tc>
          <w:tcPr>
            <w:tcW w:w="2340" w:type="dxa"/>
            <w:tcBorders/>
            <w:vAlign w:val="top"/>
            <w:shd w:fill="F7F9FB"/>
          </w:tcPr>
          <w:p>
            <w:pPr>
              <w:pStyle w:val="Normal"/>
              <w:widowControl/>
              <w:bidi w:val="0"/>
              <w:spacing w:lineRule="auto" w:line="240" w:before="0" w:after="40"/>
              <w:jc w:val="start"/>
              <w:rPr/>
            </w:pPr>
            <w:r>
              <w:rPr>
                <w:sz w:val="18"/>
              </w:rPr>
              <w:t>M-INTERFACE-FIBER and decoder typing.</w:t>
            </w:r>
          </w:p>
        </w:tc>
        <w:tc>
          <w:tcPr>
            <w:tcW w:w="2340" w:type="dxa"/>
            <w:tcBorders/>
            <w:vAlign w:val="top"/>
            <w:shd w:fill="F7F9FB"/>
          </w:tcPr>
          <w:p>
            <w:pPr>
              <w:pStyle w:val="Normal"/>
              <w:widowControl/>
              <w:bidi w:val="0"/>
              <w:spacing w:lineRule="auto" w:line="240" w:before="0" w:after="40"/>
              <w:jc w:val="start"/>
              <w:rPr/>
            </w:pPr>
            <w:r>
              <w:rPr>
                <w:sz w:val="18"/>
              </w:rPr>
              <w:t>Set-theoretic unless strengthened; no automatic computation, efficiency, permission, or authority.</w:t>
            </w:r>
          </w:p>
        </w:tc>
      </w:tr>
      <w:tr>
        <w:trPr/>
        <w:tc>
          <w:tcPr>
            <w:tcW w:w="2340" w:type="dxa"/>
            <w:tcBorders/>
            <w:vAlign w:val="top"/>
          </w:tcPr>
          <w:p>
            <w:pPr>
              <w:pStyle w:val="Normal"/>
              <w:widowControl/>
              <w:bidi w:val="0"/>
              <w:spacing w:lineRule="auto" w:line="240" w:before="0" w:after="40"/>
              <w:jc w:val="start"/>
              <w:rPr/>
            </w:pPr>
            <w:r>
              <w:rPr>
                <w:sz w:val="18"/>
              </w:rPr>
              <w:t>Abstract Loops v1.0 · 15 Aug 2026 · DOI 10.5281/zenodo.21950771</w:t>
            </w:r>
          </w:p>
        </w:tc>
        <w:tc>
          <w:tcPr>
            <w:tcW w:w="2340" w:type="dxa"/>
            <w:tcBorders/>
            <w:vAlign w:val="top"/>
          </w:tcPr>
          <w:p>
            <w:pPr>
              <w:pStyle w:val="Normal"/>
              <w:widowControl/>
              <w:bidi w:val="0"/>
              <w:spacing w:lineRule="auto" w:line="240" w:before="0" w:after="40"/>
              <w:jc w:val="start"/>
              <w:rPr/>
            </w:pPr>
            <w:r>
              <w:rPr>
                <w:sz w:val="18"/>
              </w:rPr>
              <w:t>Common-refinement identity; typed cut witnesses; direct residual, collapse, return, and export axes.</w:t>
            </w:r>
          </w:p>
        </w:tc>
        <w:tc>
          <w:tcPr>
            <w:tcW w:w="2340" w:type="dxa"/>
            <w:tcBorders/>
            <w:vAlign w:val="top"/>
          </w:tcPr>
          <w:p>
            <w:pPr>
              <w:pStyle w:val="Normal"/>
              <w:widowControl/>
              <w:bidi w:val="0"/>
              <w:spacing w:lineRule="auto" w:line="240" w:before="0" w:after="40"/>
              <w:jc w:val="start"/>
              <w:rPr/>
            </w:pPr>
            <w:r>
              <w:rPr>
                <w:sz w:val="18"/>
              </w:rPr>
              <w:t>M-RETURN-PROJ and work/audit heartbeat separation.</w:t>
            </w:r>
          </w:p>
        </w:tc>
        <w:tc>
          <w:tcPr>
            <w:tcW w:w="2340" w:type="dxa"/>
            <w:tcBorders/>
            <w:vAlign w:val="top"/>
          </w:tcPr>
          <w:p>
            <w:pPr>
              <w:pStyle w:val="Normal"/>
              <w:widowControl/>
              <w:bidi w:val="0"/>
              <w:spacing w:lineRule="auto" w:line="240" w:before="0" w:after="40"/>
              <w:jc w:val="start"/>
              <w:rPr/>
            </w:pPr>
            <w:r>
              <w:rPr>
                <w:sz w:val="18"/>
              </w:rPr>
              <w:t>Return is typed; no unbounded-growth, physical, or consciousness result.</w:t>
            </w:r>
          </w:p>
        </w:tc>
      </w:tr>
      <w:tr>
        <w:trPr/>
        <w:tc>
          <w:tcPr>
            <w:tcW w:w="2340" w:type="dxa"/>
            <w:tcBorders/>
            <w:vAlign w:val="top"/>
            <w:shd w:fill="F7F9FB"/>
          </w:tcPr>
          <w:p>
            <w:pPr>
              <w:pStyle w:val="Normal"/>
              <w:widowControl/>
              <w:bidi w:val="0"/>
              <w:spacing w:lineRule="auto" w:line="240" w:before="0" w:after="40"/>
              <w:jc w:val="start"/>
              <w:rPr/>
            </w:pPr>
            <w:r>
              <w:rPr>
                <w:sz w:val="18"/>
              </w:rPr>
              <w:t>The Context Sets a Rhythm v0.1 · 31 Aug 2026 · DOI 10.5281/zenodo.22214952</w:t>
            </w:r>
          </w:p>
        </w:tc>
        <w:tc>
          <w:tcPr>
            <w:tcW w:w="2340" w:type="dxa"/>
            <w:tcBorders/>
            <w:vAlign w:val="top"/>
            <w:shd w:fill="F7F9FB"/>
          </w:tcPr>
          <w:p>
            <w:pPr>
              <w:pStyle w:val="Normal"/>
              <w:widowControl/>
              <w:bidi w:val="0"/>
              <w:spacing w:lineRule="auto" w:line="240" w:before="0" w:after="40"/>
              <w:jc w:val="start"/>
              <w:rPr/>
            </w:pPr>
            <w:r>
              <w:rPr>
                <w:sz w:val="18"/>
              </w:rPr>
              <w:t>Source-declared exogenous pulse-alignment mechanism in the retained source map.</w:t>
            </w:r>
          </w:p>
        </w:tc>
        <w:tc>
          <w:tcPr>
            <w:tcW w:w="2340" w:type="dxa"/>
            <w:tcBorders/>
            <w:vAlign w:val="top"/>
            <w:shd w:fill="F7F9FB"/>
          </w:tcPr>
          <w:p>
            <w:pPr>
              <w:pStyle w:val="Normal"/>
              <w:widowControl/>
              <w:bidi w:val="0"/>
              <w:spacing w:lineRule="auto" w:line="240" w:before="0" w:after="40"/>
              <w:jc w:val="start"/>
              <w:rPr/>
            </w:pPr>
            <w:r>
              <w:rPr>
                <w:sz w:val="18"/>
              </w:rPr>
              <w:t>Descriptive A13 vocabulary and heartbeat namespace.</w:t>
            </w:r>
          </w:p>
        </w:tc>
        <w:tc>
          <w:tcPr>
            <w:tcW w:w="2340" w:type="dxa"/>
            <w:tcBorders/>
            <w:vAlign w:val="top"/>
            <w:shd w:fill="F7F9FB"/>
          </w:tcPr>
          <w:p>
            <w:pPr>
              <w:pStyle w:val="Normal"/>
              <w:widowControl/>
              <w:bidi w:val="0"/>
              <w:spacing w:lineRule="auto" w:line="240" w:before="0" w:after="40"/>
              <w:jc w:val="start"/>
              <w:rPr/>
            </w:pPr>
            <w:r>
              <w:rPr>
                <w:sz w:val="18"/>
              </w:rPr>
              <w:t>Primary manuscript is required before theorem or executable-fixture use.</w:t>
            </w:r>
          </w:p>
        </w:tc>
      </w:tr>
      <w:tr>
        <w:trPr/>
        <w:tc>
          <w:tcPr>
            <w:tcW w:w="2340" w:type="dxa"/>
            <w:tcBorders/>
            <w:vAlign w:val="top"/>
          </w:tcPr>
          <w:p>
            <w:pPr>
              <w:pStyle w:val="Normal"/>
              <w:widowControl/>
              <w:bidi w:val="0"/>
              <w:spacing w:lineRule="auto" w:line="240" w:before="0" w:after="40"/>
              <w:jc w:val="start"/>
              <w:rPr/>
            </w:pPr>
            <w:r>
              <w:rPr>
                <w:sz w:val="18"/>
              </w:rPr>
              <w:t>GPPR v0.1 · 1 Sep 2026 · DOI 10.5281/zenodo.22225414</w:t>
            </w:r>
          </w:p>
        </w:tc>
        <w:tc>
          <w:tcPr>
            <w:tcW w:w="2340" w:type="dxa"/>
            <w:tcBorders/>
            <w:vAlign w:val="top"/>
          </w:tcPr>
          <w:p>
            <w:pPr>
              <w:pStyle w:val="Normal"/>
              <w:widowControl/>
              <w:bidi w:val="0"/>
              <w:spacing w:lineRule="auto" w:line="240" w:before="0" w:after="40"/>
              <w:jc w:val="start"/>
              <w:rPr/>
            </w:pPr>
            <w:r>
              <w:rPr>
                <w:sz w:val="18"/>
              </w:rPr>
              <w:t>Exact injective prime-valuation monoid code; endpoint/event-ribbon separation.</w:t>
            </w:r>
          </w:p>
        </w:tc>
        <w:tc>
          <w:tcPr>
            <w:tcW w:w="2340" w:type="dxa"/>
            <w:tcBorders/>
            <w:vAlign w:val="top"/>
          </w:tcPr>
          <w:p>
            <w:pPr>
              <w:pStyle w:val="Normal"/>
              <w:widowControl/>
              <w:bidi w:val="0"/>
              <w:spacing w:lineRule="auto" w:line="240" w:before="0" w:after="40"/>
              <w:jc w:val="start"/>
              <w:rPr/>
            </w:pPr>
            <w:r>
              <w:rPr>
                <w:sz w:val="18"/>
              </w:rPr>
              <w:t>O22 branch fixture.</w:t>
            </w:r>
          </w:p>
        </w:tc>
        <w:tc>
          <w:tcPr>
            <w:tcW w:w="2340" w:type="dxa"/>
            <w:tcBorders/>
            <w:vAlign w:val="top"/>
          </w:tcPr>
          <w:p>
            <w:pPr>
              <w:pStyle w:val="Normal"/>
              <w:widowControl/>
              <w:bidi w:val="0"/>
              <w:spacing w:lineRule="auto" w:line="240" w:before="0" w:after="40"/>
              <w:jc w:val="start"/>
              <w:rPr/>
            </w:pPr>
            <w:r>
              <w:rPr>
                <w:sz w:val="18"/>
              </w:rPr>
              <w:t>No finite-bit, factoring, efficient-inverse, secrecy, ordering, or measured-advantage claim.</w:t>
            </w:r>
          </w:p>
        </w:tc>
      </w:tr>
      <w:tr>
        <w:trPr/>
        <w:tc>
          <w:tcPr>
            <w:tcW w:w="2340" w:type="dxa"/>
            <w:tcBorders/>
            <w:vAlign w:val="top"/>
            <w:shd w:fill="F7F9FB"/>
          </w:tcPr>
          <w:p>
            <w:pPr>
              <w:pStyle w:val="Normal"/>
              <w:widowControl/>
              <w:bidi w:val="0"/>
              <w:spacing w:lineRule="auto" w:line="240" w:before="0" w:after="40"/>
              <w:jc w:val="start"/>
              <w:rPr/>
            </w:pPr>
            <w:r>
              <w:rPr>
                <w:sz w:val="18"/>
              </w:rPr>
              <w:t>Full Bandwidth Is Not Full Trace v0.1 · 1 Sep 2026 · DOI 10.5281/zenodo.22228162</w:t>
            </w:r>
          </w:p>
        </w:tc>
        <w:tc>
          <w:tcPr>
            <w:tcW w:w="2340" w:type="dxa"/>
            <w:tcBorders/>
            <w:vAlign w:val="top"/>
            <w:shd w:fill="F7F9FB"/>
          </w:tcPr>
          <w:p>
            <w:pPr>
              <w:pStyle w:val="Normal"/>
              <w:widowControl/>
              <w:bidi w:val="0"/>
              <w:spacing w:lineRule="auto" w:line="240" w:before="0" w:after="40"/>
              <w:jc w:val="start"/>
              <w:rPr/>
            </w:pPr>
            <w:r>
              <w:rPr>
                <w:sz w:val="18"/>
              </w:rPr>
              <w:t>Separation of latent feedback from typed trace certification; two-lane evaluation profile.</w:t>
            </w:r>
          </w:p>
        </w:tc>
        <w:tc>
          <w:tcPr>
            <w:tcW w:w="2340" w:type="dxa"/>
            <w:tcBorders/>
            <w:vAlign w:val="top"/>
            <w:shd w:fill="F7F9FB"/>
          </w:tcPr>
          <w:p>
            <w:pPr>
              <w:pStyle w:val="Normal"/>
              <w:widowControl/>
              <w:bidi w:val="0"/>
              <w:spacing w:lineRule="auto" w:line="240" w:before="0" w:after="40"/>
              <w:jc w:val="start"/>
              <w:rPr/>
            </w:pPr>
            <w:r>
              <w:rPr>
                <w:sz w:val="18"/>
              </w:rPr>
              <w:t>Branch/source-map row.</w:t>
            </w:r>
          </w:p>
        </w:tc>
        <w:tc>
          <w:tcPr>
            <w:tcW w:w="2340" w:type="dxa"/>
            <w:tcBorders/>
            <w:vAlign w:val="top"/>
            <w:shd w:fill="F7F9FB"/>
          </w:tcPr>
          <w:p>
            <w:pPr>
              <w:pStyle w:val="Normal"/>
              <w:widowControl/>
              <w:bidi w:val="0"/>
              <w:spacing w:lineRule="auto" w:line="240" w:before="0" w:after="40"/>
              <w:jc w:val="start"/>
              <w:rPr/>
            </w:pPr>
            <w:r>
              <w:rPr>
                <w:sz w:val="18"/>
              </w:rPr>
              <w:t>No FBT code execution, neural result, Strongwiz causal credit, trace guarantee, ARC-performance claim, or safety/authority guarantee.</w:t>
            </w:r>
          </w:p>
        </w:tc>
      </w:tr>
      <w:tr>
        <w:trPr/>
        <w:tc>
          <w:tcPr>
            <w:tcW w:w="2340" w:type="dxa"/>
            <w:tcBorders/>
            <w:vAlign w:val="top"/>
          </w:tcPr>
          <w:p>
            <w:pPr>
              <w:pStyle w:val="Normal"/>
              <w:widowControl/>
              <w:bidi w:val="0"/>
              <w:spacing w:lineRule="auto" w:line="240" w:before="0" w:after="40"/>
              <w:jc w:val="start"/>
              <w:rPr/>
            </w:pPr>
            <w:r>
              <w:rPr>
                <w:sz w:val="18"/>
              </w:rPr>
              <w:t>GOLD v0.1 · 1 Sep 2026 · DOI 10.5281/zenodo.22236848</w:t>
            </w:r>
          </w:p>
        </w:tc>
        <w:tc>
          <w:tcPr>
            <w:tcW w:w="2340" w:type="dxa"/>
            <w:tcBorders/>
            <w:vAlign w:val="top"/>
          </w:tcPr>
          <w:p>
            <w:pPr>
              <w:pStyle w:val="Normal"/>
              <w:widowControl/>
              <w:bidi w:val="0"/>
              <w:spacing w:lineRule="auto" w:line="240" w:before="0" w:after="40"/>
              <w:jc w:val="start"/>
              <w:rPr/>
            </w:pPr>
            <w:r>
              <w:rPr>
                <w:sz w:val="18"/>
              </w:rPr>
              <w:t>Lens, 1+5 split, bigon area, sector residual, cube-to-wheel, and Euler ledgers.</w:t>
            </w:r>
          </w:p>
        </w:tc>
        <w:tc>
          <w:tcPr>
            <w:tcW w:w="2340" w:type="dxa"/>
            <w:tcBorders/>
            <w:vAlign w:val="top"/>
          </w:tcPr>
          <w:p>
            <w:pPr>
              <w:pStyle w:val="Normal"/>
              <w:widowControl/>
              <w:bidi w:val="0"/>
              <w:spacing w:lineRule="auto" w:line="240" w:before="0" w:after="40"/>
              <w:jc w:val="start"/>
              <w:rPr/>
            </w:pPr>
            <w:r>
              <w:rPr>
                <w:sz w:val="18"/>
              </w:rPr>
              <w:t>Fixture suite and PF-GOLD-LENS placement.</w:t>
            </w:r>
          </w:p>
        </w:tc>
        <w:tc>
          <w:tcPr>
            <w:tcW w:w="2340" w:type="dxa"/>
            <w:tcBorders/>
            <w:vAlign w:val="top"/>
          </w:tcPr>
          <w:p>
            <w:pPr>
              <w:pStyle w:val="Normal"/>
              <w:widowControl/>
              <w:bidi w:val="0"/>
              <w:spacing w:lineRule="auto" w:line="240" w:before="0" w:after="40"/>
              <w:jc w:val="start"/>
              <w:rPr/>
            </w:pPr>
            <w:r>
              <w:rPr>
                <w:sz w:val="18"/>
              </w:rPr>
              <w:t>Scale/domain qualified; no primitive, physical blueprint, consciousness, or golden optimality.</w:t>
            </w:r>
          </w:p>
        </w:tc>
      </w:tr>
      <w:tr>
        <w:trPr/>
        <w:tc>
          <w:tcPr>
            <w:tcW w:w="2340" w:type="dxa"/>
            <w:tcBorders/>
            <w:vAlign w:val="top"/>
            <w:shd w:fill="F7F9FB"/>
          </w:tcPr>
          <w:p>
            <w:pPr>
              <w:pStyle w:val="Normal"/>
              <w:widowControl/>
              <w:bidi w:val="0"/>
              <w:spacing w:lineRule="auto" w:line="240" w:before="0" w:after="40"/>
              <w:jc w:val="start"/>
              <w:rPr/>
            </w:pPr>
            <w:r>
              <w:rPr>
                <w:sz w:val="18"/>
              </w:rPr>
              <w:t>Compactification Costs v0.2 · 1 Sep 2026 · DOI 10.5281/zenodo.22238012</w:t>
            </w:r>
          </w:p>
        </w:tc>
        <w:tc>
          <w:tcPr>
            <w:tcW w:w="2340" w:type="dxa"/>
            <w:tcBorders/>
            <w:vAlign w:val="top"/>
            <w:shd w:fill="F7F9FB"/>
          </w:tcPr>
          <w:p>
            <w:pPr>
              <w:pStyle w:val="Normal"/>
              <w:widowControl/>
              <w:bidi w:val="0"/>
              <w:spacing w:lineRule="auto" w:line="240" w:before="0" w:after="40"/>
              <w:jc w:val="start"/>
              <w:rPr/>
            </w:pPr>
            <w:r>
              <w:rPr>
                <w:sz w:val="18"/>
              </w:rPr>
              <w:t>Typed profile; APCI boundary bridge; refinement, coarsening, decoder, and existence seams.</w:t>
            </w:r>
          </w:p>
        </w:tc>
        <w:tc>
          <w:tcPr>
            <w:tcW w:w="2340" w:type="dxa"/>
            <w:tcBorders/>
            <w:vAlign w:val="top"/>
            <w:shd w:fill="F7F9FB"/>
          </w:tcPr>
          <w:p>
            <w:pPr>
              <w:pStyle w:val="Normal"/>
              <w:widowControl/>
              <w:bidi w:val="0"/>
              <w:spacing w:lineRule="auto" w:line="240" w:before="0" w:after="40"/>
              <w:jc w:val="start"/>
              <w:rPr/>
            </w:pPr>
            <w:r>
              <w:rPr>
                <w:sz w:val="18"/>
              </w:rPr>
              <w:t>Boundary registry and interface card.</w:t>
            </w:r>
          </w:p>
        </w:tc>
        <w:tc>
          <w:tcPr>
            <w:tcW w:w="2340" w:type="dxa"/>
            <w:tcBorders/>
            <w:vAlign w:val="top"/>
            <w:shd w:fill="F7F9FB"/>
          </w:tcPr>
          <w:p>
            <w:pPr>
              <w:pStyle w:val="Normal"/>
              <w:widowControl/>
              <w:bidi w:val="0"/>
              <w:spacing w:lineRule="auto" w:line="240" w:before="0" w:after="40"/>
              <w:jc w:val="start"/>
              <w:rPr/>
            </w:pPr>
            <w:r>
              <w:rPr>
                <w:sz w:val="18"/>
              </w:rPr>
              <w:t>No universal scalar, detector, decoder, physical law, or authority from factorization.</w:t>
            </w:r>
          </w:p>
        </w:tc>
      </w:tr>
      <w:tr>
        <w:trPr/>
        <w:tc>
          <w:tcPr>
            <w:tcW w:w="2340" w:type="dxa"/>
            <w:tcBorders/>
            <w:vAlign w:val="top"/>
          </w:tcPr>
          <w:p>
            <w:pPr>
              <w:pStyle w:val="Normal"/>
              <w:widowControl/>
              <w:bidi w:val="0"/>
              <w:spacing w:lineRule="auto" w:line="240" w:before="0" w:after="40"/>
              <w:jc w:val="start"/>
              <w:rPr/>
            </w:pPr>
            <w:r>
              <w:rPr>
                <w:sz w:val="18"/>
              </w:rPr>
              <w:t>Single Cut Transport Lemma v0.2 · 1 Sep 2026 · DOI 10.5281/zenodo.22239108</w:t>
            </w:r>
          </w:p>
        </w:tc>
        <w:tc>
          <w:tcPr>
            <w:tcW w:w="2340" w:type="dxa"/>
            <w:tcBorders/>
            <w:vAlign w:val="top"/>
          </w:tcPr>
          <w:p>
            <w:pPr>
              <w:pStyle w:val="Normal"/>
              <w:widowControl/>
              <w:bidi w:val="0"/>
              <w:spacing w:lineRule="auto" w:line="240" w:before="0" w:after="40"/>
              <w:jc w:val="start"/>
              <w:rPr/>
            </w:pPr>
            <w:r>
              <w:rPr>
                <w:sz w:val="18"/>
              </w:rPr>
              <w:t>q-split, complete-pair fixture, action lift, Fung invariant, exact checkpoint, work-stutter heartbeat, and transport falsifiers.</w:t>
            </w:r>
          </w:p>
        </w:tc>
        <w:tc>
          <w:tcPr>
            <w:tcW w:w="2340" w:type="dxa"/>
            <w:tcBorders/>
            <w:vAlign w:val="top"/>
          </w:tcPr>
          <w:p>
            <w:pPr>
              <w:pStyle w:val="Normal"/>
              <w:widowControl/>
              <w:bidi w:val="0"/>
              <w:spacing w:lineRule="auto" w:line="240" w:before="0" w:after="40"/>
              <w:jc w:val="start"/>
              <w:rPr/>
            </w:pPr>
            <w:r>
              <w:rPr>
                <w:sz w:val="18"/>
              </w:rPr>
              <w:t>A1/A2/A12/A13/A14 cards.</w:t>
            </w:r>
          </w:p>
        </w:tc>
        <w:tc>
          <w:tcPr>
            <w:tcW w:w="2340" w:type="dxa"/>
            <w:tcBorders/>
            <w:vAlign w:val="top"/>
          </w:tcPr>
          <w:p>
            <w:pPr>
              <w:pStyle w:val="Normal"/>
              <w:widowControl/>
              <w:bidi w:val="0"/>
              <w:spacing w:lineRule="auto" w:line="240" w:before="0" w:after="40"/>
              <w:jc w:val="start"/>
              <w:rPr/>
            </w:pPr>
            <w:r>
              <w:rPr>
                <w:sz w:val="18"/>
              </w:rPr>
              <w:t>“</w:t>
            </w:r>
            <w:r>
              <w:rPr>
                <w:sz w:val="18"/>
              </w:rPr>
              <w:t>Smallest” and “largest” are scoped; one bit is local; heartbeat is not progress; no authority/resource backflow.</w:t>
            </w:r>
          </w:p>
        </w:tc>
      </w:tr>
      <w:tr>
        <w:trPr/>
        <w:tc>
          <w:tcPr>
            <w:tcW w:w="2340" w:type="dxa"/>
            <w:tcBorders/>
            <w:vAlign w:val="top"/>
            <w:shd w:fill="F7F9FB"/>
          </w:tcPr>
          <w:p>
            <w:pPr>
              <w:pStyle w:val="Normal"/>
              <w:widowControl/>
              <w:bidi w:val="0"/>
              <w:spacing w:lineRule="auto" w:line="240" w:before="0" w:after="40"/>
              <w:jc w:val="start"/>
              <w:rPr/>
            </w:pPr>
            <w:r>
              <w:rPr>
                <w:sz w:val="18"/>
              </w:rPr>
              <w:t xml:space="preserve">Stanley P. Y. Fung, </w:t>
            </w:r>
            <w:r>
              <w:rPr>
                <w:i/>
                <w:iCs/>
                <w:sz w:val="18"/>
              </w:rPr>
              <w:t>Is This the Simplest (and Most Surprising) Sorting Algorithm Ever?</w:t>
            </w:r>
            <w:r>
              <w:rPr>
                <w:sz w:val="18"/>
              </w:rPr>
              <w:t xml:space="preserve"> · 3 Oct 2021 · arXiv 2110.01111 · DOI 10.48550/arXiv.2110.01111</w:t>
            </w:r>
          </w:p>
        </w:tc>
        <w:tc>
          <w:tcPr>
            <w:tcW w:w="2340" w:type="dxa"/>
            <w:tcBorders/>
            <w:vAlign w:val="top"/>
            <w:shd w:fill="F7F9FB"/>
          </w:tcPr>
          <w:p>
            <w:pPr>
              <w:pStyle w:val="Normal"/>
              <w:widowControl/>
              <w:bidi w:val="0"/>
              <w:spacing w:lineRule="auto" w:line="240" w:before="0" w:after="40"/>
              <w:jc w:val="start"/>
              <w:rPr/>
            </w:pPr>
            <w:r>
              <w:rPr>
                <w:sz w:val="18"/>
              </w:rPr>
              <w:t>Ordered-pair schedule, pass invariant, correctness, and swap analysis.</w:t>
            </w:r>
          </w:p>
        </w:tc>
        <w:tc>
          <w:tcPr>
            <w:tcW w:w="2340" w:type="dxa"/>
            <w:tcBorders/>
            <w:vAlign w:val="top"/>
            <w:shd w:fill="F7F9FB"/>
          </w:tcPr>
          <w:p>
            <w:pPr>
              <w:pStyle w:val="Normal"/>
              <w:widowControl/>
              <w:bidi w:val="0"/>
              <w:spacing w:lineRule="auto" w:line="240" w:before="0" w:after="40"/>
              <w:jc w:val="start"/>
              <w:rPr/>
            </w:pPr>
            <w:r>
              <w:rPr>
                <w:sz w:val="18"/>
              </w:rPr>
              <w:t>F-FUNG-SWEEP only.</w:t>
            </w:r>
          </w:p>
        </w:tc>
        <w:tc>
          <w:tcPr>
            <w:tcW w:w="2340" w:type="dxa"/>
            <w:tcBorders/>
            <w:vAlign w:val="top"/>
            <w:shd w:fill="F7F9FB"/>
          </w:tcPr>
          <w:p>
            <w:pPr>
              <w:pStyle w:val="Normal"/>
              <w:widowControl/>
              <w:bidi w:val="0"/>
              <w:spacing w:lineRule="auto" w:line="240" w:before="0" w:after="40"/>
              <w:jc w:val="start"/>
              <w:rPr/>
            </w:pPr>
            <w:r>
              <w:rPr>
                <w:sz w:val="18"/>
              </w:rPr>
              <w:t>No Fung code imported or executed; no formal simplicity, practical optimality, or PAL-validation claim.</w:t>
            </w:r>
          </w:p>
        </w:tc>
      </w:tr>
      <w:tr>
        <w:trPr/>
        <w:tc>
          <w:tcPr>
            <w:tcW w:w="2340" w:type="dxa"/>
            <w:tcBorders/>
            <w:vAlign w:val="top"/>
          </w:tcPr>
          <w:p>
            <w:pPr>
              <w:pStyle w:val="Normal"/>
              <w:widowControl/>
              <w:bidi w:val="0"/>
              <w:spacing w:lineRule="auto" w:line="240" w:before="0" w:after="40"/>
              <w:jc w:val="start"/>
              <w:rPr/>
            </w:pPr>
            <w:r>
              <w:rPr>
                <w:sz w:val="18"/>
              </w:rPr>
              <w:t>Christopher D. Pang · PAL v2.3 author instructions · 2 Sep 2026</w:t>
            </w:r>
          </w:p>
        </w:tc>
        <w:tc>
          <w:tcPr>
            <w:tcW w:w="2340" w:type="dxa"/>
            <w:tcBorders/>
            <w:vAlign w:val="top"/>
          </w:tcPr>
          <w:p>
            <w:pPr>
              <w:pStyle w:val="Normal"/>
              <w:widowControl/>
              <w:bidi w:val="0"/>
              <w:spacing w:lineRule="auto" w:line="240" w:before="0" w:after="40"/>
              <w:jc w:val="start"/>
              <w:rPr/>
            </w:pPr>
            <w:r>
              <w:rPr>
                <w:sz w:val="18"/>
              </w:rPr>
              <w:t>Exact seven-question opening wording and authorization of an Atlas-local decorated RAINBOW section.</w:t>
            </w:r>
          </w:p>
        </w:tc>
        <w:tc>
          <w:tcPr>
            <w:tcW w:w="2340" w:type="dxa"/>
            <w:tcBorders/>
            <w:vAlign w:val="top"/>
          </w:tcPr>
          <w:p>
            <w:pPr>
              <w:pStyle w:val="Normal"/>
              <w:widowControl/>
              <w:bidi w:val="0"/>
              <w:spacing w:lineRule="auto" w:line="240" w:before="0" w:after="40"/>
              <w:jc w:val="start"/>
              <w:rPr/>
            </w:pPr>
            <w:r>
              <w:rPr>
                <w:sz w:val="18"/>
              </w:rPr>
              <w:t>D38-D39 and O61-O62; exact opening text in the Spine; RAINBOW scope and figures in the Atlas.</w:t>
            </w:r>
          </w:p>
        </w:tc>
        <w:tc>
          <w:tcPr>
            <w:tcW w:w="2340" w:type="dxa"/>
            <w:tcBorders/>
            <w:vAlign w:val="top"/>
          </w:tcPr>
          <w:p>
            <w:pPr>
              <w:pStyle w:val="Normal"/>
              <w:widowControl/>
              <w:bidi w:val="0"/>
              <w:spacing w:lineRule="auto" w:line="240" w:before="0" w:after="40"/>
              <w:jc w:val="start"/>
              <w:rPr/>
            </w:pPr>
            <w:r>
              <w:rPr>
                <w:sz w:val="18"/>
              </w:rPr>
              <w:t>Normative author and release authority only within PAL; the instructions do not supply mathematical proof, physical evidence, or independent corroboration.</w:t>
            </w:r>
          </w:p>
        </w:tc>
      </w:tr>
    </w:tbl>
    <w:p>
      <w:pPr>
        <w:pStyle w:val="Normal"/>
        <w:keepNext/>
        <w:keepLines/>
        <w:rPr/>
      </w:pPr>
      <w:r>
        <w:rPr/>
        <w:t>All Pang works listed here form one author-led lineage. Cross-citation, regenerated figures, finite runs, formal receipts, and AI-assisted review can add reproducibility evidence but are not independent corroboration. Exact prior result, finite verification, new PAL synthesis, interpretation, presentation, and open analogy remain separately labeled.</w:t>
      </w:r>
    </w:p>
    <w:p>
      <w:pPr>
        <w:pStyle w:val="Heading2"/>
        <w:keepNext/>
        <w:keepLines/>
        <w:rPr/>
      </w:pPr>
      <w:bookmarkStart w:id="101" w:name="publication-lineage"/>
      <w:r>
        <w:rPr/>
        <w:t>13.2 Publication lineage</w:t>
      </w:r>
      <w:bookmarkEnd w:id="101"/>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340"/>
        <w:gridCol w:w="2340"/>
        <w:gridCol w:w="2340"/>
        <w:gridCol w:w="2340"/>
      </w:tblGrid>
      <w:tr>
        <w:trPr>
          <w:tblHeader w:val="true"/>
        </w:trPr>
        <w:tc>
          <w:tcPr>
            <w:tcW w:w="2340" w:type="dxa"/>
            <w:tcBorders/>
            <w:vAlign w:val="top"/>
            <w:shd w:fill="DCE6F1"/>
          </w:tcPr>
          <w:p>
            <w:pPr>
              <w:pStyle w:val="Normal"/>
              <w:spacing w:before="0" w:after="40" w:line="240" w:lineRule="auto"/>
              <w:rPr>
                <w:b/>
                <w:bCs/>
              </w:rPr>
            </w:pPr>
            <w:r>
              <w:rPr>
                <w:b/>
                <w:bCs/>
                <w:color w:val="1F4D78"/>
                <w:sz w:val="18"/>
              </w:rPr>
              <w:t>Release</w:t>
            </w:r>
          </w:p>
        </w:tc>
        <w:tc>
          <w:tcPr>
            <w:tcW w:w="2340" w:type="dxa"/>
            <w:tcBorders/>
            <w:vAlign w:val="top"/>
            <w:shd w:fill="DCE6F1"/>
          </w:tcPr>
          <w:p>
            <w:pPr>
              <w:pStyle w:val="Normal"/>
              <w:spacing w:before="0" w:after="40" w:line="240" w:lineRule="auto"/>
              <w:rPr>
                <w:b/>
                <w:bCs/>
              </w:rPr>
            </w:pPr>
            <w:r>
              <w:rPr>
                <w:b/>
                <w:bCs/>
                <w:color w:val="1F4D78"/>
                <w:sz w:val="18"/>
              </w:rPr>
              <w:t>DOI</w:t>
            </w:r>
          </w:p>
        </w:tc>
        <w:tc>
          <w:tcPr>
            <w:tcW w:w="2340" w:type="dxa"/>
            <w:tcBorders/>
            <w:vAlign w:val="top"/>
            <w:shd w:fill="DCE6F1"/>
          </w:tcPr>
          <w:p>
            <w:pPr>
              <w:pStyle w:val="Normal"/>
              <w:spacing w:before="0" w:after="40" w:line="240" w:lineRule="auto"/>
              <w:rPr>
                <w:b/>
                <w:bCs/>
              </w:rPr>
            </w:pPr>
            <w:r>
              <w:rPr>
                <w:b/>
                <w:bCs/>
                <w:color w:val="1F4D78"/>
                <w:sz w:val="18"/>
              </w:rPr>
              <w:t>Ledger role</w:t>
            </w:r>
          </w:p>
        </w:tc>
        <w:tc>
          <w:tcPr>
            <w:tcW w:w="2340" w:type="dxa"/>
            <w:tcBorders/>
            <w:vAlign w:val="top"/>
            <w:shd w:fill="DCE6F1"/>
          </w:tcPr>
          <w:p>
            <w:pPr>
              <w:pStyle w:val="Normal"/>
              <w:spacing w:before="0" w:after="40" w:line="240" w:lineRule="auto"/>
              <w:rPr>
                <w:b/>
                <w:bCs/>
              </w:rPr>
            </w:pPr>
            <w:r>
              <w:rPr>
                <w:b/>
                <w:bCs/>
                <w:color w:val="1F4D78"/>
                <w:sz w:val="18"/>
              </w:rPr>
              <w:t>Authority account</w:t>
            </w:r>
          </w:p>
        </w:tc>
      </w:tr>
      <w:tr>
        <w:trPr/>
        <w:tc>
          <w:tcPr>
            <w:tcW w:w="2340" w:type="dxa"/>
            <w:tcBorders/>
            <w:vAlign w:val="top"/>
          </w:tcPr>
          <w:p>
            <w:pPr>
              <w:pStyle w:val="Normal"/>
              <w:widowControl/>
              <w:bidi w:val="0"/>
              <w:spacing w:lineRule="auto" w:line="240" w:before="0" w:after="40"/>
              <w:jc w:val="start"/>
              <w:rPr/>
            </w:pPr>
            <w:r>
              <w:rPr>
                <w:sz w:val="18"/>
              </w:rPr>
              <w:t>PAL v1.6</w:t>
            </w:r>
          </w:p>
        </w:tc>
        <w:tc>
          <w:tcPr>
            <w:tcW w:w="2340" w:type="dxa"/>
            <w:tcBorders/>
            <w:vAlign w:val="top"/>
          </w:tcPr>
          <w:p>
            <w:pPr>
              <w:pStyle w:val="Normal"/>
              <w:widowControl/>
              <w:bidi w:val="0"/>
              <w:spacing w:lineRule="auto" w:line="240" w:before="0" w:after="40"/>
              <w:jc w:val="start"/>
              <w:rPr/>
            </w:pPr>
            <w:r>
              <w:rPr>
                <w:sz w:val="18"/>
              </w:rPr>
              <w:t>10.5281/zenodo.21635188</w:t>
            </w:r>
          </w:p>
        </w:tc>
        <w:tc>
          <w:tcPr>
            <w:tcW w:w="2340" w:type="dxa"/>
            <w:tcBorders/>
            <w:vAlign w:val="top"/>
          </w:tcPr>
          <w:p>
            <w:pPr>
              <w:pStyle w:val="Normal"/>
              <w:widowControl/>
              <w:bidi w:val="0"/>
              <w:spacing w:lineRule="auto" w:line="240" w:before="0" w:after="40"/>
              <w:jc w:val="start"/>
              <w:rPr/>
            </w:pPr>
            <w:r>
              <w:rPr>
                <w:sz w:val="18"/>
              </w:rPr>
              <w:t>Canonical 1.x predecessor and source of the 51-row obligation population.</w:t>
            </w:r>
          </w:p>
        </w:tc>
        <w:tc>
          <w:tcPr>
            <w:tcW w:w="2340" w:type="dxa"/>
            <w:tcBorders/>
            <w:vAlign w:val="top"/>
          </w:tcPr>
          <w:p>
            <w:pPr>
              <w:pStyle w:val="Normal"/>
              <w:widowControl/>
              <w:bidi w:val="0"/>
              <w:spacing w:lineRule="auto" w:line="240" w:before="0" w:after="40"/>
              <w:jc w:val="start"/>
              <w:rPr/>
            </w:pPr>
            <w:r>
              <w:rPr>
                <w:sz w:val="18"/>
              </w:rPr>
              <w:t>Historical authority under its released scope.</w:t>
            </w:r>
          </w:p>
        </w:tc>
      </w:tr>
      <w:tr>
        <w:trPr/>
        <w:tc>
          <w:tcPr>
            <w:tcW w:w="2340" w:type="dxa"/>
            <w:tcBorders/>
            <w:vAlign w:val="top"/>
            <w:shd w:fill="F7F9FB"/>
          </w:tcPr>
          <w:p>
            <w:pPr>
              <w:pStyle w:val="Normal"/>
              <w:widowControl/>
              <w:bidi w:val="0"/>
              <w:spacing w:lineRule="auto" w:line="240" w:before="0" w:after="40"/>
              <w:jc w:val="start"/>
              <w:rPr/>
            </w:pPr>
            <w:r>
              <w:rPr>
                <w:sz w:val="18"/>
              </w:rPr>
              <w:t>PAL v2.0</w:t>
            </w:r>
          </w:p>
        </w:tc>
        <w:tc>
          <w:tcPr>
            <w:tcW w:w="2340" w:type="dxa"/>
            <w:tcBorders/>
            <w:vAlign w:val="top"/>
            <w:shd w:fill="F7F9FB"/>
          </w:tcPr>
          <w:p>
            <w:pPr>
              <w:pStyle w:val="Normal"/>
              <w:widowControl/>
              <w:bidi w:val="0"/>
              <w:spacing w:lineRule="auto" w:line="240" w:before="0" w:after="40"/>
              <w:jc w:val="start"/>
              <w:rPr/>
            </w:pPr>
            <w:r>
              <w:rPr>
                <w:sz w:val="18"/>
              </w:rPr>
              <w:t>10.5281/zenodo.21754097</w:t>
            </w:r>
          </w:p>
        </w:tc>
        <w:tc>
          <w:tcPr>
            <w:tcW w:w="2340" w:type="dxa"/>
            <w:tcBorders/>
            <w:vAlign w:val="top"/>
            <w:shd w:fill="F7F9FB"/>
          </w:tcPr>
          <w:p>
            <w:pPr>
              <w:pStyle w:val="Normal"/>
              <w:widowControl/>
              <w:bidi w:val="0"/>
              <w:spacing w:lineRule="auto" w:line="240" w:before="0" w:after="40"/>
              <w:jc w:val="start"/>
              <w:rPr/>
            </w:pPr>
            <w:r>
              <w:rPr>
                <w:sz w:val="18"/>
              </w:rPr>
              <w:t>Mechanical reformalization and D01-D15 normalization.</w:t>
            </w:r>
          </w:p>
        </w:tc>
        <w:tc>
          <w:tcPr>
            <w:tcW w:w="2340" w:type="dxa"/>
            <w:tcBorders/>
            <w:vAlign w:val="top"/>
            <w:shd w:fill="F7F9FB"/>
          </w:tcPr>
          <w:p>
            <w:pPr>
              <w:pStyle w:val="Normal"/>
              <w:widowControl/>
              <w:bidi w:val="0"/>
              <w:spacing w:lineRule="auto" w:line="240" w:before="0" w:after="40"/>
              <w:jc w:val="start"/>
              <w:rPr/>
            </w:pPr>
            <w:r>
              <w:rPr>
                <w:sz w:val="18"/>
              </w:rPr>
              <w:t>Historical authority under its released scope.</w:t>
            </w:r>
          </w:p>
        </w:tc>
      </w:tr>
      <w:tr>
        <w:trPr/>
        <w:tc>
          <w:tcPr>
            <w:tcW w:w="2340" w:type="dxa"/>
            <w:tcBorders/>
            <w:vAlign w:val="top"/>
          </w:tcPr>
          <w:p>
            <w:pPr>
              <w:pStyle w:val="Normal"/>
              <w:widowControl/>
              <w:bidi w:val="0"/>
              <w:spacing w:lineRule="auto" w:line="240" w:before="0" w:after="40"/>
              <w:jc w:val="start"/>
              <w:rPr/>
            </w:pPr>
            <w:r>
              <w:rPr>
                <w:sz w:val="18"/>
              </w:rPr>
              <w:t>PAL v2.1</w:t>
            </w:r>
          </w:p>
        </w:tc>
        <w:tc>
          <w:tcPr>
            <w:tcW w:w="2340" w:type="dxa"/>
            <w:tcBorders/>
            <w:vAlign w:val="top"/>
          </w:tcPr>
          <w:p>
            <w:pPr>
              <w:pStyle w:val="Normal"/>
              <w:widowControl/>
              <w:bidi w:val="0"/>
              <w:spacing w:lineRule="auto" w:line="240" w:before="0" w:after="40"/>
              <w:jc w:val="start"/>
              <w:rPr/>
            </w:pPr>
            <w:r>
              <w:rPr>
                <w:sz w:val="18"/>
              </w:rPr>
              <w:t>10.5281/zenodo.21864767</w:t>
            </w:r>
          </w:p>
        </w:tc>
        <w:tc>
          <w:tcPr>
            <w:tcW w:w="2340" w:type="dxa"/>
            <w:tcBorders/>
            <w:vAlign w:val="top"/>
          </w:tcPr>
          <w:p>
            <w:pPr>
              <w:pStyle w:val="Normal"/>
              <w:widowControl/>
              <w:bidi w:val="0"/>
              <w:spacing w:lineRule="auto" w:line="240" w:before="0" w:after="40"/>
              <w:jc w:val="start"/>
              <w:rPr/>
            </w:pPr>
            <w:r>
              <w:rPr>
                <w:sz w:val="18"/>
              </w:rPr>
              <w:t>D16-D23 and first-occurrence clarification.</w:t>
            </w:r>
          </w:p>
        </w:tc>
        <w:tc>
          <w:tcPr>
            <w:tcW w:w="2340" w:type="dxa"/>
            <w:tcBorders/>
            <w:vAlign w:val="top"/>
          </w:tcPr>
          <w:p>
            <w:pPr>
              <w:pStyle w:val="Normal"/>
              <w:widowControl/>
              <w:bidi w:val="0"/>
              <w:spacing w:lineRule="auto" w:line="240" w:before="0" w:after="40"/>
              <w:jc w:val="start"/>
              <w:rPr/>
            </w:pPr>
            <w:r>
              <w:rPr>
                <w:sz w:val="18"/>
              </w:rPr>
              <w:t>Historical authority under its released scope.</w:t>
            </w:r>
          </w:p>
        </w:tc>
      </w:tr>
      <w:tr>
        <w:trPr/>
        <w:tc>
          <w:tcPr>
            <w:tcW w:w="2340" w:type="dxa"/>
            <w:tcBorders/>
            <w:vAlign w:val="top"/>
            <w:shd w:fill="F7F9FB"/>
          </w:tcPr>
          <w:p>
            <w:pPr>
              <w:pStyle w:val="Normal"/>
              <w:widowControl/>
              <w:bidi w:val="0"/>
              <w:spacing w:lineRule="auto" w:line="240" w:before="0" w:after="40"/>
              <w:jc w:val="start"/>
              <w:rPr/>
            </w:pPr>
            <w:r>
              <w:rPr>
                <w:sz w:val="18"/>
              </w:rPr>
              <w:t>PAL v2.2</w:t>
            </w:r>
          </w:p>
        </w:tc>
        <w:tc>
          <w:tcPr>
            <w:tcW w:w="2340" w:type="dxa"/>
            <w:tcBorders/>
            <w:vAlign w:val="top"/>
            <w:shd w:fill="F7F9FB"/>
          </w:tcPr>
          <w:p>
            <w:pPr>
              <w:pStyle w:val="Normal"/>
              <w:widowControl/>
              <w:bidi w:val="0"/>
              <w:spacing w:lineRule="auto" w:line="240" w:before="0" w:after="40"/>
              <w:jc w:val="start"/>
              <w:rPr/>
            </w:pPr>
            <w:r>
              <w:rPr>
                <w:sz w:val="18"/>
              </w:rPr>
              <w:t>10.5281/zenodo.21891598</w:t>
            </w:r>
          </w:p>
        </w:tc>
        <w:tc>
          <w:tcPr>
            <w:tcW w:w="2340" w:type="dxa"/>
            <w:tcBorders/>
            <w:vAlign w:val="top"/>
            <w:shd w:fill="F7F9FB"/>
          </w:tcPr>
          <w:p>
            <w:pPr>
              <w:pStyle w:val="Normal"/>
              <w:widowControl/>
              <w:bidi w:val="0"/>
              <w:spacing w:lineRule="auto" w:line="240" w:before="0" w:after="40"/>
              <w:jc w:val="start"/>
              <w:rPr/>
            </w:pPr>
            <w:r>
              <w:rPr>
                <w:sz w:val="18"/>
              </w:rPr>
              <w:t>Immediate predecessor; D24-D30 account/receipt layer.</w:t>
            </w:r>
          </w:p>
        </w:tc>
        <w:tc>
          <w:tcPr>
            <w:tcW w:w="2340" w:type="dxa"/>
            <w:tcBorders/>
            <w:vAlign w:val="top"/>
            <w:shd w:fill="F7F9FB"/>
          </w:tcPr>
          <w:p>
            <w:pPr>
              <w:pStyle w:val="Normal"/>
              <w:widowControl/>
              <w:bidi w:val="0"/>
              <w:spacing w:lineRule="auto" w:line="240" w:before="0" w:after="40"/>
              <w:jc w:val="start"/>
              <w:rPr/>
            </w:pPr>
            <w:r>
              <w:rPr>
                <w:sz w:val="18"/>
              </w:rPr>
              <w:t>Frozen predecessor authority; exact bytes identified by manifest and hashes.</w:t>
            </w:r>
          </w:p>
        </w:tc>
      </w:tr>
      <w:tr>
        <w:trPr/>
        <w:tc>
          <w:tcPr>
            <w:tcW w:w="2340" w:type="dxa"/>
            <w:tcBorders/>
            <w:vAlign w:val="top"/>
          </w:tcPr>
          <w:p>
            <w:pPr>
              <w:pStyle w:val="Normal"/>
              <w:widowControl/>
              <w:bidi w:val="0"/>
              <w:spacing w:lineRule="auto" w:line="240" w:before="0" w:after="40"/>
              <w:jc w:val="start"/>
              <w:rPr/>
            </w:pPr>
            <w:r>
              <w:rPr>
                <w:sz w:val="18"/>
              </w:rPr>
              <w:t>PAL v2.3</w:t>
            </w:r>
          </w:p>
        </w:tc>
        <w:tc>
          <w:tcPr>
            <w:tcW w:w="2340" w:type="dxa"/>
            <w:tcBorders/>
            <w:vAlign w:val="top"/>
          </w:tcPr>
          <w:p>
            <w:pPr>
              <w:pStyle w:val="Normal"/>
              <w:widowControl/>
              <w:bidi w:val="0"/>
              <w:spacing w:lineRule="auto" w:line="240" w:before="0" w:after="40"/>
              <w:jc w:val="start"/>
              <w:rPr/>
            </w:pPr>
            <w:r>
              <w:rPr>
                <w:sz w:val="18"/>
              </w:rPr>
              <w:t>10.5281/zenodo.22240134</w:t>
            </w:r>
          </w:p>
        </w:tc>
        <w:tc>
          <w:tcPr>
            <w:tcW w:w="2340" w:type="dxa"/>
            <w:tcBorders/>
            <w:vAlign w:val="top"/>
          </w:tcPr>
          <w:p>
            <w:pPr>
              <w:pStyle w:val="Normal"/>
              <w:widowControl/>
              <w:bidi w:val="0"/>
              <w:spacing w:lineRule="auto" w:line="240" w:before="0" w:after="40"/>
              <w:jc w:val="start"/>
              <w:rPr/>
            </w:pPr>
            <w:r>
              <w:rPr>
                <w:sz w:val="18"/>
              </w:rPr>
              <w:t>Current author release; D31-D39 and O52-O62.</w:t>
            </w:r>
          </w:p>
        </w:tc>
        <w:tc>
          <w:tcPr>
            <w:tcW w:w="2340" w:type="dxa"/>
            <w:tcBorders/>
            <w:vAlign w:val="top"/>
          </w:tcPr>
          <w:p>
            <w:pPr>
              <w:pStyle w:val="Normal"/>
              <w:widowControl/>
              <w:bidi w:val="0"/>
              <w:spacing w:lineRule="auto" w:line="240" w:before="0" w:after="40"/>
              <w:jc w:val="start"/>
              <w:rPr/>
            </w:pPr>
            <w:r>
              <w:rPr>
                <w:sz w:val="18"/>
              </w:rPr>
              <w:t>Christopher D. Pang is sole author, steward, normative authority, and release authority.</w:t>
            </w:r>
          </w:p>
        </w:tc>
      </w:tr>
    </w:tbl>
    <w:p>
      <w:pPr>
        <w:pStyle w:val="Normal"/>
        <w:keepNext/>
        <w:keepLines/>
        <w:rPr/>
      </w:pPr>
      <w:r>
        <w:rPr/>
        <w:t>PAL v2.3 is the publication successor to PAL v2.2. Publication succession does not by itself establish PAL-native VERSION. An account earns VERSION only through SC-20 invariant evidence; otherwise the applicable account relation is SUCCESSOR. Historical text remains evidence under its original release, and v2.3 fields are not inferred backward.</w:t>
      </w:r>
    </w:p>
    <w:p>
      <w:pPr>
        <w:pStyle w:val="Heading2"/>
        <w:keepNext/>
        <w:keepLines/>
        <w:rPr/>
      </w:pPr>
      <w:bookmarkStart w:id="102" w:name="v2.2v2.3-ledger-change-log"/>
      <w:r>
        <w:rPr/>
        <w:t>13.3 v2.2→v2.3 Ledger change log</w:t>
      </w:r>
      <w:bookmarkEnd w:id="102"/>
    </w:p>
    <w:p>
      <w:pPr>
        <w:pStyle w:val="Heading3"/>
        <w:keepNext/>
        <w:keepLines/>
        <w:rPr/>
      </w:pPr>
      <w:bookmarkStart w:id="103" w:name="preserved"/>
      <w:r>
        <w:rPr/>
        <w:t>Preserved</w:t>
      </w:r>
      <w:bookmarkEnd w:id="103"/>
    </w:p>
    <w:p>
      <w:pPr>
        <w:pStyle w:val="BodyText"/>
        <w:keepNext/>
        <w:keepLines/>
        <w:numPr>
          <w:ilvl w:val="0"/>
          <w:numId w:val="11"/>
        </w:numPr>
        <w:spacing w:before="0" w:after="0"/>
        <w:rPr/>
      </w:pPr>
      <w:r>
        <w:rPr/>
        <w:t>D01-D30 and O01-O51 retain their identifiers and historical substance.</w:t>
      </w:r>
    </w:p>
    <w:p>
      <w:pPr>
        <w:pStyle w:val="BodyText"/>
        <w:numPr>
          <w:ilvl w:val="0"/>
          <w:numId w:val="11"/>
        </w:numPr>
        <w:spacing w:before="0" w:after="0"/>
        <w:rPr/>
      </w:pPr>
      <w:r>
        <w:rPr/>
        <w:t>The historical obligation checksum remains 51 = 23 CORE CLOSED + 19 PARAMETERIZED + 7 BRANCH + 2 OPEN.</w:t>
      </w:r>
    </w:p>
    <w:p>
      <w:pPr>
        <w:pStyle w:val="BodyText"/>
        <w:numPr>
          <w:ilvl w:val="0"/>
          <w:numId w:val="11"/>
        </w:numPr>
        <w:spacing w:before="0" w:after="0"/>
        <w:rPr/>
      </w:pPr>
      <w:r>
        <w:rPr/>
        <w:t>D-FIRST-OCCURRENCE remains OPEN through O04 and O25; multi-parent lineage remains an OPEN design boundary outside the checksums.</w:t>
      </w:r>
    </w:p>
    <w:p>
      <w:pPr>
        <w:pStyle w:val="BodyText"/>
        <w:numPr>
          <w:ilvl w:val="0"/>
          <w:numId w:val="11"/>
        </w:numPr>
        <w:spacing w:before="0" w:after="0"/>
        <w:rPr/>
      </w:pPr>
      <w:r>
        <w:rPr/>
        <w:t>Five-face authority, four claim statuses, account operations, frozen receipts, no-authority-backflow, and residual-lineage rules remain in force.</w:t>
      </w:r>
    </w:p>
    <w:p>
      <w:pPr>
        <w:pStyle w:val="Heading3"/>
        <w:keepNext/>
        <w:keepLines/>
        <w:rPr/>
      </w:pPr>
      <w:bookmarkStart w:id="104" w:name="added"/>
      <w:r>
        <w:rPr/>
        <w:t>Added</w:t>
      </w:r>
      <w:bookmarkEnd w:id="104"/>
    </w:p>
    <w:p>
      <w:pPr>
        <w:pStyle w:val="BodyText"/>
        <w:keepNext/>
        <w:keepLines/>
        <w:numPr>
          <w:ilvl w:val="0"/>
          <w:numId w:val="12"/>
        </w:numPr>
        <w:spacing w:before="0" w:after="0"/>
        <w:rPr/>
      </w:pPr>
      <w:r>
        <w:rPr/>
        <w:t>D31-D37 and O52-O60 implement the fixed boundary, minimality, decoder, action-trace, return, checkpoint, geometry, and package disciplines.</w:t>
      </w:r>
    </w:p>
    <w:p>
      <w:pPr>
        <w:pStyle w:val="BodyText"/>
        <w:numPr>
          <w:ilvl w:val="0"/>
          <w:numId w:val="12"/>
        </w:numPr>
        <w:spacing w:before="0" w:after="0"/>
        <w:rPr/>
      </w:pPr>
      <w:r>
        <w:rPr/>
        <w:t>D38-D39 and O61-O62 receipt the later author-directed opening firewall and RAINBOW Atlas section.</w:t>
      </w:r>
    </w:p>
    <w:p>
      <w:pPr>
        <w:pStyle w:val="BodyText"/>
        <w:numPr>
          <w:ilvl w:val="0"/>
          <w:numId w:val="12"/>
        </w:numPr>
        <w:spacing w:before="0" w:after="0"/>
        <w:rPr/>
      </w:pPr>
      <w:r>
        <w:rPr/>
        <w:t>Separate extension checksums, verification maps, source roles, and predecessor crosswalks make the additions auditable without altering historical counts.</w:t>
      </w:r>
    </w:p>
    <w:p>
      <w:pPr>
        <w:pStyle w:val="Heading3"/>
        <w:keepNext/>
        <w:keepLines/>
        <w:rPr/>
      </w:pPr>
      <w:bookmarkStart w:id="105" w:name="clarified"/>
      <w:r>
        <w:rPr/>
        <w:t>Clarified</w:t>
      </w:r>
      <w:bookmarkEnd w:id="105"/>
    </w:p>
    <w:p>
      <w:pPr>
        <w:pStyle w:val="BodyText"/>
        <w:keepNext/>
        <w:keepLines/>
        <w:numPr>
          <w:ilvl w:val="0"/>
          <w:numId w:val="13"/>
        </w:numPr>
        <w:spacing w:before="0" w:after="0"/>
        <w:rPr/>
      </w:pPr>
      <w:r>
        <w:rPr/>
        <w:t>Boundary uses are role-typed; projection-relative equality does not imply total-state identity.</w:t>
      </w:r>
    </w:p>
    <w:p>
      <w:pPr>
        <w:pStyle w:val="BodyText"/>
        <w:numPr>
          <w:ilvl w:val="0"/>
          <w:numId w:val="13"/>
        </w:numPr>
        <w:spacing w:before="0" w:after="0"/>
        <w:rPr/>
      </w:pPr>
      <w:r>
        <w:rPr/>
        <w:t>θ is structurally minimal and has no least-positive metric content.</w:t>
      </w:r>
    </w:p>
    <w:p>
      <w:pPr>
        <w:pStyle w:val="BodyText"/>
        <w:numPr>
          <w:ilvl w:val="0"/>
          <w:numId w:val="13"/>
        </w:numPr>
        <w:spacing w:before="0" w:after="0"/>
        <w:rPr/>
      </w:pPr>
      <w:r>
        <w:rPr/>
        <w:t>“</w:t>
      </w:r>
      <w:r>
        <w:rPr/>
        <w:t>Some distance” in the opening means the expressly supplied nonmetric separation required for a closable asymmetry.</w:t>
      </w:r>
    </w:p>
    <w:p>
      <w:pPr>
        <w:pStyle w:val="BodyText"/>
        <w:numPr>
          <w:ilvl w:val="0"/>
          <w:numId w:val="13"/>
        </w:numPr>
        <w:spacing w:before="0" w:after="0"/>
        <w:rPr/>
      </w:pPr>
      <w:r>
        <w:rPr/>
        <w:t>Reachable factorization, totalization, decoder class, path identity, receipt identity, work state, audit state, resources, grants, and authority remain distinct claims.</w:t>
      </w:r>
    </w:p>
    <w:p>
      <w:pPr>
        <w:pStyle w:val="Heading3"/>
        <w:keepNext/>
        <w:keepLines/>
        <w:rPr/>
      </w:pPr>
      <w:bookmarkStart w:id="106" w:name="rerouted"/>
      <w:r>
        <w:rPr/>
        <w:t>Rerouted</w:t>
      </w:r>
      <w:bookmarkEnd w:id="106"/>
    </w:p>
    <w:p>
      <w:pPr>
        <w:pStyle w:val="BodyText"/>
        <w:keepNext/>
        <w:keepLines/>
        <w:numPr>
          <w:ilvl w:val="0"/>
          <w:numId w:val="14"/>
        </w:numPr>
        <w:spacing w:before="0" w:after="0"/>
        <w:rPr/>
      </w:pPr>
      <w:r>
        <w:rPr/>
        <w:t>Geometry, interface fibers, q-splits, action lifts, checkpoint transport, heartbeat stutter, slack, compactification, GOLD, GPPR, rhythm, and RAINBOW material remain conditional Atlas realizations or bounded fixtures.</w:t>
      </w:r>
    </w:p>
    <w:p>
      <w:pPr>
        <w:pStyle w:val="BodyText"/>
        <w:numPr>
          <w:ilvl w:val="0"/>
          <w:numId w:val="14"/>
        </w:numPr>
        <w:spacing w:before="0" w:after="0"/>
        <w:rPr/>
      </w:pPr>
      <w:r>
        <w:rPr/>
        <w:t>Quantum collapse, Lagrange-point dynamics, and physical interpretations remain open analogies unless a later branch supplies explicit models and evidence.</w:t>
      </w:r>
    </w:p>
    <w:p>
      <w:pPr>
        <w:pStyle w:val="Heading3"/>
        <w:keepNext/>
        <w:keepLines/>
        <w:rPr/>
      </w:pPr>
      <w:bookmarkStart w:id="107" w:name="still-open"/>
      <w:r>
        <w:rPr/>
        <w:t>Still open</w:t>
      </w:r>
      <w:bookmarkEnd w:id="107"/>
    </w:p>
    <w:p>
      <w:pPr>
        <w:pStyle w:val="BodyText"/>
        <w:keepNext/>
        <w:keepLines/>
        <w:numPr>
          <w:ilvl w:val="0"/>
          <w:numId w:val="15"/>
        </w:numPr>
        <w:spacing w:before="0" w:after="0"/>
        <w:rPr/>
      </w:pPr>
      <w:r>
        <w:rPr/>
        <w:t>D-FIRST-OCCURRENCE, O04, O25, and the multi-parent-lineage design boundary.</w:t>
      </w:r>
    </w:p>
    <w:p>
      <w:pPr>
        <w:pStyle w:val="BodyText"/>
        <w:numPr>
          <w:ilvl w:val="0"/>
          <w:numId w:val="15"/>
        </w:numPr>
        <w:spacing w:before="0" w:after="0"/>
        <w:rPr/>
      </w:pPr>
      <w:r>
        <w:rPr/>
        <w:t>Any stronger physical, cosmological, quantum, decoder-class, efficiency, continuous, causal, privacy, permission, consent, standing, or authority claim not separately witnessed.</w:t>
      </w:r>
    </w:p>
    <w:p>
      <w:pPr>
        <w:pStyle w:val="Heading3"/>
        <w:keepNext/>
        <w:keepLines/>
        <w:rPr/>
      </w:pPr>
      <w:bookmarkStart w:id="108" w:name="explicitly-not-promoted"/>
      <w:r>
        <w:rPr/>
        <w:t>Explicitly not promoted</w:t>
      </w:r>
      <w:bookmarkEnd w:id="108"/>
    </w:p>
    <w:p>
      <w:pPr>
        <w:pStyle w:val="BodyText"/>
        <w:keepNext/>
        <w:keepLines/>
        <w:numPr>
          <w:ilvl w:val="0"/>
          <w:numId w:val="16"/>
        </w:numPr>
        <w:spacing w:before="0" w:after="0"/>
        <w:rPr/>
      </w:pPr>
      <w:r>
        <w:rPr/>
        <w:t>No new primitive, numbered layer, claim status, authority source, sixth face, release nickname, universal geometry, scalar information-loss law, quantum-collapse account, physical law, progress-by-heartbeat claim, or independent validation.</w:t>
      </w:r>
    </w:p>
    <w:p>
      <w:pPr>
        <w:pStyle w:val="BodyText"/>
        <w:numPr>
          <w:ilvl w:val="0"/>
          <w:numId w:val="16"/>
        </w:numPr>
        <w:spacing w:before="0" w:after="0"/>
        <w:rPr/>
      </w:pPr>
      <w:r>
        <w:rPr/>
        <w:t>Ω is not the hidden answer to the seven opening questions. RAINBOW is not PAL’s ontology or a physical theory. Color and visual beauty are presentation, not evidence.</w:t>
      </w:r>
    </w:p>
    <w:p>
      <w:pPr>
        <w:pStyle w:val="Heading1"/>
        <w:keepNext/>
        <w:keepLines/>
        <w:rPr/>
      </w:pPr>
      <w:bookmarkStart w:id="109" w:name="references"/>
      <w:r>
        <w:rPr/>
        <w:t>References</w:t>
      </w:r>
      <w:bookmarkEnd w:id="109"/>
    </w:p>
    <w:p>
      <w:pPr>
        <w:pStyle w:val="Normal"/>
        <w:keepNext/>
        <w:keepLines/>
        <w:rPr/>
      </w:pPr>
      <w:r>
        <w:rPr/>
        <w:t>The first four entries identify the public PAL lineage and active public interfaces. Remaining sources ground mathematical realization claims; they do not define the mechanical spine.</w:t>
      </w:r>
    </w:p>
    <w:p>
      <w:pPr>
        <w:pStyle w:val="BodyText"/>
        <w:numPr>
          <w:ilvl w:val="0"/>
          <w:numId w:val="17"/>
        </w:numPr>
        <w:rPr/>
      </w:pPr>
      <w:r>
        <w:rPr/>
        <w:t xml:space="preserve">[P1] Pang, C. D. (2026). PAL - Primitive Axiom Layers: Formal Structural Foundation v1.6. Zenodo. </w:t>
      </w:r>
      <w:hyperlink r:id="rId2">
        <w:r>
          <w:rPr>
            <w:rStyle w:val="Hyperlink"/>
          </w:rPr>
          <w:t>doi:10.5281/zenodo.21635188</w:t>
        </w:r>
      </w:hyperlink>
    </w:p>
    <w:p>
      <w:pPr>
        <w:pStyle w:val="BodyText"/>
        <w:numPr>
          <w:ilvl w:val="0"/>
          <w:numId w:val="17"/>
        </w:numPr>
        <w:rPr/>
      </w:pPr>
      <w:r>
        <w:rPr/>
        <w:t xml:space="preserve">[P2] Pang, C. D. (2026). PEA Core v1.1.3: Public Ethical Review Specification. Reserved release record. </w:t>
      </w:r>
      <w:hyperlink r:id="rId3">
        <w:r>
          <w:rPr>
            <w:rStyle w:val="Hyperlink"/>
          </w:rPr>
          <w:t>doi:10.5281/zenodo.21911684</w:t>
        </w:r>
      </w:hyperlink>
    </w:p>
    <w:p>
      <w:pPr>
        <w:pStyle w:val="BodyText"/>
        <w:numPr>
          <w:ilvl w:val="0"/>
          <w:numId w:val="17"/>
        </w:numPr>
        <w:rPr/>
      </w:pPr>
      <w:r>
        <w:rPr/>
        <w:t xml:space="preserve">[P3] Pang, C. D. (2026). PECAN v1.0.4: Public Protocol Specification. Zenodo. </w:t>
      </w:r>
      <w:hyperlink r:id="rId4">
        <w:r>
          <w:rPr>
            <w:rStyle w:val="Hyperlink"/>
          </w:rPr>
          <w:t>doi:10.5281/zenodo.21760884</w:t>
        </w:r>
      </w:hyperlink>
    </w:p>
    <w:p>
      <w:pPr>
        <w:pStyle w:val="BodyText"/>
        <w:numPr>
          <w:ilvl w:val="0"/>
          <w:numId w:val="17"/>
        </w:numPr>
        <w:rPr/>
      </w:pPr>
      <w:r>
        <w:rPr/>
        <w:t xml:space="preserve">[P4] Pang, C. D. (2026). SEED v0.3: Complete Release Discipline and Mathematical Realization. Zenodo. </w:t>
      </w:r>
      <w:hyperlink r:id="rId5">
        <w:r>
          <w:rPr>
            <w:rStyle w:val="Hyperlink"/>
          </w:rPr>
          <w:t>doi:10.5281/zenodo.21760893</w:t>
        </w:r>
      </w:hyperlink>
    </w:p>
    <w:p>
      <w:pPr>
        <w:pStyle w:val="BodyText"/>
        <w:numPr>
          <w:ilvl w:val="0"/>
          <w:numId w:val="17"/>
        </w:numPr>
        <w:rPr/>
      </w:pPr>
      <w:r>
        <w:rPr/>
        <w:t xml:space="preserve">[S1] Vîţă, L. S., &amp; Bridges, D. S. (2003). Separatedness in constructive topology. Documenta Mathematica, 8, 567-576. </w:t>
      </w:r>
      <w:hyperlink r:id="rId6">
        <w:r>
          <w:rPr>
            <w:rStyle w:val="Hyperlink"/>
          </w:rPr>
          <w:t>doi:10.4171/DM/151</w:t>
        </w:r>
      </w:hyperlink>
    </w:p>
    <w:p>
      <w:pPr>
        <w:pStyle w:val="BodyText"/>
        <w:numPr>
          <w:ilvl w:val="0"/>
          <w:numId w:val="17"/>
        </w:numPr>
        <w:rPr/>
      </w:pPr>
      <w:r>
        <w:rPr/>
        <w:t xml:space="preserve">[S2] Driscoll, J. R., Sarnak, N., Sleator, D. D., &amp; Tarjan, R. E. (1989). Making data structures persistent. Journal of Computer and System Sciences, 38(1), 86-124. </w:t>
      </w:r>
      <w:hyperlink r:id="rId7">
        <w:r>
          <w:rPr>
            <w:rStyle w:val="Hyperlink"/>
          </w:rPr>
          <w:t>doi:10.1016/0022-0000(89)90034-2</w:t>
        </w:r>
      </w:hyperlink>
    </w:p>
    <w:p>
      <w:pPr>
        <w:pStyle w:val="BodyText"/>
        <w:numPr>
          <w:ilvl w:val="0"/>
          <w:numId w:val="17"/>
        </w:numPr>
        <w:rPr/>
      </w:pPr>
      <w:r>
        <w:rPr/>
        <w:t xml:space="preserve">[S3] Lawvere, F. W. (1973). Metric spaces, generalized logic, and closed categories. Rendiconti del Seminario Matematico e Fisico di Milano, 43, 135-166. </w:t>
      </w:r>
      <w:hyperlink r:id="rId8">
        <w:r>
          <w:rPr>
            <w:rStyle w:val="Hyperlink"/>
          </w:rPr>
          <w:t>doi:10.1007/BF02924844</w:t>
        </w:r>
      </w:hyperlink>
    </w:p>
    <w:p>
      <w:pPr>
        <w:pStyle w:val="BodyText"/>
        <w:numPr>
          <w:ilvl w:val="0"/>
          <w:numId w:val="17"/>
        </w:numPr>
        <w:rPr/>
      </w:pPr>
      <w:r>
        <w:rPr/>
        <w:t xml:space="preserve">[S4] Joyal, A., Street, R., &amp; Verity, D. (1996). Traced monoidal categories. Mathematical Proceedings of the Cambridge Philosophical Society, 119(3), 447-468. </w:t>
      </w:r>
      <w:hyperlink r:id="rId9">
        <w:r>
          <w:rPr>
            <w:rStyle w:val="Hyperlink"/>
          </w:rPr>
          <w:t>doi:10.1017/S0305004100074338</w:t>
        </w:r>
      </w:hyperlink>
    </w:p>
    <w:p>
      <w:pPr>
        <w:pStyle w:val="BodyText"/>
        <w:numPr>
          <w:ilvl w:val="0"/>
          <w:numId w:val="17"/>
        </w:numPr>
        <w:rPr/>
      </w:pPr>
      <w:r>
        <w:rPr/>
        <w:t xml:space="preserve">[S5] Girard, J.-Y. (1987). Linear logic. Theoretical Computer Science, 50(1), 1-101. </w:t>
      </w:r>
      <w:hyperlink r:id="rId10">
        <w:r>
          <w:rPr>
            <w:rStyle w:val="Hyperlink"/>
          </w:rPr>
          <w:t>doi:10.1016/0304-3975(87)90045-4</w:t>
        </w:r>
      </w:hyperlink>
    </w:p>
    <w:p>
      <w:pPr>
        <w:pStyle w:val="BodyText"/>
        <w:numPr>
          <w:ilvl w:val="0"/>
          <w:numId w:val="17"/>
        </w:numPr>
        <w:rPr/>
      </w:pPr>
      <w:r>
        <w:rPr/>
        <w:t>[S6] Petri, C. A. (1966). Communication with Automata. Technical Report RADC-TR-65-377 (English translation; dissertation approved 1962).</w:t>
      </w:r>
    </w:p>
    <w:p>
      <w:pPr>
        <w:pStyle w:val="BodyText"/>
        <w:numPr>
          <w:ilvl w:val="0"/>
          <w:numId w:val="17"/>
        </w:numPr>
        <w:rPr/>
      </w:pPr>
      <w:r>
        <w:rPr/>
        <w:t xml:space="preserve">[S7] Green, T. J., Karvounarakis, G., &amp; Tannen, V. (2007). Provenance semirings. Proceedings of PODS, 31-40. </w:t>
      </w:r>
      <w:hyperlink r:id="rId11">
        <w:r>
          <w:rPr>
            <w:rStyle w:val="Hyperlink"/>
          </w:rPr>
          <w:t>doi:10.1145/1265530.1265535</w:t>
        </w:r>
      </w:hyperlink>
    </w:p>
    <w:p>
      <w:pPr>
        <w:pStyle w:val="BodyText"/>
        <w:numPr>
          <w:ilvl w:val="0"/>
          <w:numId w:val="17"/>
        </w:numPr>
        <w:rPr/>
      </w:pPr>
      <w:r>
        <w:rPr/>
        <w:t xml:space="preserve">[S8] Nerode, A. (1958). Linear automaton transformations. Proceedings of the American Mathematical Society, 9, 541-544. </w:t>
      </w:r>
      <w:hyperlink r:id="rId12">
        <w:r>
          <w:rPr>
            <w:rStyle w:val="Hyperlink"/>
          </w:rPr>
          <w:t>doi:10.1090/S0002-9939-1958-0135681-9</w:t>
        </w:r>
      </w:hyperlink>
    </w:p>
    <w:p>
      <w:pPr>
        <w:pStyle w:val="BodyText"/>
        <w:numPr>
          <w:ilvl w:val="0"/>
          <w:numId w:val="17"/>
        </w:numPr>
        <w:rPr/>
      </w:pPr>
      <w:r>
        <w:rPr/>
        <w:t>[S9] Littman, M. L., Sutton, R. S., &amp; Singh, S. (2001). Predictive representations of state. Advances in Neural Information Processing Systems, 14, 1555-1561.</w:t>
      </w:r>
    </w:p>
    <w:p>
      <w:pPr>
        <w:pStyle w:val="BodyText"/>
        <w:numPr>
          <w:ilvl w:val="0"/>
          <w:numId w:val="17"/>
        </w:numPr>
        <w:rPr/>
      </w:pPr>
      <w:r>
        <w:rPr/>
        <w:t>[S10] Aubin, J.-P., &amp; Cellina, A. (1982). Differential Inclusions and Viability Theory. IIASA WP-82-051.</w:t>
      </w:r>
    </w:p>
    <w:p>
      <w:pPr>
        <w:pStyle w:val="BodyText"/>
        <w:numPr>
          <w:ilvl w:val="0"/>
          <w:numId w:val="17"/>
        </w:numPr>
        <w:rPr/>
      </w:pPr>
      <w:r>
        <w:rPr/>
        <w:t xml:space="preserve">[S11] Manna, Z., &amp; Pnueli, A. (1991). Completing the temporal picture. Theoretical Computer Science, 83(1), 97-130. </w:t>
      </w:r>
      <w:hyperlink r:id="rId13">
        <w:r>
          <w:rPr>
            <w:rStyle w:val="Hyperlink"/>
          </w:rPr>
          <w:t>doi:10.1016/0304-3975(91)90041-Y</w:t>
        </w:r>
      </w:hyperlink>
    </w:p>
    <w:p>
      <w:pPr>
        <w:pStyle w:val="BodyText"/>
        <w:numPr>
          <w:ilvl w:val="0"/>
          <w:numId w:val="17"/>
        </w:numPr>
        <w:rPr/>
      </w:pPr>
      <w:r>
        <w:rPr/>
        <w:t xml:space="preserve">[S13] Doyle, J. (1979). A truth maintenance system. Artificial Intelligence, 12(3), 231-272. </w:t>
      </w:r>
      <w:hyperlink r:id="rId14">
        <w:r>
          <w:rPr>
            <w:rStyle w:val="Hyperlink"/>
          </w:rPr>
          <w:t>doi:10.1016/0004-3702(79)90008-0</w:t>
        </w:r>
      </w:hyperlink>
    </w:p>
    <w:p>
      <w:pPr>
        <w:pStyle w:val="BodyText"/>
        <w:numPr>
          <w:ilvl w:val="0"/>
          <w:numId w:val="17"/>
        </w:numPr>
        <w:rPr/>
      </w:pPr>
      <w:r>
        <w:rPr/>
        <w:t xml:space="preserve">[S14] Hansen, J., &amp; Ghrist, R. (2019). Toward a spectral theory of cellular sheaves. Journal of Applied and Computational Topology, 3, 315-358. </w:t>
      </w:r>
      <w:hyperlink r:id="rId15">
        <w:r>
          <w:rPr>
            <w:rStyle w:val="Hyperlink"/>
          </w:rPr>
          <w:t>doi:10.1007/s41468-019-00038-7</w:t>
        </w:r>
      </w:hyperlink>
    </w:p>
    <w:p>
      <w:pPr>
        <w:pStyle w:val="BodyText"/>
        <w:numPr>
          <w:ilvl w:val="0"/>
          <w:numId w:val="17"/>
        </w:numPr>
        <w:rPr/>
      </w:pPr>
      <w:r>
        <w:rPr/>
        <w:t xml:space="preserve">[S15] Sanfelice, R. G., Goebel, R., &amp; Teel, A. R. (2008). Generalized solutions to hybrid dynamical systems. ESAIM: COCV, 14(4), 699-724. </w:t>
      </w:r>
      <w:hyperlink r:id="rId16">
        <w:r>
          <w:rPr>
            <w:rStyle w:val="Hyperlink"/>
          </w:rPr>
          <w:t>doi:10.1051/cocv:2008008</w:t>
        </w:r>
      </w:hyperlink>
    </w:p>
    <w:p>
      <w:pPr>
        <w:pStyle w:val="BodyText"/>
        <w:numPr>
          <w:ilvl w:val="0"/>
          <w:numId w:val="17"/>
        </w:numPr>
        <w:rPr/>
      </w:pPr>
      <w:r>
        <w:rPr/>
        <w:t>[S16] Lean 4. Theorem Proving in Lean 4: Type Classes (Decidable propositions and effective case analysis). PAL v1.6 did not pin a commit; implementations must record the exact version used.</w:t>
      </w:r>
    </w:p>
    <w:p>
      <w:pPr>
        <w:pStyle w:val="BodyText"/>
        <w:numPr>
          <w:ilvl w:val="0"/>
          <w:numId w:val="17"/>
        </w:numPr>
        <w:rPr/>
      </w:pPr>
      <w:r>
        <w:rPr/>
        <w:t>[S17] Mathlib 4. Mathlib.Logic.Basic (constructive and classical logical infrastructure). PAL v1.6 did not pin a commit; implementations must record the exact version used.</w:t>
      </w:r>
    </w:p>
    <w:p>
      <w:pPr>
        <w:pStyle w:val="BodyText"/>
        <w:numPr>
          <w:ilvl w:val="0"/>
          <w:numId w:val="17"/>
        </w:numPr>
        <w:rPr/>
      </w:pPr>
      <w:r>
        <w:rPr/>
        <w:t>[S18] Mathlib 4. Mathlib.Order.WellFounded (well-founded relations and induction). PAL v1.6 did not pin a commit; implementations must record the exact version used.</w:t>
      </w:r>
    </w:p>
    <w:p>
      <w:pPr>
        <w:pStyle w:val="BodyText"/>
        <w:numPr>
          <w:ilvl w:val="0"/>
          <w:numId w:val="17"/>
        </w:numPr>
        <w:rPr/>
      </w:pPr>
      <w:r>
        <w:rPr/>
        <w:t xml:space="preserve">[S19] Martin-Löf, P. (1975). An intuitionistic theory of types: Predicative part. Logic Colloquium ’73, 73-118. </w:t>
      </w:r>
      <w:hyperlink r:id="rId17">
        <w:r>
          <w:rPr>
            <w:rStyle w:val="Hyperlink"/>
          </w:rPr>
          <w:t>doi:10.1016/S0049-237X(08)71945-1</w:t>
        </w:r>
      </w:hyperlink>
    </w:p>
    <w:p>
      <w:pPr>
        <w:pStyle w:val="BodyText"/>
        <w:numPr>
          <w:ilvl w:val="0"/>
          <w:numId w:val="17"/>
        </w:numPr>
        <w:rPr/>
      </w:pPr>
      <w:r>
        <w:rPr/>
        <w:t xml:space="preserve">[S25] Werner, R. F. (1989). Quantum states with Einstein-Podolsky-Rosen correlations admitting a hidden-variable model. Physical Review A, 40, 4277-4281. </w:t>
      </w:r>
      <w:hyperlink r:id="rId18">
        <w:r>
          <w:rPr>
            <w:rStyle w:val="Hyperlink"/>
          </w:rPr>
          <w:t>doi:10.1103/PhysRevA.40.4277</w:t>
        </w:r>
      </w:hyperlink>
    </w:p>
    <w:p>
      <w:pPr>
        <w:pStyle w:val="BodyText"/>
        <w:numPr>
          <w:ilvl w:val="0"/>
          <w:numId w:val="17"/>
        </w:numPr>
        <w:rPr/>
      </w:pPr>
      <w:r>
        <w:rPr/>
        <w:t xml:space="preserve">[S26] Horodecki, M., Horodecki, P., &amp; Horodecki, R. (1996). Separability of mixed states: Necessary and sufficient conditions. Physics Letters A, 223, 1-8. </w:t>
      </w:r>
      <w:hyperlink r:id="rId19">
        <w:r>
          <w:rPr>
            <w:rStyle w:val="Hyperlink"/>
          </w:rPr>
          <w:t>doi:10.1016/S0375-9601(96)00706-2</w:t>
        </w:r>
      </w:hyperlink>
    </w:p>
    <w:p>
      <w:pPr>
        <w:pStyle w:val="BodyText"/>
        <w:numPr>
          <w:ilvl w:val="0"/>
          <w:numId w:val="17"/>
        </w:numPr>
        <w:rPr/>
      </w:pPr>
      <w:r>
        <w:rPr/>
        <w:t xml:space="preserve">[S27] Bell, J. S. (1964). On the Einstein Podolsky Rosen paradox. Physics Physique Fizika, 1, 195-200. </w:t>
      </w:r>
      <w:hyperlink r:id="rId20">
        <w:r>
          <w:rPr>
            <w:rStyle w:val="Hyperlink"/>
          </w:rPr>
          <w:t>doi:10.1103/PhysicsPhysiqueFizika.1.195</w:t>
        </w:r>
      </w:hyperlink>
    </w:p>
    <w:p>
      <w:pPr>
        <w:pStyle w:val="BodyText"/>
        <w:numPr>
          <w:ilvl w:val="0"/>
          <w:numId w:val="17"/>
        </w:numPr>
        <w:rPr/>
      </w:pPr>
      <w:r>
        <w:rPr/>
        <w:t xml:space="preserve">[S28] Coecke, B., Fritz, T., &amp; Spekkens, R. W. (2016). A mathematical theory of resources. Information and Computation, 250, 59-86. </w:t>
      </w:r>
      <w:hyperlink r:id="rId21">
        <w:r>
          <w:rPr>
            <w:rStyle w:val="Hyperlink"/>
          </w:rPr>
          <w:t>doi:10.1016/j.ic.2016.02.008</w:t>
        </w:r>
      </w:hyperlink>
    </w:p>
    <w:p>
      <w:pPr>
        <w:pStyle w:val="BodyText"/>
        <w:numPr>
          <w:ilvl w:val="0"/>
          <w:numId w:val="17"/>
        </w:numPr>
        <w:rPr/>
      </w:pPr>
      <w:r>
        <w:rPr/>
        <w:t xml:space="preserve">[S29] Fritz, T. (2017). Resource convertibility and ordered commutative monoids. Mathematical Structures in Computer Science, 27(6), 850-938. </w:t>
      </w:r>
      <w:hyperlink r:id="rId22">
        <w:r>
          <w:rPr>
            <w:rStyle w:val="Hyperlink"/>
          </w:rPr>
          <w:t>doi:10.1017/S0960129515000444</w:t>
        </w:r>
      </w:hyperlink>
    </w:p>
    <w:p>
      <w:pPr>
        <w:pStyle w:val="BodyText"/>
        <w:numPr>
          <w:ilvl w:val="0"/>
          <w:numId w:val="17"/>
        </w:numPr>
        <w:rPr/>
      </w:pPr>
      <w:r>
        <w:rPr/>
        <w:t>[S30] Rockafellar, R. T. (1970). Convex Analysis. Princeton University Press.</w:t>
      </w:r>
    </w:p>
    <w:p>
      <w:pPr>
        <w:pStyle w:val="BodyText"/>
        <w:numPr>
          <w:ilvl w:val="0"/>
          <w:numId w:val="17"/>
        </w:numPr>
        <w:rPr/>
      </w:pPr>
      <w:r>
        <w:rPr/>
        <w:t>[S33] Mathlib 4. Mathlib.CategoryTheory.PathCategory.Basic (finite paths on a quiver and extension of edge maps to path composition). PAL v1.6 did not pin a commit; implementations must record the exact version used.</w:t>
      </w:r>
    </w:p>
    <w:p>
      <w:pPr>
        <w:pStyle w:val="BodyText"/>
        <w:numPr>
          <w:ilvl w:val="0"/>
          <w:numId w:val="17"/>
        </w:numPr>
        <w:rPr/>
      </w:pPr>
      <w:r>
        <w:rPr/>
        <w:t>[S36] Mathlib 4. Mathlib.Order.WellFounded (well-founded induction and absence of infinite descending chains). PAL v1.6 did not pin a commit; implementations must record the exact version used.</w:t>
      </w:r>
    </w:p>
    <w:p>
      <w:pPr>
        <w:pStyle w:val="BodyText"/>
        <w:numPr>
          <w:ilvl w:val="0"/>
          <w:numId w:val="17"/>
        </w:numPr>
        <w:rPr/>
      </w:pPr>
      <w:r>
        <w:rPr/>
        <w:t xml:space="preserve">[S39] Gabbay, M. J., &amp; Pitts, A. M. (2002). A new approach to abstract syntax with variable binding. Formal Aspects of Computing, 13, 341-363. </w:t>
      </w:r>
      <w:hyperlink r:id="rId23">
        <w:r>
          <w:rPr>
            <w:rStyle w:val="Hyperlink"/>
          </w:rPr>
          <w:t>doi:10.1007/s001650200016</w:t>
        </w:r>
      </w:hyperlink>
    </w:p>
    <w:p>
      <w:pPr>
        <w:pStyle w:val="BodyText"/>
        <w:numPr>
          <w:ilvl w:val="0"/>
          <w:numId w:val="17"/>
        </w:numPr>
        <w:rPr/>
      </w:pPr>
      <w:r>
        <w:rPr/>
        <w:t xml:space="preserve">[S40] Pitts, A. M. (2013). Nominal Sets: Names and Symmetry in Computer Science. Cambridge University Press. </w:t>
      </w:r>
      <w:hyperlink r:id="rId24">
        <w:r>
          <w:rPr>
            <w:rStyle w:val="Hyperlink"/>
          </w:rPr>
          <w:t>doi:10.1017/CBO9781139084673</w:t>
        </w:r>
      </w:hyperlink>
    </w:p>
    <w:p>
      <w:pPr>
        <w:pStyle w:val="BodyText"/>
        <w:numPr>
          <w:ilvl w:val="0"/>
          <w:numId w:val="17"/>
        </w:numPr>
        <w:rPr/>
      </w:pPr>
      <w:r>
        <w:rPr/>
        <w:t xml:space="preserve">[S41] Honda, K., Vasconcelos, V. T., &amp; Kubo, M. (1998). Language primitives and type discipline for structured communication-based programming. ESOP 1998, 122-138. </w:t>
      </w:r>
      <w:hyperlink r:id="rId25">
        <w:r>
          <w:rPr>
            <w:rStyle w:val="Hyperlink"/>
          </w:rPr>
          <w:t>doi:10.1007/BFb0053567</w:t>
        </w:r>
      </w:hyperlink>
    </w:p>
    <w:p>
      <w:pPr>
        <w:pStyle w:val="Heading1"/>
        <w:keepNext/>
        <w:keepLines/>
        <w:rPr/>
      </w:pPr>
      <w:bookmarkStart w:id="110" w:name="recommended-citation"/>
      <w:r>
        <w:rPr/>
        <w:t>Recommended citation</w:t>
      </w:r>
      <w:bookmarkEnd w:id="110"/>
    </w:p>
    <w:p>
      <w:pPr>
        <w:pStyle w:val="Normal"/>
        <w:keepNext/>
        <w:keepLines/>
        <w:rPr>
          <w:b/>
          <w:bCs/>
        </w:rPr>
      </w:pPr>
      <w:r>
        <w:rPr>
          <w:b/>
          <w:bCs/>
        </w:rPr>
        <w:t>Pang, Christopher D. (2026). PAL v2.3 — Primitive Axiom Layers. Zenodo. https://doi.org/10.5281/zenodo.22240134</w:t>
      </w:r>
    </w:p>
    <w:p>
      <w:pPr>
        <w:pStyle w:val="BodyText"/>
        <w:rPr/>
      </w:pPr>
      <w:r>
        <w:rPr/>
        <w:t>Component cited: PAL v2.3-L — Obligation and Decision Ledger. The DOI identifies the coordinated package.</w:t>
      </w:r>
    </w:p>
    <w:p>
      <w:pPr>
        <w:pStyle w:val="BodyText"/>
        <w:rPr/>
      </w:pPr>
      <w:r>
        <w:rPr/>
        <w:t>DOI record: 10.5281/zenodo.22240134</w:t>
      </w:r>
    </w:p>
    <w:p>
      <w:pPr>
        <w:pStyle w:val="Heading1"/>
        <w:keepNext/>
        <w:keepLines/>
        <w:rPr/>
      </w:pPr>
      <w:bookmarkStart w:id="111" w:name="license-and-attribution"/>
      <w:r>
        <w:rPr/>
        <w:t>License and attribution</w:t>
      </w:r>
      <w:bookmarkEnd w:id="111"/>
    </w:p>
    <w:p>
      <w:pPr>
        <w:pStyle w:val="Normal"/>
        <w:keepNext/>
        <w:keepLines/>
        <w:rPr/>
      </w:pPr>
      <w:r>
        <w:rPr/>
        <w:t>© 2026 Christopher D. Pang. This work is licensed under Creative Commons Attribution 4.0 International (CC BY 4.0).</w:t>
      </w:r>
    </w:p>
    <w:p>
      <w:pPr>
        <w:pStyle w:val="BodyText"/>
        <w:rPr/>
      </w:pPr>
      <w:hyperlink r:id="rId26">
        <w:r>
          <w:rPr>
            <w:rStyle w:val="Hyperlink"/>
          </w:rPr>
          <w:t>CC BY 4.0 license</w:t>
        </w:r>
      </w:hyperlink>
    </w:p>
    <w:p>
      <w:pPr>
        <w:pStyle w:val="Heading1"/>
        <w:keepNext/>
        <w:keepLines/>
        <w:rPr/>
      </w:pPr>
      <w:bookmarkStart w:id="112" w:name="ai-assistance-authorship-and-release-tra"/>
      <w:r>
        <w:rPr/>
        <w:t>AI assistance, authorship, and release trace</w:t>
      </w:r>
      <w:bookmarkEnd w:id="112"/>
    </w:p>
    <w:p>
      <w:pPr>
        <w:pStyle w:val="Normal"/>
        <w:keepNext/>
        <w:keepLines/>
        <w:rPr/>
      </w:pPr>
      <w:r>
        <w:rPr/>
        <w:t>Christopher D. Pang originated PAL’s framework and conceptual identities, supplied its source corpus and terminology, and is its sole author and steward and sole authority for adopting, rejecting, or revising its framework claims. AI systems did not originate PAL. OpenAI ChatGPT and Codex were used under his direction for drafting and editing, mathematical exploration, code and test-fixture development, adversarial and consistency review, source reconciliation, testing, document generation, and formatting. Their outputs were proposals and tool results with no PAL authority unless Pang reviewed and expressly adopted them; unadopted output is not PAL. The systems are not authors, co-authors, inventors, owners, stewards, witnesses, release authorities, independent authorities, or independent corroborators, and model output is not privileged testimony or independent corroboration.</w:t>
      </w:r>
    </w:p>
    <w:p>
      <w:pPr>
        <w:pStyle w:val="Heading1"/>
        <w:keepNext/>
        <w:keepLines/>
        <w:rPr/>
      </w:pPr>
      <w:bookmarkStart w:id="113" w:name="end-of-component-trace"/>
      <w:r>
        <w:rPr/>
        <w:t>End-of-component trace</w:t>
      </w:r>
      <w:bookmarkEnd w:id="113"/>
    </w:p>
    <w:tbl>
      <w:tblPr>
        <w:tblW w:w="9360" w:type="dxa"/>
        <w:jc w:val="center"/>
        <w:tblInd w:w="0" w:type="dxa"/>
        <w:tblLayout w:type="fixed"/>
        <w:tblCellMar>
          <w:top w:w="0" w:type="dxa"/>
          <w:start w:w="0" w:type="dxa"/>
          <w:bottom w:w="0" w:type="dxa"/>
          <w:end w:w="0" w:type="dxa"/>
        </w:tblCellMar>
        <w:tblBorders>
          <w:top w:val="single" w:sz="4" w:color="7F8790"/>
          <w:left w:val="single" w:sz="4" w:color="7F8790"/>
          <w:bottom w:val="single" w:sz="4" w:color="7F8790"/>
          <w:right w:val="single" w:sz="4" w:color="7F8790"/>
          <w:insideH w:val="single" w:sz="4" w:color="7F8790"/>
          <w:insideV w:val="single" w:sz="4" w:color="7F8790"/>
        </w:tblBorders>
      </w:tblPr>
      <w:tblGrid>
        <w:gridCol w:w="2621"/>
        <w:gridCol w:w="6739"/>
      </w:tblGrid>
      <w:tr>
        <w:trPr>
          <w:tblHeader w:val="true"/>
        </w:trPr>
        <w:tc>
          <w:tcPr>
            <w:tcW w:w="2621" w:type="dxa"/>
            <w:tcBorders/>
            <w:vAlign w:val="top"/>
            <w:shd w:fill="DCE6F1"/>
          </w:tcPr>
          <w:p>
            <w:pPr>
              <w:pStyle w:val="Normal"/>
              <w:spacing w:before="0" w:after="40" w:line="240" w:lineRule="auto"/>
              <w:rPr>
                <w:b/>
                <w:bCs/>
              </w:rPr>
            </w:pPr>
            <w:r>
              <w:rPr>
                <w:b/>
                <w:bCs/>
                <w:color w:val="1F4D78"/>
                <w:sz w:val="19"/>
              </w:rPr>
              <w:t>Field</w:t>
            </w:r>
          </w:p>
        </w:tc>
        <w:tc>
          <w:tcPr>
            <w:tcW w:w="6739" w:type="dxa"/>
            <w:tcBorders/>
            <w:vAlign w:val="top"/>
            <w:shd w:fill="DCE6F1"/>
          </w:tcPr>
          <w:p>
            <w:pPr>
              <w:pStyle w:val="Normal"/>
              <w:spacing w:before="0" w:after="40" w:line="240" w:lineRule="auto"/>
              <w:rPr>
                <w:b/>
                <w:bCs/>
              </w:rPr>
            </w:pPr>
            <w:r>
              <w:rPr>
                <w:b/>
                <w:bCs/>
                <w:color w:val="1F4D78"/>
                <w:sz w:val="19"/>
              </w:rPr>
              <w:t>Trace</w:t>
            </w:r>
          </w:p>
        </w:tc>
      </w:tr>
      <w:tr>
        <w:trPr/>
        <w:tc>
          <w:tcPr>
            <w:tcW w:w="2621" w:type="dxa"/>
            <w:tcBorders/>
            <w:vAlign w:val="top"/>
          </w:tcPr>
          <w:p>
            <w:pPr>
              <w:pStyle w:val="Normal"/>
              <w:widowControl/>
              <w:bidi w:val="0"/>
              <w:spacing w:lineRule="auto" w:line="240" w:before="0" w:after="40"/>
              <w:jc w:val="start"/>
              <w:rPr/>
            </w:pPr>
            <w:r>
              <w:rPr>
                <w:sz w:val="19"/>
              </w:rPr>
              <w:t>Release</w:t>
            </w:r>
          </w:p>
        </w:tc>
        <w:tc>
          <w:tcPr>
            <w:tcW w:w="6739" w:type="dxa"/>
            <w:tcBorders/>
            <w:vAlign w:val="top"/>
          </w:tcPr>
          <w:p>
            <w:pPr>
              <w:pStyle w:val="Normal"/>
              <w:widowControl/>
              <w:bidi w:val="0"/>
              <w:spacing w:lineRule="auto" w:line="240" w:before="0" w:after="40"/>
              <w:jc w:val="start"/>
              <w:rPr/>
            </w:pPr>
            <w:r>
              <w:rPr>
                <w:sz w:val="19"/>
              </w:rPr>
              <w:t>PAL v2.3; 2 September 2026; DOI 10.5281/zenodo.22240134; Author release; not peer reviewed</w:t>
            </w:r>
          </w:p>
        </w:tc>
      </w:tr>
      <w:tr>
        <w:trPr/>
        <w:tc>
          <w:tcPr>
            <w:tcW w:w="2621" w:type="dxa"/>
            <w:tcBorders/>
            <w:vAlign w:val="top"/>
            <w:shd w:fill="F7F9FB"/>
          </w:tcPr>
          <w:p>
            <w:pPr>
              <w:pStyle w:val="Normal"/>
              <w:widowControl/>
              <w:bidi w:val="0"/>
              <w:spacing w:lineRule="auto" w:line="240" w:before="0" w:after="40"/>
              <w:jc w:val="start"/>
              <w:rPr/>
            </w:pPr>
            <w:r>
              <w:rPr>
                <w:sz w:val="19"/>
              </w:rPr>
              <w:t>Component</w:t>
            </w:r>
          </w:p>
        </w:tc>
        <w:tc>
          <w:tcPr>
            <w:tcW w:w="6739" w:type="dxa"/>
            <w:tcBorders/>
            <w:vAlign w:val="top"/>
            <w:shd w:fill="F7F9FB"/>
          </w:tcPr>
          <w:p>
            <w:pPr>
              <w:pStyle w:val="Normal"/>
              <w:widowControl/>
              <w:bidi w:val="0"/>
              <w:spacing w:lineRule="auto" w:line="240" w:before="0" w:after="40"/>
              <w:jc w:val="start"/>
              <w:rPr/>
            </w:pPr>
            <w:r>
              <w:rPr>
                <w:sz w:val="19"/>
              </w:rPr>
              <w:t>PAL v2.3-L — Obligation and Decision Ledger</w:t>
            </w:r>
          </w:p>
        </w:tc>
      </w:tr>
      <w:tr>
        <w:trPr/>
        <w:tc>
          <w:tcPr>
            <w:tcW w:w="2621" w:type="dxa"/>
            <w:tcBorders/>
            <w:vAlign w:val="top"/>
          </w:tcPr>
          <w:p>
            <w:pPr>
              <w:pStyle w:val="Normal"/>
              <w:widowControl/>
              <w:bidi w:val="0"/>
              <w:spacing w:lineRule="auto" w:line="240" w:before="0" w:after="40"/>
              <w:jc w:val="start"/>
              <w:rPr/>
            </w:pPr>
            <w:r>
              <w:rPr>
                <w:sz w:val="19"/>
              </w:rPr>
              <w:t>Author/steward</w:t>
            </w:r>
          </w:p>
        </w:tc>
        <w:tc>
          <w:tcPr>
            <w:tcW w:w="6739" w:type="dxa"/>
            <w:tcBorders/>
            <w:vAlign w:val="top"/>
          </w:tcPr>
          <w:p>
            <w:pPr>
              <w:pStyle w:val="Normal"/>
              <w:widowControl/>
              <w:bidi w:val="0"/>
              <w:spacing w:lineRule="auto" w:line="240" w:before="0" w:after="40"/>
              <w:jc w:val="start"/>
              <w:rPr/>
            </w:pPr>
            <w:r>
              <w:rPr>
                <w:sz w:val="19"/>
              </w:rPr>
              <w:t>Christopher D. Pang</w:t>
            </w:r>
          </w:p>
        </w:tc>
      </w:tr>
      <w:tr>
        <w:trPr/>
        <w:tc>
          <w:tcPr>
            <w:tcW w:w="2621" w:type="dxa"/>
            <w:tcBorders/>
            <w:vAlign w:val="top"/>
            <w:shd w:fill="F7F9FB"/>
          </w:tcPr>
          <w:p>
            <w:pPr>
              <w:pStyle w:val="Normal"/>
              <w:widowControl/>
              <w:bidi w:val="0"/>
              <w:spacing w:lineRule="auto" w:line="240" w:before="0" w:after="40"/>
              <w:jc w:val="start"/>
              <w:rPr/>
            </w:pPr>
            <w:r>
              <w:rPr>
                <w:sz w:val="19"/>
              </w:rPr>
              <w:t>Authority role</w:t>
            </w:r>
          </w:p>
        </w:tc>
        <w:tc>
          <w:tcPr>
            <w:tcW w:w="6739" w:type="dxa"/>
            <w:tcBorders/>
            <w:vAlign w:val="top"/>
            <w:shd w:fill="F7F9FB"/>
          </w:tcPr>
          <w:p>
            <w:pPr>
              <w:pStyle w:val="Normal"/>
              <w:widowControl/>
              <w:bidi w:val="0"/>
              <w:spacing w:lineRule="auto" w:line="240" w:before="0" w:after="40"/>
              <w:jc w:val="start"/>
              <w:rPr/>
            </w:pPr>
            <w:r>
              <w:rPr>
                <w:sz w:val="19"/>
              </w:rPr>
              <w:t>Controls adopted decision wording, preserved obligation history, source accounts, residual lineage, and reopening addresses.</w:t>
            </w:r>
          </w:p>
        </w:tc>
      </w:tr>
      <w:tr>
        <w:trPr/>
        <w:tc>
          <w:tcPr>
            <w:tcW w:w="2621" w:type="dxa"/>
            <w:tcBorders/>
            <w:vAlign w:val="top"/>
          </w:tcPr>
          <w:p>
            <w:pPr>
              <w:pStyle w:val="Normal"/>
              <w:widowControl/>
              <w:bidi w:val="0"/>
              <w:spacing w:lineRule="auto" w:line="240" w:before="0" w:after="40"/>
              <w:jc w:val="start"/>
              <w:rPr/>
            </w:pPr>
            <w:r>
              <w:rPr>
                <w:sz w:val="19"/>
              </w:rPr>
              <w:t>Immediate predecessor</w:t>
            </w:r>
          </w:p>
        </w:tc>
        <w:tc>
          <w:tcPr>
            <w:tcW w:w="6739" w:type="dxa"/>
            <w:tcBorders/>
            <w:vAlign w:val="top"/>
          </w:tcPr>
          <w:p>
            <w:pPr>
              <w:pStyle w:val="Normal"/>
              <w:widowControl/>
              <w:bidi w:val="0"/>
              <w:spacing w:lineRule="auto" w:line="240" w:before="0" w:after="40"/>
              <w:jc w:val="start"/>
              <w:rPr/>
            </w:pPr>
            <w:r>
              <w:rPr>
                <w:sz w:val="19"/>
              </w:rPr>
              <w:t>PAL_v2.2-L_Obligation_and_Decision_Ledger.docx; SHA-256 e5b1818b9e04f68f5c0e175c2167fc542b22f785d4d64271cbe3a572ce26c91b; PDF SHA-256 f0b3d167e3895ceb9b210d2eed88bfd1f0924d46c1a39fa03ca3efa6ffbb118b; DOI 10.5281/zenodo.21891598</w:t>
            </w:r>
          </w:p>
        </w:tc>
      </w:tr>
      <w:tr>
        <w:trPr/>
        <w:tc>
          <w:tcPr>
            <w:tcW w:w="2621" w:type="dxa"/>
            <w:tcBorders/>
            <w:vAlign w:val="top"/>
            <w:shd w:fill="F7F9FB"/>
          </w:tcPr>
          <w:p>
            <w:pPr>
              <w:pStyle w:val="Normal"/>
              <w:widowControl/>
              <w:bidi w:val="0"/>
              <w:spacing w:lineRule="auto" w:line="240" w:before="0" w:after="40"/>
              <w:jc w:val="start"/>
              <w:rPr/>
            </w:pPr>
            <w:r>
              <w:rPr>
                <w:sz w:val="19"/>
              </w:rPr>
              <w:t>Release authority</w:t>
            </w:r>
          </w:p>
        </w:tc>
        <w:tc>
          <w:tcPr>
            <w:tcW w:w="6739" w:type="dxa"/>
            <w:tcBorders/>
            <w:vAlign w:val="top"/>
            <w:shd w:fill="F7F9FB"/>
          </w:tcPr>
          <w:p>
            <w:pPr>
              <w:pStyle w:val="Normal"/>
              <w:widowControl/>
              <w:bidi w:val="0"/>
              <w:spacing w:lineRule="auto" w:line="240" w:before="0" w:after="40"/>
              <w:jc w:val="start"/>
              <w:rPr/>
            </w:pPr>
            <w:r>
              <w:rPr>
                <w:sz w:val="19"/>
              </w:rPr>
              <w:t>Christopher D. Pang’s 2 September 2026 release instruction, bound to the final internal manifest by the non-signature AUTHOR_RELEASE_RECEIPT.json.</w:t>
            </w:r>
          </w:p>
        </w:tc>
      </w:tr>
      <w:tr>
        <w:trPr/>
        <w:tc>
          <w:tcPr>
            <w:tcW w:w="2621" w:type="dxa"/>
            <w:tcBorders/>
            <w:vAlign w:val="top"/>
          </w:tcPr>
          <w:p>
            <w:pPr>
              <w:pStyle w:val="Normal"/>
              <w:widowControl/>
              <w:bidi w:val="0"/>
              <w:spacing w:lineRule="auto" w:line="240" w:before="0" w:after="40"/>
              <w:jc w:val="start"/>
              <w:rPr/>
            </w:pPr>
            <w:r>
              <w:rPr>
                <w:sz w:val="19"/>
              </w:rPr>
              <w:t>External manifest</w:t>
            </w:r>
          </w:p>
        </w:tc>
        <w:tc>
          <w:tcPr>
            <w:tcW w:w="6739" w:type="dxa"/>
            <w:tcBorders/>
            <w:vAlign w:val="top"/>
          </w:tcPr>
          <w:p>
            <w:pPr>
              <w:pStyle w:val="Normal"/>
              <w:widowControl/>
              <w:bidi w:val="0"/>
              <w:spacing w:lineRule="auto" w:line="240" w:before="0" w:after="40"/>
              <w:jc w:val="start"/>
              <w:rPr/>
            </w:pPr>
            <w:r>
              <w:rPr>
                <w:sz w:val="19"/>
              </w:rPr>
              <w:t>PAL_v2.3_PACKAGE_MANIFEST.json; SHA-256 profile. Final DOCX/PDF byte identities are recorded externally after rendering and freeze; this component contains no self-digest.</w:t>
            </w:r>
          </w:p>
        </w:tc>
      </w:tr>
      <w:tr>
        <w:trPr/>
        <w:tc>
          <w:tcPr>
            <w:tcW w:w="2621" w:type="dxa"/>
            <w:tcBorders/>
            <w:vAlign w:val="top"/>
            <w:shd w:fill="F7F9FB"/>
          </w:tcPr>
          <w:p>
            <w:pPr>
              <w:pStyle w:val="Normal"/>
              <w:widowControl/>
              <w:bidi w:val="0"/>
              <w:spacing w:lineRule="auto" w:line="240" w:before="0" w:after="40"/>
              <w:jc w:val="start"/>
              <w:rPr/>
            </w:pPr>
            <w:r>
              <w:rPr>
                <w:sz w:val="19"/>
              </w:rPr>
              <w:t>Integrity ceiling</w:t>
            </w:r>
          </w:p>
        </w:tc>
        <w:tc>
          <w:tcPr>
            <w:tcW w:w="6739" w:type="dxa"/>
            <w:tcBorders/>
            <w:vAlign w:val="top"/>
            <w:shd w:fill="F7F9FB"/>
          </w:tcPr>
          <w:p>
            <w:pPr>
              <w:pStyle w:val="Normal"/>
              <w:widowControl/>
              <w:bidi w:val="0"/>
              <w:spacing w:lineRule="auto" w:line="240" w:before="0" w:after="40"/>
              <w:jc w:val="start"/>
              <w:rPr/>
            </w:pPr>
            <w:r>
              <w:rPr>
                <w:sz w:val="19"/>
              </w:rPr>
              <w:t>Hashes detect byte identity only; they do not create authorship, authenticity, consent, standing, release authority, or any other authority.</w:t>
            </w:r>
          </w:p>
        </w:tc>
      </w:tr>
      <w:tr>
        <w:trPr/>
        <w:tc>
          <w:tcPr>
            <w:tcW w:w="2621" w:type="dxa"/>
            <w:tcBorders/>
            <w:vAlign w:val="top"/>
          </w:tcPr>
          <w:p>
            <w:pPr>
              <w:pStyle w:val="Normal"/>
              <w:widowControl/>
              <w:bidi w:val="0"/>
              <w:spacing w:lineRule="auto" w:line="240" w:before="0" w:after="40"/>
              <w:jc w:val="start"/>
              <w:rPr/>
            </w:pPr>
            <w:r>
              <w:rPr>
                <w:sz w:val="19"/>
              </w:rPr>
              <w:t>Reopening/change route</w:t>
            </w:r>
          </w:p>
        </w:tc>
        <w:tc>
          <w:tcPr>
            <w:tcW w:w="6739" w:type="dxa"/>
            <w:tcBorders/>
            <w:vAlign w:val="top"/>
          </w:tcPr>
          <w:p>
            <w:pPr>
              <w:pStyle w:val="Normal"/>
              <w:widowControl/>
              <w:bidi w:val="0"/>
              <w:spacing w:lineRule="auto" w:line="240" w:before="0" w:after="40"/>
              <w:jc w:val="start"/>
              <w:rPr/>
            </w:pPr>
            <w:r>
              <w:rPr>
                <w:sz w:val="19"/>
              </w:rPr>
              <w:t>Any material change requires a new PAL v2.3-L decision receipt and PAL v2.3-T regression evidence; prior bytes remain frozen.</w:t>
            </w:r>
          </w:p>
        </w:tc>
      </w:tr>
      <w:tr>
        <w:trPr/>
        <w:tc>
          <w:tcPr>
            <w:tcW w:w="2621" w:type="dxa"/>
            <w:tcBorders/>
            <w:vAlign w:val="top"/>
            <w:shd w:fill="F7F9FB"/>
          </w:tcPr>
          <w:p>
            <w:pPr>
              <w:pStyle w:val="Normal"/>
              <w:widowControl/>
              <w:bidi w:val="0"/>
              <w:spacing w:lineRule="auto" w:line="240" w:before="0" w:after="40"/>
              <w:jc w:val="start"/>
              <w:rPr/>
            </w:pPr>
            <w:r>
              <w:rPr>
                <w:sz w:val="19"/>
              </w:rPr>
              <w:t>Assistance trace</w:t>
            </w:r>
          </w:p>
        </w:tc>
        <w:tc>
          <w:tcPr>
            <w:tcW w:w="6739" w:type="dxa"/>
            <w:tcBorders/>
            <w:vAlign w:val="top"/>
            <w:shd w:fill="F7F9FB"/>
          </w:tcPr>
          <w:p>
            <w:pPr>
              <w:pStyle w:val="Normal"/>
              <w:widowControl/>
              <w:bidi w:val="0"/>
              <w:spacing w:lineRule="auto" w:line="240" w:before="0" w:after="40"/>
              <w:jc w:val="start"/>
              <w:rPr/>
            </w:pPr>
            <w:r>
              <w:rPr>
                <w:sz w:val="19"/>
              </w:rPr>
              <w:t>OpenAI ChatGPT/Codex supplied the disclosed tool assistance. Unadopted output is not PAL and is not independent corroboration.</w:t>
            </w:r>
          </w:p>
        </w:tc>
      </w:tr>
    </w:tbl>
    <w:p>
      <w:pPr>
        <w:pStyle w:val="Normal"/>
        <w:keepNext/>
        <w:keepLines/>
        <w:widowControl/>
        <w:bidi w:val="0"/>
        <w:spacing w:lineRule="auto" w:line="300" w:before="0" w:after="120"/>
        <w:jc w:val="start"/>
        <w:rPr/>
      </w:pPr>
      <w:r>
        <w:rPr/>
        <w:t>This component is authoritative only within the role stated above. Later evidence appends a linked record; it does not rewrite this release or enlarge its authority.</w:t>
      </w:r>
    </w:p>
    <w:sectPr>
      <w:headerReference w:type="default" r:id="rId27"/>
      <w:headerReference w:type="first" r:id="rId28"/>
      <w:footerReference w:type="default" r:id="rId29"/>
      <w:footerReference w:type="first" r:id="rId30"/>
      <w:type w:val="nextPage"/>
      <w:pgSz w:w="12240" w:h="15840"/>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Calibri" w:hAnsi="Calibri"/>
        <w:color w:val="5A626C"/>
        <w:sz w:val="16"/>
      </w:rPr>
      <w:t xml:space="preserve">Page </w:t>
    </w:r>
    <w:r>
      <w:rPr>
        <w:rFonts w:ascii="Calibri" w:hAnsi="Calibri"/>
        <w:color w:val="5A626C"/>
        <w:sz w:val="16"/>
      </w:rPr>
      <w:fldChar w:fldCharType="begin"/>
    </w:r>
    <w:r>
      <w:rPr>
        <w:rFonts w:ascii="Calibri" w:hAnsi="Calibri"/>
        <w:color w:val="5A626C"/>
        <w:sz w:val="16"/>
      </w:rPr>
      <w:instrText xml:space="preserve"> PAGE </w:instrText>
    </w:r>
    <w:r>
      <w:rPr>
        <w:rFonts w:ascii="Calibri" w:hAnsi="Calibri"/>
        <w:color w:val="5A626C"/>
        <w:sz w:val="16"/>
      </w:rPr>
      <w:fldChar w:fldCharType="separate"/>
    </w:r>
    <w:r>
      <w:rPr>
        <w:rFonts w:ascii="Calibri" w:hAnsi="Calibri"/>
        <w:color w:val="5A626C"/>
        <w:sz w:val="16"/>
      </w:rPr>
      <w:t>53</w:t>
    </w:r>
    <w:r>
      <w:rPr>
        <w:rFonts w:ascii="Calibri" w:hAnsi="Calibri"/>
        <w:color w:val="5A626C"/>
        <w:sz w:val="1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pPr>
    <w:r>
      <w:rPr>
        <w:rFonts w:ascii="Calibri" w:hAnsi="Calibri"/>
        <w:color w:val="464E58"/>
        <w:sz w:val="17"/>
      </w:rPr>
      <w:t>PAL V2.3-L  |  OBLIGATION AND DECISION LEDGER  |  DOI 10.5281/zenodo.22240134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00" w:before="0" w:after="120"/>
      <w:jc w:val="start"/>
    </w:pPr>
    <w:rPr>
      <w:rFonts w:ascii="Calibri" w:hAnsi="Calibri" w:eastAsia="Calibri"/>
      <w:color w:val="1F2933"/>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lineRule="auto" w:line="240" w:before="360" w:after="200"/>
      <w:outlineLvl w:val="0"/>
    </w:pPr>
    <w:rPr>
      <w:rFonts w:ascii="Calibri" w:hAnsi="Calibri" w:eastAsia="ＭＳ ゴシック" w:cs="DejaVu Sans"/>
      <w:b/>
      <w:bCs/>
      <w:color w:val="2E74B5"/>
      <w:sz w:val="32"/>
      <w:szCs w:val="28"/>
    </w:rPr>
  </w:style>
  <w:style w:type="paragraph" w:styleId="Heading2">
    <w:name w:val="heading 2"/>
    <w:basedOn w:val="Normal"/>
    <w:next w:val="Normal"/>
    <w:link w:val="Heading2Char"/>
    <w:qFormat/>
    <w:pPr>
      <w:keepNext w:val="true"/>
      <w:keepLines/>
      <w:numPr>
        <w:ilvl w:val="0"/>
        <w:numId w:val="0"/>
      </w:numPr>
      <w:spacing w:lineRule="auto" w:line="240" w:before="280" w:after="140"/>
      <w:outlineLvl w:val="1"/>
    </w:pPr>
    <w:rPr>
      <w:rFonts w:ascii="Calibri" w:hAnsi="Calibri" w:eastAsia="ＭＳ ゴシック" w:cs="DejaVu Sans"/>
      <w:b/>
      <w:bCs/>
      <w:color w:val="2E74B5"/>
      <w:sz w:val="26"/>
      <w:szCs w:val="26"/>
    </w:rPr>
  </w:style>
  <w:style w:type="paragraph" w:styleId="Heading3">
    <w:name w:val="heading 3"/>
    <w:basedOn w:val="Normal"/>
    <w:next w:val="Normal"/>
    <w:link w:val="Heading3Char"/>
    <w:qFormat/>
    <w:pPr>
      <w:keepNext w:val="true"/>
      <w:keepLines/>
      <w:numPr>
        <w:ilvl w:val="0"/>
        <w:numId w:val="0"/>
      </w:numPr>
      <w:spacing w:lineRule="auto" w:line="240" w:before="200" w:after="100"/>
      <w:outlineLvl w:val="2"/>
    </w:pPr>
    <w:rPr>
      <w:rFonts w:ascii="Calibri" w:hAnsi="Calibri" w:eastAsia="ＭＳ ゴシック" w:cs="DejaVu Sans"/>
      <w:b/>
      <w:bCs/>
      <w:color w:val="1F4D78"/>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Bullet20Symbols">
    <w:name w:val="Bullet_20_Symbols"/>
    <w:qFormat/>
    <w:rPr/>
  </w:style>
  <w:style w:type="character" w:styleId="Definition">
    <w:name w:val="Definition"/>
    <w:qFormat/>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link w:val="BodyTextChar"/>
    <w:pPr>
      <w:spacing w:before="0" w:after="120"/>
    </w:pPr>
    <w:rPr>
      <w:rFonts w:ascii="Calibri" w:hAnsi="Calibri" w:eastAsia="Calibri"/>
      <w:lang w:val="en-US"/>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before="80" w:after="80"/>
    </w:pPr>
    <w:rPr>
      <w:rFonts w:ascii="Calibri" w:hAnsi="Calibri"/>
      <w:b w:val="false"/>
      <w:bCs/>
      <w:color w:val="5F6B76"/>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80"/>
      <w:contextualSpacing/>
    </w:pPr>
    <w:rPr>
      <w:rFonts w:ascii="Calibri" w:hAnsi="Calibri" w:eastAsia="ＭＳ ゴシック" w:cs="DejaVu Sans"/>
      <w:b/>
      <w:color w:val="000000"/>
      <w:spacing w:val="5"/>
      <w:kern w:val="2"/>
      <w:sz w:val="48"/>
      <w:szCs w:val="52"/>
    </w:rPr>
  </w:style>
  <w:style w:type="paragraph" w:styleId="Subtitle">
    <w:name w:val="Subtitle"/>
    <w:basedOn w:val="Normal"/>
    <w:next w:val="Normal"/>
    <w:link w:val="SubtitleChar"/>
    <w:qFormat/>
    <w:pPr>
      <w:spacing w:lineRule="auto" w:line="264" w:before="0" w:after="280"/>
    </w:pPr>
    <w:rPr>
      <w:rFonts w:ascii="Calibri" w:hAnsi="Calibri" w:eastAsia="ＭＳ ゴシック" w:cs="DejaVu Sans"/>
      <w:b w:val="false"/>
      <w:i/>
      <w:iCs/>
      <w:color w:val="5F6B76"/>
      <w:spacing w:val="15"/>
      <w:sz w:val="26"/>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LeadCallout">
    <w:name w:val="Lead Callout"/>
    <w:basedOn w:val="Normal"/>
    <w:qFormat/>
    <w:pPr>
      <w:spacing w:lineRule="auto" w:line="288" w:before="160" w:after="200"/>
      <w:ind w:start="259" w:end="173"/>
    </w:pPr>
    <w:rPr>
      <w:rFonts w:ascii="Calibri" w:hAnsi="Calibri"/>
      <w:b/>
      <w:color w:val="1F4D78"/>
      <w:sz w:val="23"/>
    </w:rPr>
  </w:style>
  <w:style w:type="paragraph" w:styleId="SmallText">
    <w:name w:val="Small Text"/>
    <w:basedOn w:val="Normal"/>
    <w:qFormat/>
    <w:pPr>
      <w:spacing w:lineRule="auto" w:line="264" w:before="0" w:after="80"/>
    </w:pPr>
    <w:rPr>
      <w:rFonts w:ascii="Calibri" w:hAnsi="Calibri"/>
      <w:color w:val="5F6B76"/>
      <w:sz w:val="19"/>
    </w:rPr>
  </w:style>
  <w:style w:type="paragraph" w:styleId="CodeBlock">
    <w:name w:val="Code Block"/>
    <w:basedOn w:val="Normal"/>
    <w:qFormat/>
    <w:pPr>
      <w:spacing w:lineRule="auto" w:line="264" w:before="80" w:after="160"/>
      <w:ind w:start="288" w:end="144"/>
    </w:pPr>
    <w:rPr>
      <w:rFonts w:ascii="Consolas" w:hAnsi="Consolas"/>
      <w:color w:val="1F2933"/>
      <w:sz w:val="19"/>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5281/zenodo.21635188" TargetMode="External"/><Relationship Id="rId3" Type="http://schemas.openxmlformats.org/officeDocument/2006/relationships/hyperlink" Target="https://doi.org/10.5281/zenodo.21911684" TargetMode="External"/><Relationship Id="rId4" Type="http://schemas.openxmlformats.org/officeDocument/2006/relationships/hyperlink" Target="https://doi.org/10.5281/zenodo.21760884" TargetMode="External"/><Relationship Id="rId5" Type="http://schemas.openxmlformats.org/officeDocument/2006/relationships/hyperlink" Target="https://doi.org/10.5281/zenodo.21760893" TargetMode="External"/><Relationship Id="rId6" Type="http://schemas.openxmlformats.org/officeDocument/2006/relationships/hyperlink" Target="https://doi.org/10.4171/DM/151" TargetMode="External"/><Relationship Id="rId7" Type="http://schemas.openxmlformats.org/officeDocument/2006/relationships/hyperlink" Target="https://doi.org/10.1016/0022-0000(89)90034-2" TargetMode="External"/><Relationship Id="rId8" Type="http://schemas.openxmlformats.org/officeDocument/2006/relationships/hyperlink" Target="https://doi.org/10.1007/BF02924844" TargetMode="External"/><Relationship Id="rId9" Type="http://schemas.openxmlformats.org/officeDocument/2006/relationships/hyperlink" Target="https://doi.org/10.1017/S0305004100074338" TargetMode="External"/><Relationship Id="rId10" Type="http://schemas.openxmlformats.org/officeDocument/2006/relationships/hyperlink" Target="https://doi.org/10.1016/0304-3975(87)90045-4" TargetMode="External"/><Relationship Id="rId11" Type="http://schemas.openxmlformats.org/officeDocument/2006/relationships/hyperlink" Target="https://doi.org/10.1145/1265530.1265535" TargetMode="External"/><Relationship Id="rId12" Type="http://schemas.openxmlformats.org/officeDocument/2006/relationships/hyperlink" Target="https://doi.org/10.1090/S0002-9939-1958-0135681-9" TargetMode="External"/><Relationship Id="rId13" Type="http://schemas.openxmlformats.org/officeDocument/2006/relationships/hyperlink" Target="https://doi.org/10.1016/0304-3975(91)90041-Y" TargetMode="External"/><Relationship Id="rId14" Type="http://schemas.openxmlformats.org/officeDocument/2006/relationships/hyperlink" Target="https://doi.org/10.1016/0004-3702(79)90008-0" TargetMode="External"/><Relationship Id="rId15" Type="http://schemas.openxmlformats.org/officeDocument/2006/relationships/hyperlink" Target="https://doi.org/10.1007/s41468-019-00038-7" TargetMode="External"/><Relationship Id="rId16" Type="http://schemas.openxmlformats.org/officeDocument/2006/relationships/hyperlink" Target="https://doi.org/10.1051/cocv:2008008" TargetMode="External"/><Relationship Id="rId17" Type="http://schemas.openxmlformats.org/officeDocument/2006/relationships/hyperlink" Target="https://doi.org/10.1016/S0049-237X(08)71945-1" TargetMode="External"/><Relationship Id="rId18" Type="http://schemas.openxmlformats.org/officeDocument/2006/relationships/hyperlink" Target="https://doi.org/10.1103/PhysRevA.40.4277" TargetMode="External"/><Relationship Id="rId19" Type="http://schemas.openxmlformats.org/officeDocument/2006/relationships/hyperlink" Target="https://doi.org/10.1016/S0375-9601(96)00706-2" TargetMode="External"/><Relationship Id="rId20" Type="http://schemas.openxmlformats.org/officeDocument/2006/relationships/hyperlink" Target="https://doi.org/10.1103/PhysicsPhysiqueFizika.1.195" TargetMode="External"/><Relationship Id="rId21" Type="http://schemas.openxmlformats.org/officeDocument/2006/relationships/hyperlink" Target="https://doi.org/10.1016/j.ic.2016.02.008" TargetMode="External"/><Relationship Id="rId22" Type="http://schemas.openxmlformats.org/officeDocument/2006/relationships/hyperlink" Target="https://doi.org/10.1017/S0960129515000444" TargetMode="External"/><Relationship Id="rId23" Type="http://schemas.openxmlformats.org/officeDocument/2006/relationships/hyperlink" Target="https://doi.org/10.1007/s001650200016" TargetMode="External"/><Relationship Id="rId24" Type="http://schemas.openxmlformats.org/officeDocument/2006/relationships/hyperlink" Target="https://doi.org/10.1017/CBO9781139084673" TargetMode="External"/><Relationship Id="rId25" Type="http://schemas.openxmlformats.org/officeDocument/2006/relationships/hyperlink" Target="https://doi.org/10.1007/BFb0053567" TargetMode="External"/><Relationship Id="rId26" Type="http://schemas.openxmlformats.org/officeDocument/2006/relationships/hyperlink" Target="https://creativecommons.org/licenses/by/4.0/" TargetMode="Externa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footer" Target="footer1.xml"/><Relationship Id="rId30" Type="http://schemas.openxmlformats.org/officeDocument/2006/relationships/footer" Target="footer2.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2026-09-02T12:00:00Z</dcterms:created>
  <dc:creator>Christopher D. Pang</dc:creator>
  <dc:description>Author release; not peer reviewed. CC BY 4.0. DOI 10.5281/zenodo.22240134. AI assistance is disclosed in the document; AI tools are not authors or release authorities.</dc:description>
  <cp:keywords>PAL, Primitive Axiom Layers, v2.3, mathematical realization, conformance</cp:keywords>
  <dc:language>en-US</dc:language>
  <cp:lastModifiedBy>Christopher D. Pang</cp:lastModifiedBy>
  <dcterms:modified xsi:type="dcterms:W3CDTF">2026-09-02T12:00:00Z</dcterms:modified>
  <cp:revision>0</cp:revision>
  <dc:subject>PAL v2.3 coordinated author release</dc:subject>
  <dc:title>PAL v2.3 — Primitive Axiom Layers: Obligation and Decision Ledger</dc:title>
</cp:coreProperties>
</file>