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
  <Override PartName="/word/media/image12.svg" ContentType="image/svg"/>
  <Override PartName="/word/media/image2.svg" ContentType="image/svg"/>
  <Override PartName="/word/media/image4.svg" ContentType="image/svg"/>
  <Override PartName="/word/media/image6.svg" ContentType="image/svg"/>
  <Override PartName="/word/media/image8.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after="240"/>
        <w:jc w:val="center"/>
        <w:rPr>
          <w:b/>
          <w:bCs/>
        </w:rPr>
      </w:pPr>
      <w:r>
        <w:rPr>
          <w:rFonts w:ascii="Calibri" w:hAnsi="Calibri"/>
          <w:b/>
          <w:bCs/>
          <w:color w:val="1F4D78"/>
          <w:sz w:val="30"/>
        </w:rPr>
        <w:t>PAL — PRIMITIVE AXIOM LAYERS</w:t>
      </w:r>
    </w:p>
    <w:p>
      <w:pPr>
        <w:pStyle w:val="BodyText"/>
        <w:jc w:val="center"/>
        <w:rPr/>
      </w:pPr>
      <w:r>
        <w:rPr>
          <w:b/>
          <w:color w:val="10161E"/>
          <w:sz w:val="56"/>
        </w:rPr>
        <w:t>PAL v2.3-M</w:t>
      </w:r>
    </w:p>
    <w:p>
      <w:pPr>
        <w:pStyle w:val="BodyText"/>
        <w:jc w:val="center"/>
        <w:rPr/>
      </w:pPr>
      <w:r>
        <w:rPr>
          <w:i/>
          <w:color w:val="545E6A"/>
          <w:sz w:val="40"/>
        </w:rPr>
        <w:t>Mathematical Realization Atlas</w:t>
      </w:r>
    </w:p>
    <w:p>
      <w:pPr>
        <w:pStyle w:val="BodyText"/>
        <w:spacing w:after="80"/>
        <w:jc w:val="center"/>
        <w:rPr/>
      </w:pPr>
      <w:r>
        <w:rPr/>
        <w:t>Author: Christopher D. Pang</w:t>
      </w:r>
    </w:p>
    <w:p>
      <w:pPr>
        <w:pStyle w:val="BodyText"/>
        <w:spacing w:after="80"/>
        <w:jc w:val="center"/>
        <w:rPr/>
      </w:pPr>
      <w:r>
        <w:rPr/>
        <w:t>Version: 2.3</w:t>
      </w:r>
    </w:p>
    <w:p>
      <w:pPr>
        <w:pStyle w:val="BodyText"/>
        <w:spacing w:after="80"/>
        <w:jc w:val="center"/>
        <w:rPr/>
      </w:pPr>
      <w:r>
        <w:rPr/>
        <w:t>Publication date: 2 September 2026</w:t>
      </w:r>
    </w:p>
    <w:p>
      <w:pPr>
        <w:pStyle w:val="BodyText"/>
        <w:spacing w:after="80"/>
        <w:jc w:val="center"/>
        <w:rPr/>
      </w:pPr>
      <w:r>
        <w:rPr/>
        <w:t>DOI: 10.5281/zenodo.22240134</w:t>
      </w:r>
    </w:p>
    <w:p>
      <w:pPr>
        <w:pStyle w:val="BodyText"/>
        <w:spacing w:after="80"/>
        <w:jc w:val="center"/>
        <w:rPr/>
      </w:pPr>
      <w:r>
        <w:rPr/>
        <w:t>Status: Author release; not peer reviewed</w:t>
      </w:r>
    </w:p>
    <w:p>
      <w:pPr>
        <w:pStyle w:val="BodyText"/>
        <w:spacing w:after="80"/>
        <w:jc w:val="center"/>
        <w:rPr/>
      </w:pPr>
      <w:r>
        <w:rPr>
          <w:b/>
          <w:bCs/>
        </w:rPr>
        <w:t>License:</w:t>
      </w:r>
      <w:r>
        <w:rPr/>
        <w:t xml:space="preserve"> Creative Commons Attribution 4.0 International (CC BY 4.0)</w:t>
      </w:r>
    </w:p>
    <w:p>
      <w:pPr>
        <w:pStyle w:val="BodyText"/>
        <w:spacing w:before="200" w:after="60"/>
        <w:jc w:val="center"/>
        <w:rPr>
          <w:b/>
          <w:bCs/>
        </w:rPr>
      </w:pPr>
      <w:r>
        <w:rPr>
          <w:b/>
          <w:bCs/>
          <w:color w:val="4B5662"/>
        </w:rPr>
        <w:t>Authority note</w:t>
      </w:r>
    </w:p>
    <w:p>
      <w:pPr>
        <w:pStyle w:val="BlockQuotation"/>
        <w:ind w:hanging="0" w:start="720" w:end="0"/>
        <w:jc w:val="center"/>
        <w:rPr>
          <w:b/>
          <w:bCs/>
        </w:rPr>
      </w:pPr>
      <w:r>
        <w:rPr>
          <w:b/>
          <w:bCs/>
        </w:rPr>
        <w:t>This file is one coordinated authority surface in the PAL v2.3 release. Its authority is limited to the Mathematical Realization Atlas role stated inside it. Christopher D. Pang is the sole author, steward, and release authority.</w:t>
      </w:r>
    </w:p>
    <w:p>
      <w:pPr>
        <w:pStyle w:val="Normal"/>
        <w:spacing w:before="160" w:after="60"/>
        <w:jc w:val="center"/>
        <w:rPr>
          <w:b/>
          <w:bCs/>
        </w:rPr>
      </w:pPr>
      <w:r>
        <w:rPr>
          <w:b/>
          <w:bCs/>
        </w:rPr>
        <w:t>AI-use disclosure</w:t>
      </w:r>
    </w:p>
    <w:p>
      <w:pPr>
        <w:pStyle w:val="BodyText"/>
        <w:spacing w:line="240" w:lineRule="auto"/>
        <w:jc w:val="center"/>
        <w:rPr/>
      </w:pPr>
      <w:r>
        <w:rPr>
          <w:color w:val="1F4D78"/>
          <w:sz w:val="17"/>
        </w:rPr>
        <w:t>Christopher D. Pang originated PAL’s framework and conceptual identities, supplied its source corpus and terminology, and is its sole author, steward, and release authority. AI tools assisted drafting, editing, mathematical exploration, code and fixture development, adversarial review, source reconciliation, testing, document generation, and formatting under his direction. They are not authors, co-authors, inventors, owners, stewards, witnesses, release authorities, or independent corroborators. Model output is not privileged testimony or independent corroboration.</w:t>
      </w:r>
    </w:p>
    <w:p>
      <w:pPr>
        <w:pStyle w:val="Heading2"/>
        <w:keepNext/>
        <w:keepLines/>
        <w:jc w:val="center"/>
        <w:rPr/>
      </w:pPr>
      <w:bookmarkStart w:id="0" w:name="abstract"/>
      <w:r>
        <w:rPr/>
        <w:t>Abstract</w:t>
      </w:r>
      <w:bookmarkEnd w:id="0"/>
    </w:p>
    <w:p>
      <w:pPr>
        <w:pStyle w:val="Normal"/>
        <w:keepNext/>
        <w:keepLines/>
        <w:jc w:val="center"/>
        <w:rPr/>
      </w:pPr>
      <w:r>
        <w:rPr/>
        <w:t>PAL v2.3-M preserves the complete v2.2 realization-card set while adding conditional geometry/interface declarations, six bounded realization cards, one removable primitive-floor plate, and the RAINBOW family of arithmetic and constructed geometric realizations. The Atlas keeps exact theorem, finite verification, visualization encoding, interpretation, and PAL synthesis separately typed. These additions define no PAL primitive, consume no Ω, manufacture no witness or permission, and establish no universal geometry, physical law, quantum collapse, Lagrange dynamics, consciousness result, or package-wide completion claim.</w:t>
      </w:r>
      <w:r>
        <w:br w:type="page"/>
      </w:r>
    </w:p>
    <w:p>
      <w:pPr>
        <w:pStyle w:val="Heading1"/>
        <w:keepNext/>
        <w:keepLines/>
        <w:pageBreakBefore w:val="0"/>
        <w:rPr/>
      </w:pPr>
      <w:bookmarkStart w:id="1" w:name="document-map"/>
      <w:r>
        <w:rPr/>
        <w:t>Document map</w:t>
      </w:r>
      <w:bookmarkEnd w:id="1"/>
    </w:p>
    <w:p>
      <w:pPr>
        <w:pStyle w:val="Normal"/>
        <w:keepNext/>
        <w:keepLines/>
        <w:rPr/>
      </w:pPr>
      <w:r>
        <w:rPr/>
        <w:t>Headings are the navigation authority for this source and its rendered PDF. The map below lists the major reading route; page numbers are intentionally not frozen into the editable source.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Section</w:t>
            </w:r>
          </w:p>
        </w:tc>
        <w:tc>
          <w:tcPr>
            <w:tcW w:w="6739" w:type="dxa"/>
            <w:tcBorders/>
            <w:vAlign w:val="top"/>
            <w:shd w:fill="DCE6F1"/>
          </w:tcPr>
          <w:p>
            <w:pPr>
              <w:pStyle w:val="Normal"/>
              <w:spacing w:before="0" w:after="40" w:line="240" w:lineRule="auto"/>
              <w:rPr>
                <w:b/>
                <w:bCs/>
              </w:rPr>
            </w:pPr>
            <w:r>
              <w:rPr>
                <w:b/>
                <w:bCs/>
                <w:color w:val="1F4D78"/>
                <w:sz w:val="19"/>
              </w:rPr>
              <w:t>Purpose</w:t>
            </w:r>
          </w:p>
        </w:tc>
      </w:tr>
      <w:tr>
        <w:trPr/>
        <w:tc>
          <w:tcPr>
            <w:tcW w:w="2621" w:type="dxa"/>
            <w:tcBorders/>
            <w:vAlign w:val="top"/>
          </w:tcPr>
          <w:p>
            <w:pPr>
              <w:pStyle w:val="Normal"/>
              <w:spacing w:before="0" w:after="40" w:line="240" w:lineRule="auto"/>
              <w:rPr>
                <w:b/>
                <w:bCs/>
              </w:rPr>
            </w:pPr>
            <w:r>
              <w:rPr>
                <w:b/>
                <w:bCs/>
                <w:sz w:val="19"/>
              </w:rPr>
              <w:t>1. Atlas charter</w:t>
            </w:r>
          </w:p>
        </w:tc>
        <w:tc>
          <w:tcPr>
            <w:tcW w:w="6739" w:type="dxa"/>
            <w:tcBorders/>
            <w:vAlign w:val="top"/>
          </w:tcPr>
          <w:p>
            <w:pPr>
              <w:pStyle w:val="Normal"/>
              <w:widowControl/>
              <w:bidi w:val="0"/>
              <w:spacing w:lineRule="auto" w:line="240" w:before="0" w:after="40"/>
              <w:jc w:val="start"/>
              <w:rPr/>
            </w:pPr>
            <w:r>
              <w:rPr>
                <w:sz w:val="19"/>
              </w:rPr>
              <w:t>Subordinate formal authority, claim vocabulary, and non-equivalences.</w:t>
            </w:r>
          </w:p>
        </w:tc>
      </w:tr>
      <w:tr>
        <w:trPr/>
        <w:tc>
          <w:tcPr>
            <w:tcW w:w="2621" w:type="dxa"/>
            <w:tcBorders/>
            <w:vAlign w:val="top"/>
            <w:shd w:fill="F7F9FB"/>
          </w:tcPr>
          <w:p>
            <w:pPr>
              <w:pStyle w:val="Normal"/>
              <w:spacing w:before="0" w:after="40" w:line="240" w:lineRule="auto"/>
              <w:rPr>
                <w:b/>
                <w:bCs/>
              </w:rPr>
            </w:pPr>
            <w:r>
              <w:rPr>
                <w:b/>
                <w:bCs/>
                <w:sz w:val="19"/>
              </w:rPr>
              <w:t>2. Common realization contract</w:t>
            </w:r>
          </w:p>
        </w:tc>
        <w:tc>
          <w:tcPr>
            <w:tcW w:w="6739" w:type="dxa"/>
            <w:tcBorders/>
            <w:vAlign w:val="top"/>
            <w:shd w:fill="F7F9FB"/>
          </w:tcPr>
          <w:p>
            <w:pPr>
              <w:pStyle w:val="Normal"/>
              <w:widowControl/>
              <w:bidi w:val="0"/>
              <w:spacing w:lineRule="auto" w:line="240" w:before="0" w:after="40"/>
              <w:jc w:val="start"/>
              <w:rPr/>
            </w:pPr>
            <w:r>
              <w:rPr>
                <w:sz w:val="19"/>
              </w:rPr>
              <w:t>Required fields, conditional extension profile, delete/swap tests, and recovery law.</w:t>
            </w:r>
          </w:p>
        </w:tc>
      </w:tr>
      <w:tr>
        <w:trPr/>
        <w:tc>
          <w:tcPr>
            <w:tcW w:w="2621" w:type="dxa"/>
            <w:tcBorders/>
            <w:vAlign w:val="top"/>
          </w:tcPr>
          <w:p>
            <w:pPr>
              <w:pStyle w:val="Normal"/>
              <w:spacing w:before="0" w:after="40" w:line="240" w:lineRule="auto"/>
              <w:rPr>
                <w:b/>
                <w:bCs/>
              </w:rPr>
            </w:pPr>
            <w:r>
              <w:rPr>
                <w:b/>
                <w:bCs/>
                <w:sz w:val="19"/>
              </w:rPr>
              <w:t>3. Primitive-floor migration</w:t>
            </w:r>
          </w:p>
        </w:tc>
        <w:tc>
          <w:tcPr>
            <w:tcW w:w="6739" w:type="dxa"/>
            <w:tcBorders/>
            <w:vAlign w:val="top"/>
          </w:tcPr>
          <w:p>
            <w:pPr>
              <w:pStyle w:val="Normal"/>
              <w:widowControl/>
              <w:bidi w:val="0"/>
              <w:spacing w:lineRule="auto" w:line="240" w:before="0" w:after="40"/>
              <w:jc w:val="start"/>
              <w:rPr/>
            </w:pPr>
            <w:r>
              <w:rPr>
                <w:sz w:val="19"/>
              </w:rPr>
              <w:t>M0 relocation and the Ω/A0/Ω*/θ/A1 formal seam.</w:t>
            </w:r>
          </w:p>
        </w:tc>
      </w:tr>
      <w:tr>
        <w:trPr/>
        <w:tc>
          <w:tcPr>
            <w:tcW w:w="2621" w:type="dxa"/>
            <w:tcBorders/>
            <w:vAlign w:val="top"/>
            <w:shd w:fill="F7F9FB"/>
          </w:tcPr>
          <w:p>
            <w:pPr>
              <w:pStyle w:val="Normal"/>
              <w:spacing w:before="0" w:after="40" w:line="240" w:lineRule="auto"/>
              <w:rPr>
                <w:b/>
                <w:bCs/>
              </w:rPr>
            </w:pPr>
            <w:r>
              <w:rPr>
                <w:b/>
                <w:bCs/>
                <w:sz w:val="19"/>
              </w:rPr>
              <w:t>4. Realization index</w:t>
            </w:r>
          </w:p>
        </w:tc>
        <w:tc>
          <w:tcPr>
            <w:tcW w:w="6739" w:type="dxa"/>
            <w:tcBorders/>
            <w:vAlign w:val="top"/>
            <w:shd w:fill="F7F9FB"/>
          </w:tcPr>
          <w:p>
            <w:pPr>
              <w:pStyle w:val="Normal"/>
              <w:widowControl/>
              <w:bidi w:val="0"/>
              <w:spacing w:lineRule="auto" w:line="240" w:before="0" w:after="40"/>
              <w:jc w:val="start"/>
              <w:rPr/>
            </w:pPr>
            <w:r>
              <w:rPr>
                <w:sz w:val="19"/>
              </w:rPr>
              <w:t>Preserved and additive realization addresses.</w:t>
            </w:r>
          </w:p>
        </w:tc>
      </w:tr>
      <w:tr>
        <w:trPr/>
        <w:tc>
          <w:tcPr>
            <w:tcW w:w="2621" w:type="dxa"/>
            <w:tcBorders/>
            <w:vAlign w:val="top"/>
          </w:tcPr>
          <w:p>
            <w:pPr>
              <w:pStyle w:val="Normal"/>
              <w:spacing w:before="0" w:after="40" w:line="240" w:lineRule="auto"/>
              <w:rPr>
                <w:b/>
                <w:bCs/>
              </w:rPr>
            </w:pPr>
            <w:r>
              <w:rPr>
                <w:b/>
                <w:bCs/>
                <w:sz w:val="19"/>
              </w:rPr>
              <w:t>5. Preserved realization cards</w:t>
            </w:r>
          </w:p>
        </w:tc>
        <w:tc>
          <w:tcPr>
            <w:tcW w:w="6739" w:type="dxa"/>
            <w:tcBorders/>
            <w:vAlign w:val="top"/>
          </w:tcPr>
          <w:p>
            <w:pPr>
              <w:pStyle w:val="Normal"/>
              <w:widowControl/>
              <w:bidi w:val="0"/>
              <w:spacing w:lineRule="auto" w:line="240" w:before="0" w:after="40"/>
              <w:jc w:val="start"/>
              <w:rPr/>
            </w:pPr>
            <w:r>
              <w:rPr>
                <w:sz w:val="19"/>
              </w:rPr>
              <w:t>The v2.2 cards with only required v2.3 clarifications and cross-routes.</w:t>
            </w:r>
          </w:p>
        </w:tc>
      </w:tr>
      <w:tr>
        <w:trPr/>
        <w:tc>
          <w:tcPr>
            <w:tcW w:w="2621" w:type="dxa"/>
            <w:tcBorders/>
            <w:vAlign w:val="top"/>
            <w:shd w:fill="F7F9FB"/>
          </w:tcPr>
          <w:p>
            <w:pPr>
              <w:pStyle w:val="Normal"/>
              <w:spacing w:before="0" w:after="40" w:line="240" w:lineRule="auto"/>
              <w:rPr>
                <w:b/>
                <w:bCs/>
              </w:rPr>
            </w:pPr>
            <w:r>
              <w:rPr>
                <w:b/>
                <w:bCs/>
                <w:sz w:val="19"/>
              </w:rPr>
              <w:t>6. First-cut realization family</w:t>
            </w:r>
          </w:p>
        </w:tc>
        <w:tc>
          <w:tcPr>
            <w:tcW w:w="6739" w:type="dxa"/>
            <w:tcBorders/>
            <w:vAlign w:val="top"/>
            <w:shd w:fill="F7F9FB"/>
          </w:tcPr>
          <w:p>
            <w:pPr>
              <w:pStyle w:val="Normal"/>
              <w:widowControl/>
              <w:bidi w:val="0"/>
              <w:spacing w:lineRule="auto" w:line="240" w:before="0" w:after="40"/>
              <w:jc w:val="start"/>
              <w:rPr/>
            </w:pPr>
            <w:r>
              <w:rPr>
                <w:sz w:val="19"/>
              </w:rPr>
              <w:t>Scoped firstness, source fibers, occurrence history, and append-only inquiry/recovery.</w:t>
            </w:r>
          </w:p>
        </w:tc>
      </w:tr>
      <w:tr>
        <w:trPr/>
        <w:tc>
          <w:tcPr>
            <w:tcW w:w="2621" w:type="dxa"/>
            <w:tcBorders/>
            <w:vAlign w:val="top"/>
          </w:tcPr>
          <w:p>
            <w:pPr>
              <w:pStyle w:val="Normal"/>
              <w:spacing w:before="0" w:after="40" w:line="240" w:lineRule="auto"/>
              <w:rPr>
                <w:b/>
                <w:bCs/>
              </w:rPr>
            </w:pPr>
            <w:r>
              <w:rPr>
                <w:b/>
                <w:bCs/>
                <w:sz w:val="19"/>
              </w:rPr>
              <w:t>7. Branch routing</w:t>
            </w:r>
          </w:p>
        </w:tc>
        <w:tc>
          <w:tcPr>
            <w:tcW w:w="6739" w:type="dxa"/>
            <w:tcBorders/>
            <w:vAlign w:val="top"/>
          </w:tcPr>
          <w:p>
            <w:pPr>
              <w:pStyle w:val="Normal"/>
              <w:widowControl/>
              <w:bidi w:val="0"/>
              <w:spacing w:lineRule="auto" w:line="240" w:before="0" w:after="40"/>
              <w:jc w:val="start"/>
              <w:rPr/>
            </w:pPr>
            <w:r>
              <w:rPr>
                <w:sz w:val="19"/>
              </w:rPr>
              <w:t>How companion work attaches without absorption.</w:t>
            </w:r>
          </w:p>
        </w:tc>
      </w:tr>
      <w:tr>
        <w:trPr/>
        <w:tc>
          <w:tcPr>
            <w:tcW w:w="2621" w:type="dxa"/>
            <w:tcBorders/>
            <w:vAlign w:val="top"/>
            <w:shd w:fill="F7F9FB"/>
          </w:tcPr>
          <w:p>
            <w:pPr>
              <w:pStyle w:val="Normal"/>
              <w:spacing w:before="0" w:after="40" w:line="240" w:lineRule="auto"/>
              <w:rPr>
                <w:b/>
                <w:bCs/>
              </w:rPr>
            </w:pPr>
            <w:r>
              <w:rPr>
                <w:b/>
                <w:bCs/>
                <w:sz w:val="19"/>
              </w:rPr>
              <w:t>8. Preserved v2.2 realization additions</w:t>
            </w:r>
          </w:p>
        </w:tc>
        <w:tc>
          <w:tcPr>
            <w:tcW w:w="6739" w:type="dxa"/>
            <w:tcBorders/>
            <w:vAlign w:val="top"/>
            <w:shd w:fill="F7F9FB"/>
          </w:tcPr>
          <w:p>
            <w:pPr>
              <w:pStyle w:val="Normal"/>
              <w:widowControl/>
              <w:bidi w:val="0"/>
              <w:spacing w:lineRule="auto" w:line="240" w:before="0" w:after="40"/>
              <w:jc w:val="start"/>
              <w:rPr/>
            </w:pPr>
            <w:r>
              <w:rPr>
                <w:sz w:val="19"/>
              </w:rPr>
              <w:t>Ordinary 1/model choice, generator coverage, quantifier order, and completion no-hiding.</w:t>
            </w:r>
          </w:p>
        </w:tc>
      </w:tr>
      <w:tr>
        <w:trPr/>
        <w:tc>
          <w:tcPr>
            <w:tcW w:w="2621" w:type="dxa"/>
            <w:tcBorders/>
            <w:vAlign w:val="top"/>
          </w:tcPr>
          <w:p>
            <w:pPr>
              <w:pStyle w:val="Normal"/>
              <w:spacing w:before="0" w:after="40" w:line="240" w:lineRule="auto"/>
              <w:rPr>
                <w:b/>
                <w:bCs/>
              </w:rPr>
            </w:pPr>
            <w:r>
              <w:rPr>
                <w:b/>
                <w:bCs/>
                <w:sz w:val="19"/>
              </w:rPr>
              <w:t>9. PAL v2.3 realization additions</w:t>
            </w:r>
          </w:p>
        </w:tc>
        <w:tc>
          <w:tcPr>
            <w:tcW w:w="6739" w:type="dxa"/>
            <w:tcBorders/>
            <w:vAlign w:val="top"/>
          </w:tcPr>
          <w:p>
            <w:pPr>
              <w:pStyle w:val="Normal"/>
              <w:widowControl/>
              <w:bidi w:val="0"/>
              <w:spacing w:lineRule="auto" w:line="240" w:before="0" w:after="40"/>
              <w:jc w:val="start"/>
              <w:rPr/>
            </w:pPr>
            <w:r>
              <w:rPr>
                <w:sz w:val="19"/>
              </w:rPr>
              <w:t>Six new cards, the GOLD primitive-floor plate, and bounded fixtures.</w:t>
            </w:r>
          </w:p>
        </w:tc>
      </w:tr>
      <w:tr>
        <w:trPr/>
        <w:tc>
          <w:tcPr>
            <w:tcW w:w="2621" w:type="dxa"/>
            <w:tcBorders/>
            <w:vAlign w:val="top"/>
            <w:shd w:fill="F7F9FB"/>
          </w:tcPr>
          <w:p>
            <w:pPr>
              <w:pStyle w:val="Normal"/>
              <w:spacing w:before="0" w:after="40" w:line="240" w:lineRule="auto"/>
              <w:rPr>
                <w:b/>
                <w:bCs/>
              </w:rPr>
            </w:pPr>
            <w:r>
              <w:rPr>
                <w:b/>
                <w:bCs/>
                <w:sz w:val="19"/>
              </w:rPr>
              <w:t>10. RAINBOW</w:t>
            </w:r>
          </w:p>
        </w:tc>
        <w:tc>
          <w:tcPr>
            <w:tcW w:w="6739" w:type="dxa"/>
            <w:tcBorders/>
            <w:vAlign w:val="top"/>
            <w:shd w:fill="F7F9FB"/>
          </w:tcPr>
          <w:p>
            <w:pPr>
              <w:pStyle w:val="Normal"/>
              <w:widowControl/>
              <w:bidi w:val="0"/>
              <w:spacing w:lineRule="auto" w:line="240" w:before="0" w:after="40"/>
              <w:jc w:val="start"/>
              <w:rPr/>
            </w:pPr>
            <w:r>
              <w:rPr>
                <w:sz w:val="19"/>
              </w:rPr>
              <w:t>Prime and composite norm shells, local frame, log-phase history weave, and amplitude adapter.</w:t>
            </w:r>
          </w:p>
        </w:tc>
      </w:tr>
      <w:tr>
        <w:trPr/>
        <w:tc>
          <w:tcPr>
            <w:tcW w:w="2621" w:type="dxa"/>
            <w:tcBorders/>
            <w:vAlign w:val="top"/>
          </w:tcPr>
          <w:p>
            <w:pPr>
              <w:pStyle w:val="Normal"/>
              <w:spacing w:before="0" w:after="40" w:line="240" w:lineRule="auto"/>
              <w:rPr>
                <w:b/>
                <w:bCs/>
              </w:rPr>
            </w:pPr>
            <w:r>
              <w:rPr>
                <w:b/>
                <w:bCs/>
                <w:sz w:val="19"/>
              </w:rPr>
              <w:t>11. Provenance and change log</w:t>
            </w:r>
          </w:p>
        </w:tc>
        <w:tc>
          <w:tcPr>
            <w:tcW w:w="6739" w:type="dxa"/>
            <w:tcBorders/>
            <w:vAlign w:val="top"/>
          </w:tcPr>
          <w:p>
            <w:pPr>
              <w:pStyle w:val="Normal"/>
              <w:widowControl/>
              <w:bidi w:val="0"/>
              <w:spacing w:lineRule="auto" w:line="240" w:before="0" w:after="40"/>
              <w:jc w:val="start"/>
              <w:rPr/>
            </w:pPr>
            <w:r>
              <w:rPr>
                <w:sz w:val="19"/>
              </w:rPr>
              <w:t>Source roles, claim layers, bounded changes, ceilings, and reopening routes.</w:t>
            </w:r>
          </w:p>
        </w:tc>
      </w:tr>
      <w:tr>
        <w:trPr/>
        <w:tc>
          <w:tcPr>
            <w:tcW w:w="2621" w:type="dxa"/>
            <w:tcBorders/>
            <w:vAlign w:val="top"/>
            <w:shd w:fill="F7F9FB"/>
          </w:tcPr>
          <w:p>
            <w:pPr>
              <w:pStyle w:val="Normal"/>
              <w:spacing w:before="0" w:after="40" w:line="240" w:lineRule="auto"/>
              <w:rPr>
                <w:b/>
                <w:bCs/>
              </w:rPr>
            </w:pPr>
            <w:r>
              <w:rPr>
                <w:b/>
                <w:bCs/>
                <w:sz w:val="19"/>
              </w:rPr>
              <w:t>References and disclosure</w:t>
            </w:r>
          </w:p>
        </w:tc>
        <w:tc>
          <w:tcPr>
            <w:tcW w:w="6739" w:type="dxa"/>
            <w:tcBorders/>
            <w:vAlign w:val="top"/>
            <w:shd w:fill="F7F9FB"/>
          </w:tcPr>
          <w:p>
            <w:pPr>
              <w:pStyle w:val="Normal"/>
              <w:widowControl/>
              <w:bidi w:val="0"/>
              <w:spacing w:lineRule="auto" w:line="240" w:before="0" w:after="40"/>
              <w:jc w:val="start"/>
              <w:rPr/>
            </w:pPr>
            <w:r>
              <w:rPr>
                <w:sz w:val="19"/>
              </w:rPr>
              <w:t>Mathematical lineage, citation, license, assistance account, and end trace.</w:t>
            </w:r>
          </w:p>
        </w:tc>
      </w:tr>
    </w:tbl>
    <w:p>
      <w:pPr>
        <w:pStyle w:val="Heading1"/>
        <w:keepNext/>
        <w:keepLines/>
        <w:rPr/>
      </w:pPr>
      <w:bookmarkStart w:id="2" w:name="atlas-charter"/>
      <w:r>
        <w:rPr/>
        <w:t>1. Atlas charter</w:t>
      </w:r>
      <w:bookmarkEnd w:id="2"/>
    </w:p>
    <w:p>
      <w:pPr>
        <w:pStyle w:val="Normal"/>
        <w:keepNext/>
        <w:keepLines/>
        <w:rPr>
          <w:b/>
          <w:bCs/>
        </w:rPr>
      </w:pPr>
      <w:r>
        <w:rPr>
          <w:b/>
          <w:bCs/>
        </w:rPr>
        <w:t>Mathematics is a tool inside PAL’s account, not PAL’s foundation. Every realization below is conditional, removable, and answerable to the mechanical card it targets.</w:t>
      </w:r>
    </w:p>
    <w:p>
      <w:pPr>
        <w:pStyle w:val="BodyText"/>
        <w:rPr/>
      </w:pPr>
      <w:r>
        <w:rPr/>
        <w:t>The Atlas controls only the formal statements written on its individual cards. A theorem may close its own named claim under declared assumptions. It cannot identify Ω, redefine a mechanical layer, erase residuals, create missing witnesses, create consent, permission, standing, jurisdiction, or authority, or return PAL_COMPLETE.</w:t>
      </w:r>
    </w:p>
    <w:p>
      <w:pPr>
        <w:pStyle w:val="BodyText"/>
        <w:rPr/>
      </w:pPr>
      <w:r>
        <w:rPr/>
        <w:t>The following non-equivalences govern every card and figure:</w:t>
      </w:r>
    </w:p>
    <w:p>
      <w:pPr>
        <w:pStyle w:val="BodyText"/>
        <w:numPr>
          <w:ilvl w:val="0"/>
          <w:numId w:val="8"/>
        </w:numPr>
        <w:spacing w:before="0" w:after="0"/>
        <w:rPr/>
      </w:pPr>
      <w:r>
        <w:rPr/>
        <w:t>Ω ≠ residue ≠ exterior ≠ topological boundary.</w:t>
      </w:r>
    </w:p>
    <w:p>
      <w:pPr>
        <w:pStyle w:val="BodyText"/>
        <w:numPr>
          <w:ilvl w:val="0"/>
          <w:numId w:val="8"/>
        </w:numPr>
        <w:spacing w:before="0" w:after="0"/>
        <w:rPr/>
      </w:pPr>
      <w:r>
        <w:rPr/>
        <w:t>A0 cut ≠ chain boundary ≠ detector interface ≠ compactification boundary ≠ constraint zero ≠ A15 scope.</w:t>
      </w:r>
    </w:p>
    <w:p>
      <w:pPr>
        <w:pStyle w:val="BodyText"/>
        <w:numPr>
          <w:ilvl w:val="0"/>
          <w:numId w:val="8"/>
        </w:numPr>
        <w:spacing w:before="0" w:after="0"/>
        <w:rPr/>
      </w:pPr>
      <w:r>
        <w:rPr/>
        <w:t>θ structural minimum ≠ least positive metric quantity.</w:t>
      </w:r>
    </w:p>
    <w:p>
      <w:pPr>
        <w:pStyle w:val="BodyText"/>
        <w:numPr>
          <w:ilvl w:val="0"/>
          <w:numId w:val="8"/>
        </w:numPr>
        <w:spacing w:before="0" w:after="0"/>
        <w:rPr/>
      </w:pPr>
      <w:r>
        <w:rPr/>
        <w:t>Boolean comparator output ≠ complete three-way comparison.</w:t>
      </w:r>
    </w:p>
    <w:p>
      <w:pPr>
        <w:pStyle w:val="BodyText"/>
        <w:numPr>
          <w:ilvl w:val="0"/>
          <w:numId w:val="8"/>
        </w:numPr>
        <w:spacing w:before="0" w:after="0"/>
        <w:rPr/>
      </w:pPr>
      <w:r>
        <w:rPr/>
        <w:t>Endpoint equality ≠ path identity; filled-bigon homology collapse ≠ erased historical route.</w:t>
      </w:r>
    </w:p>
    <w:p>
      <w:pPr>
        <w:pStyle w:val="BodyText"/>
        <w:numPr>
          <w:ilvl w:val="0"/>
          <w:numId w:val="8"/>
        </w:numPr>
        <w:spacing w:before="0" w:after="0"/>
        <w:rPr/>
      </w:pPr>
      <w:r>
        <w:rPr/>
        <w:t>Preserved relation or edge identity ≠ preserved source identity.</w:t>
      </w:r>
    </w:p>
    <w:p>
      <w:pPr>
        <w:pStyle w:val="BodyText"/>
        <w:numPr>
          <w:ilvl w:val="0"/>
          <w:numId w:val="8"/>
        </w:numPr>
        <w:spacing w:before="0" w:after="0"/>
        <w:rPr/>
      </w:pPr>
      <w:r>
        <w:rPr/>
        <w:t>Reachable decoder ≠ total decoder; set-theoretic decoding implies none of continuity, measurability, computability, efficiency, causality, privacy, permission, or authorization without separate proof.</w:t>
      </w:r>
    </w:p>
    <w:p>
      <w:pPr>
        <w:pStyle w:val="BodyText"/>
        <w:numPr>
          <w:ilvl w:val="0"/>
          <w:numId w:val="8"/>
        </w:numPr>
        <w:spacing w:before="0" w:after="0"/>
        <w:rPr/>
      </w:pPr>
      <w:r>
        <w:rPr/>
        <w:t>Action-bit lift ≠ retained A2 receipt; exact checkpoint work state ≠ A12 token authority.</w:t>
      </w:r>
    </w:p>
    <w:p>
      <w:pPr>
        <w:pStyle w:val="BodyText"/>
        <w:numPr>
          <w:ilvl w:val="0"/>
          <w:numId w:val="8"/>
        </w:numPr>
        <w:spacing w:before="0" w:after="0"/>
        <w:rPr/>
      </w:pPr>
      <w:r>
        <w:rPr/>
        <w:t>Work-projection stutter ≠ total-state identity; heartbeat ≠ progress, liveness, success, consciousness, or permission.</w:t>
      </w:r>
    </w:p>
    <w:p>
      <w:pPr>
        <w:pStyle w:val="BodyText"/>
        <w:numPr>
          <w:ilvl w:val="0"/>
          <w:numId w:val="8"/>
        </w:numPr>
        <w:spacing w:before="0" w:after="0"/>
        <w:rPr/>
      </w:pPr>
      <w:r>
        <w:rPr/>
        <w:t>Zero direct residual ≠ zero resource cost or unchanged slack.</w:t>
      </w:r>
    </w:p>
    <w:p>
      <w:pPr>
        <w:pStyle w:val="BodyText"/>
        <w:numPr>
          <w:ilvl w:val="0"/>
          <w:numId w:val="8"/>
        </w:numPr>
        <w:spacing w:before="0" w:after="0"/>
        <w:rPr/>
      </w:pPr>
      <w:r>
        <w:rPr/>
        <w:t>Transport break ≠ topological puncture without an adapter; compactification closure ≠ PAL A15 closure.</w:t>
      </w:r>
    </w:p>
    <w:p>
      <w:pPr>
        <w:pStyle w:val="BodyText"/>
        <w:numPr>
          <w:ilvl w:val="0"/>
          <w:numId w:val="8"/>
        </w:numPr>
        <w:spacing w:before="0" w:after="0"/>
        <w:rPr/>
      </w:pPr>
      <w:r>
        <w:rPr/>
        <w:t>Branch outcome code ≠ PAL claim status; same-author agreement ≠ independent corroboration.</w:t>
      </w:r>
    </w:p>
    <w:p>
      <w:pPr>
        <w:pStyle w:val="Heading2"/>
        <w:keepNext/>
        <w:keepLines/>
        <w:rPr/>
      </w:pPr>
      <w:bookmarkStart w:id="3" w:name="claim-vocabulary"/>
      <w:r>
        <w:rPr/>
        <w:t>Claim vocabulary</w:t>
      </w:r>
      <w:bookmarkEnd w:id="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693"/>
        <w:gridCol w:w="7667"/>
      </w:tblGrid>
      <w:tr>
        <w:trPr>
          <w:tblHeader w:val="true"/>
        </w:trPr>
        <w:tc>
          <w:tcPr>
            <w:tcW w:w="1693" w:type="dxa"/>
            <w:tcBorders/>
            <w:vAlign w:val="top"/>
            <w:shd w:fill="DCE6F1"/>
          </w:tcPr>
          <w:p>
            <w:pPr>
              <w:pStyle w:val="Normal"/>
              <w:spacing w:before="0" w:after="40" w:line="240" w:lineRule="auto"/>
              <w:rPr>
                <w:b/>
                <w:bCs/>
              </w:rPr>
            </w:pPr>
            <w:r>
              <w:rPr>
                <w:b/>
                <w:bCs/>
                <w:color w:val="1F4D78"/>
                <w:sz w:val="19"/>
              </w:rPr>
              <w:t>Class</w:t>
            </w:r>
          </w:p>
        </w:tc>
        <w:tc>
          <w:tcPr>
            <w:tcW w:w="7667" w:type="dxa"/>
            <w:tcBorders/>
            <w:vAlign w:val="top"/>
            <w:shd w:fill="DCE6F1"/>
          </w:tcPr>
          <w:p>
            <w:pPr>
              <w:pStyle w:val="Normal"/>
              <w:spacing w:before="0" w:after="40" w:line="240" w:lineRule="auto"/>
              <w:rPr>
                <w:b/>
                <w:bCs/>
              </w:rPr>
            </w:pPr>
            <w:r>
              <w:rPr>
                <w:b/>
                <w:bCs/>
                <w:color w:val="1F4D78"/>
                <w:sz w:val="19"/>
              </w:rPr>
              <w:t>Meaning</w:t>
            </w:r>
          </w:p>
        </w:tc>
      </w:tr>
      <w:tr>
        <w:trPr/>
        <w:tc>
          <w:tcPr>
            <w:tcW w:w="1693" w:type="dxa"/>
            <w:tcBorders/>
            <w:vAlign w:val="top"/>
          </w:tcPr>
          <w:p>
            <w:pPr>
              <w:pStyle w:val="Normal"/>
              <w:spacing w:before="0" w:after="40" w:line="240" w:lineRule="auto"/>
              <w:rPr>
                <w:b/>
                <w:bCs/>
              </w:rPr>
            </w:pPr>
            <w:r>
              <w:rPr>
                <w:b/>
                <w:bCs/>
                <w:sz w:val="19"/>
              </w:rPr>
              <w:t>SCHEMA</w:t>
            </w:r>
          </w:p>
        </w:tc>
        <w:tc>
          <w:tcPr>
            <w:tcW w:w="7667" w:type="dxa"/>
            <w:tcBorders/>
            <w:vAlign w:val="top"/>
          </w:tcPr>
          <w:p>
            <w:pPr>
              <w:pStyle w:val="Normal"/>
              <w:widowControl/>
              <w:bidi w:val="0"/>
              <w:spacing w:lineRule="auto" w:line="240" w:before="0" w:after="40"/>
              <w:jc w:val="start"/>
              <w:rPr/>
            </w:pPr>
            <w:r>
              <w:rPr>
                <w:sz w:val="19"/>
              </w:rPr>
              <w:t>A signature, typing, or firewall rule rather than an inhabited object.</w:t>
            </w:r>
          </w:p>
        </w:tc>
      </w:tr>
      <w:tr>
        <w:trPr/>
        <w:tc>
          <w:tcPr>
            <w:tcW w:w="1693" w:type="dxa"/>
            <w:tcBorders/>
            <w:vAlign w:val="top"/>
            <w:shd w:fill="F7F9FB"/>
          </w:tcPr>
          <w:p>
            <w:pPr>
              <w:pStyle w:val="Normal"/>
              <w:spacing w:before="0" w:after="40" w:line="240" w:lineRule="auto"/>
              <w:rPr>
                <w:b/>
                <w:bCs/>
              </w:rPr>
            </w:pPr>
            <w:r>
              <w:rPr>
                <w:b/>
                <w:bCs/>
                <w:sz w:val="19"/>
              </w:rPr>
              <w:t>CONSTRUCTOR</w:t>
            </w:r>
          </w:p>
        </w:tc>
        <w:tc>
          <w:tcPr>
            <w:tcW w:w="7667" w:type="dxa"/>
            <w:tcBorders/>
            <w:vAlign w:val="top"/>
            <w:shd w:fill="F7F9FB"/>
          </w:tcPr>
          <w:p>
            <w:pPr>
              <w:pStyle w:val="Normal"/>
              <w:widowControl/>
              <w:bidi w:val="0"/>
              <w:spacing w:lineRule="auto" w:line="240" w:before="0" w:after="40"/>
              <w:jc w:val="start"/>
              <w:rPr/>
            </w:pPr>
            <w:r>
              <w:rPr>
                <w:sz w:val="19"/>
              </w:rPr>
              <w:t>A partial admission that requires named input witnesses and returns a typed receipt.</w:t>
            </w:r>
          </w:p>
        </w:tc>
      </w:tr>
      <w:tr>
        <w:trPr/>
        <w:tc>
          <w:tcPr>
            <w:tcW w:w="1693" w:type="dxa"/>
            <w:tcBorders/>
            <w:vAlign w:val="top"/>
          </w:tcPr>
          <w:p>
            <w:pPr>
              <w:pStyle w:val="Normal"/>
              <w:spacing w:before="0" w:after="40" w:line="240" w:lineRule="auto"/>
              <w:rPr>
                <w:b/>
                <w:bCs/>
              </w:rPr>
            </w:pPr>
            <w:r>
              <w:rPr>
                <w:b/>
                <w:bCs/>
                <w:sz w:val="19"/>
              </w:rPr>
              <w:t>PREDICATE</w:t>
            </w:r>
          </w:p>
        </w:tc>
        <w:tc>
          <w:tcPr>
            <w:tcW w:w="7667" w:type="dxa"/>
            <w:tcBorders/>
            <w:vAlign w:val="top"/>
          </w:tcPr>
          <w:p>
            <w:pPr>
              <w:pStyle w:val="Normal"/>
              <w:widowControl/>
              <w:bidi w:val="0"/>
              <w:spacing w:lineRule="auto" w:line="240" w:before="0" w:after="40"/>
              <w:jc w:val="start"/>
              <w:rPr/>
            </w:pPr>
            <w:r>
              <w:rPr>
                <w:sz w:val="19"/>
              </w:rPr>
              <w:t>A condition checked on already admitted objects.</w:t>
            </w:r>
          </w:p>
        </w:tc>
      </w:tr>
      <w:tr>
        <w:trPr/>
        <w:tc>
          <w:tcPr>
            <w:tcW w:w="1693" w:type="dxa"/>
            <w:tcBorders/>
            <w:vAlign w:val="top"/>
            <w:shd w:fill="F7F9FB"/>
          </w:tcPr>
          <w:p>
            <w:pPr>
              <w:pStyle w:val="Normal"/>
              <w:spacing w:before="0" w:after="40" w:line="240" w:lineRule="auto"/>
              <w:rPr>
                <w:b/>
                <w:bCs/>
              </w:rPr>
            </w:pPr>
            <w:r>
              <w:rPr>
                <w:b/>
                <w:bCs/>
                <w:sz w:val="19"/>
              </w:rPr>
              <w:t>LEMMA/THEOREM</w:t>
            </w:r>
          </w:p>
        </w:tc>
        <w:tc>
          <w:tcPr>
            <w:tcW w:w="7667" w:type="dxa"/>
            <w:tcBorders/>
            <w:vAlign w:val="top"/>
            <w:shd w:fill="F7F9FB"/>
          </w:tcPr>
          <w:p>
            <w:pPr>
              <w:pStyle w:val="Normal"/>
              <w:widowControl/>
              <w:bidi w:val="0"/>
              <w:spacing w:lineRule="auto" w:line="240" w:before="0" w:after="40"/>
              <w:jc w:val="start"/>
              <w:rPr/>
            </w:pPr>
            <w:r>
              <w:rPr>
                <w:sz w:val="19"/>
              </w:rPr>
              <w:t>A formal consequence inside the stated assumptions and logic.</w:t>
            </w:r>
          </w:p>
        </w:tc>
      </w:tr>
      <w:tr>
        <w:trPr/>
        <w:tc>
          <w:tcPr>
            <w:tcW w:w="1693" w:type="dxa"/>
            <w:tcBorders/>
            <w:vAlign w:val="top"/>
          </w:tcPr>
          <w:p>
            <w:pPr>
              <w:pStyle w:val="Normal"/>
              <w:spacing w:before="0" w:after="40" w:line="240" w:lineRule="auto"/>
              <w:rPr>
                <w:b/>
                <w:bCs/>
              </w:rPr>
            </w:pPr>
            <w:r>
              <w:rPr>
                <w:b/>
                <w:bCs/>
                <w:sz w:val="19"/>
              </w:rPr>
              <w:t>COUNTERMODEL</w:t>
            </w:r>
          </w:p>
        </w:tc>
        <w:tc>
          <w:tcPr>
            <w:tcW w:w="7667" w:type="dxa"/>
            <w:tcBorders/>
            <w:vAlign w:val="top"/>
          </w:tcPr>
          <w:p>
            <w:pPr>
              <w:pStyle w:val="Normal"/>
              <w:widowControl/>
              <w:bidi w:val="0"/>
              <w:spacing w:lineRule="auto" w:line="240" w:before="0" w:after="40"/>
              <w:jc w:val="start"/>
              <w:rPr/>
            </w:pPr>
            <w:r>
              <w:rPr>
                <w:sz w:val="19"/>
              </w:rPr>
              <w:t>A predecessor-compatible model showing that later authority is not free.</w:t>
            </w:r>
          </w:p>
        </w:tc>
      </w:tr>
      <w:tr>
        <w:trPr/>
        <w:tc>
          <w:tcPr>
            <w:tcW w:w="1693" w:type="dxa"/>
            <w:tcBorders/>
            <w:vAlign w:val="top"/>
            <w:shd w:fill="F7F9FB"/>
          </w:tcPr>
          <w:p>
            <w:pPr>
              <w:pStyle w:val="Normal"/>
              <w:spacing w:before="0" w:after="40" w:line="240" w:lineRule="auto"/>
              <w:rPr>
                <w:b/>
                <w:bCs/>
              </w:rPr>
            </w:pPr>
            <w:r>
              <w:rPr>
                <w:b/>
                <w:bCs/>
                <w:sz w:val="19"/>
              </w:rPr>
              <w:t>BRANCH</w:t>
            </w:r>
          </w:p>
        </w:tc>
        <w:tc>
          <w:tcPr>
            <w:tcW w:w="7667" w:type="dxa"/>
            <w:tcBorders/>
            <w:vAlign w:val="top"/>
            <w:shd w:fill="F7F9FB"/>
          </w:tcPr>
          <w:p>
            <w:pPr>
              <w:pStyle w:val="Normal"/>
              <w:widowControl/>
              <w:bidi w:val="0"/>
              <w:spacing w:lineRule="auto" w:line="240" w:before="0" w:after="40"/>
              <w:jc w:val="start"/>
              <w:rPr/>
            </w:pPr>
            <w:r>
              <w:rPr>
                <w:sz w:val="19"/>
              </w:rPr>
              <w:t>A stronger or domain-specific realization with costs beyond the minimal card.</w:t>
            </w:r>
          </w:p>
        </w:tc>
      </w:tr>
    </w:tbl>
    <w:p>
      <w:pPr>
        <w:pStyle w:val="Heading1"/>
        <w:keepNext/>
        <w:keepLines/>
        <w:rPr/>
      </w:pPr>
      <w:bookmarkStart w:id="4" w:name="common-realization-contract"/>
      <w:r>
        <w:rPr/>
        <w:t>2. Common realization contract</w:t>
      </w:r>
      <w:bookmarkEnd w:id="4"/>
    </w:p>
    <w:p>
      <w:pPr>
        <w:pStyle w:val="Normal"/>
        <w:keepNext/>
        <w:keepLines/>
        <w:rPr/>
      </w:pPr>
      <w:r>
        <w:rPr/>
        <w:t>Every realization is required to state the following fields. Omitting a field is a conformance failure, not an invitation to infer it from mathematical convention.</w:t>
      </w:r>
    </w:p>
    <w:tbl>
      <w:tblPr>
        <w:tblW w:w="9360" w:type="dxa"/>
        <w:jc w:val="start"/>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Required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target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signature</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object</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action</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assumptions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preserves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strictness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claim</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ceiling</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residual</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return</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sources</w:t>
            </w:r>
          </w:p>
        </w:tc>
      </w:tr>
    </w:tbl>
    <w:p>
      <w:pPr>
        <w:pStyle w:val="Heading2"/>
        <w:keepNext/>
        <w:keepLines/>
        <w:rPr/>
      </w:pPr>
      <w:bookmarkStart w:id="5" w:name="axiom-and-assumption-receipts"/>
      <w:r>
        <w:rPr/>
        <w:t>Axiom and assumption receipts</w:t>
      </w:r>
      <w:bookmarkEnd w:id="5"/>
    </w:p>
    <w:p>
      <w:pPr>
        <w:pStyle w:val="Normal"/>
        <w:keepNext/>
        <w:keepLines/>
        <w:rPr>
          <w:b/>
          <w:bCs/>
        </w:rPr>
      </w:pPr>
      <w:r>
        <w:rPr>
          <w:b/>
          <w:bCs/>
        </w:rPr>
        <w:t>An empty Lean axiom receipt is neither necessary nor sufficient for PAL conformance. A realization may use explicit hypotheses, structure fields, supplied instance data, bridge rules, or declared axioms when each dependency is recorded, source-routed, non-target-equivalent, bounded by an authority ceiling, and deletion-tested where meaningful. Lean’s #print axioms output is one dependency record, not the complete assumption account. A proof establishes a result only inside its declared realization; no realization becomes PAL’s unique meaning merely because Lean accepts it.</w:t>
      </w:r>
    </w:p>
    <w:p>
      <w:pPr>
        <w:pStyle w:val="BodyText"/>
        <w:rPr/>
      </w:pPr>
      <w:r>
        <w:rPr/>
        <w:t>Where feasible, a declared axiom package should have a concrete model. An unmodeled package may remain a formal proposal, but it does not count as evidence that the package is jointly satisfiable.</w:t>
      </w:r>
    </w:p>
    <w:p>
      <w:pPr>
        <w:pStyle w:val="Heading2"/>
        <w:keepNext/>
        <w:keepLines/>
        <w:rPr/>
      </w:pPr>
      <w:bookmarkStart w:id="6" w:name="delete-and-swap-tests"/>
      <w:r>
        <w:rPr/>
        <w:t>Delete and swap tests</w:t>
      </w:r>
      <w:bookmarkEnd w:id="6"/>
    </w:p>
    <w:p>
      <w:pPr>
        <w:pStyle w:val="Normal"/>
        <w:keepNext/>
        <w:keepLines/>
        <w:rPr/>
      </w:pPr>
      <w:r>
        <w:rPr/>
        <w:t>Delete test: remove the realization payload and recover a valid predecessor account without changing its authority. Swap test: replace the realization with another structure that satisfies the same mechanical card; the layer identity must remain unchanged.</w:t>
      </w:r>
    </w:p>
    <w:p>
      <w:pPr>
        <w:pStyle w:val="BodyText"/>
        <w:rPr/>
      </w:pPr>
      <w:r>
        <w:rPr/>
        <w:t>Build_n : Predecessor × Witness_n ⇀ Extension_n</w:t>
        <w:br/>
        <w:t>Forget_n : Extension_n -&gt; Predecessor</w:t>
        <w:br/>
        <w:t>Whenever Build_n(p,w) is defined: Forget_n(Build_n(p,w)) = p</w:t>
      </w:r>
    </w:p>
    <w:p>
      <w:pPr>
        <w:pStyle w:val="BodyText"/>
        <w:rPr/>
      </w:pPr>
      <w:r>
        <w:rPr/>
        <w:t>Every closure result returns: receipt + ceiling + residual + reopen handle.</w:t>
      </w:r>
    </w:p>
    <w:p>
      <w:pPr>
        <w:pStyle w:val="Heading2"/>
        <w:keepNext/>
        <w:keepLines/>
        <w:rPr/>
      </w:pPr>
      <w:bookmarkStart w:id="7" w:name="boundary-role-registry"/>
      <w:r>
        <w:rPr/>
        <w:t>Boundary-role registry</w:t>
      </w:r>
      <w:bookmarkEnd w:id="7"/>
    </w:p>
    <w:p>
      <w:pPr>
        <w:pStyle w:val="Normal"/>
        <w:keepNext/>
        <w:keepLines/>
        <w:rPr/>
      </w:pPr>
      <w:r>
        <w:rPr/>
        <w:t>Cards invoking a boundary use the typed record</w:t>
      </w:r>
    </w:p>
    <w:p>
      <w:pPr>
        <w:pStyle w:val="BodyText"/>
        <w:rPr/>
      </w:pPr>
      <w:r>
        <w:rPr/>
        <w:t>BoundaryRef = (boundary_id, role, carrier_or_domain, scope, orientation_or_coefficients_or_NA, resolution_or_admissible_set_or_NA, provenance).</w:t>
      </w:r>
    </w:p>
    <w:p>
      <w:pPr>
        <w:pStyle w:val="BodyText"/>
        <w:rPr/>
      </w:pPr>
      <w:r>
        <w:rPr/>
        <w:t>Initial roles are CUT, CHAIN, TOPOLOGICAL, INTERFACE, CONSTRAINT, SCOPE, and TRANSPORT_VALIDITY. A shared word supplies no identity or conversion. Cross-role use requires a named adapter with hypotheses, preserved and lost data, authority ceiling, evidence, and reopening condition. An edge, chain, or path is not its boundary-operator output; a detector fiber is induced by a declared map and is not silently retyped as a boundary.</w:t>
      </w:r>
    </w:p>
    <w:p>
      <w:pPr>
        <w:pStyle w:val="Heading2"/>
        <w:keepNext/>
        <w:keepLines/>
        <w:rPr/>
      </w:pPr>
      <w:bookmarkStart w:id="8" w:name="conditional-geometryinterface-extension-"/>
      <w:r>
        <w:rPr/>
        <w:t>Conditional geometry/interface extension profile</w:t>
      </w:r>
      <w:bookmarkEnd w:id="8"/>
    </w:p>
    <w:p>
      <w:pPr>
        <w:pStyle w:val="Normal"/>
        <w:keepNext/>
        <w:keepLines/>
        <w:rPr/>
      </w:pPr>
      <w:r>
        <w:rPr/>
        <w:t>The thirteen-field contract above is preserved for every inherited v2.2 card; no missing historical field is inferred into a frozen receipt. A new card, or a revised card making a geometry, interface, projection, path, decoder, checkpoint, heartbeat, or quantitative-extremal claim, additionally declares the following profile. A reasoned N/A is required when an item does not apply.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Extension field</w:t>
            </w:r>
          </w:p>
        </w:tc>
        <w:tc>
          <w:tcPr>
            <w:tcW w:w="4680" w:type="dxa"/>
            <w:tcBorders/>
            <w:vAlign w:val="top"/>
            <w:shd w:fill="DCE6F1"/>
          </w:tcPr>
          <w:p>
            <w:pPr>
              <w:pStyle w:val="Normal"/>
              <w:spacing w:before="0" w:after="40" w:line="240" w:lineRule="auto"/>
              <w:rPr>
                <w:b/>
                <w:bCs/>
              </w:rPr>
            </w:pPr>
            <w:r>
              <w:rPr>
                <w:b/>
                <w:bCs/>
                <w:color w:val="1F4D78"/>
                <w:sz w:val="19"/>
              </w:rPr>
              <w:t>Required declaration</w:t>
            </w:r>
          </w:p>
        </w:tc>
      </w:tr>
      <w:tr>
        <w:trPr/>
        <w:tc>
          <w:tcPr>
            <w:tcW w:w="4680" w:type="dxa"/>
            <w:tcBorders/>
            <w:vAlign w:val="top"/>
          </w:tcPr>
          <w:p>
            <w:pPr>
              <w:pStyle w:val="Normal"/>
              <w:widowControl/>
              <w:bidi w:val="0"/>
              <w:spacing w:lineRule="auto" w:line="240" w:before="0" w:after="40"/>
              <w:jc w:val="start"/>
              <w:rPr/>
            </w:pPr>
            <w:r>
              <w:rPr>
                <w:sz w:val="19"/>
              </w:rPr>
              <w:t>Carrier/model</w:t>
            </w:r>
          </w:p>
        </w:tc>
        <w:tc>
          <w:tcPr>
            <w:tcW w:w="4680" w:type="dxa"/>
            <w:tcBorders/>
            <w:vAlign w:val="top"/>
          </w:tcPr>
          <w:p>
            <w:pPr>
              <w:pStyle w:val="Normal"/>
              <w:widowControl/>
              <w:bidi w:val="0"/>
              <w:spacing w:lineRule="auto" w:line="240" w:before="0" w:after="40"/>
              <w:jc w:val="start"/>
              <w:rPr/>
            </w:pPr>
            <w:r>
              <w:rPr>
                <w:sz w:val="19"/>
              </w:rPr>
              <w:t>Carrier or model envelope and its supplied structure.</w:t>
            </w:r>
          </w:p>
        </w:tc>
      </w:tr>
      <w:tr>
        <w:trPr/>
        <w:tc>
          <w:tcPr>
            <w:tcW w:w="4680" w:type="dxa"/>
            <w:tcBorders/>
            <w:vAlign w:val="top"/>
            <w:shd w:fill="F7F9FB"/>
          </w:tcPr>
          <w:p>
            <w:pPr>
              <w:pStyle w:val="Normal"/>
              <w:widowControl/>
              <w:bidi w:val="0"/>
              <w:spacing w:lineRule="auto" w:line="240" w:before="0" w:after="40"/>
              <w:jc w:val="start"/>
              <w:rPr/>
            </w:pPr>
            <w:r>
              <w:rPr>
                <w:sz w:val="19"/>
              </w:rPr>
              <w:t>Scale and comparison</w:t>
            </w:r>
          </w:p>
        </w:tc>
        <w:tc>
          <w:tcPr>
            <w:tcW w:w="4680" w:type="dxa"/>
            <w:tcBorders/>
            <w:vAlign w:val="top"/>
            <w:shd w:fill="F7F9FB"/>
          </w:tcPr>
          <w:p>
            <w:pPr>
              <w:pStyle w:val="Normal"/>
              <w:widowControl/>
              <w:bidi w:val="0"/>
              <w:spacing w:lineRule="auto" w:line="240" w:before="0" w:after="40"/>
              <w:jc w:val="start"/>
              <w:rPr/>
            </w:pPr>
            <w:r>
              <w:rPr>
                <w:sz w:val="19"/>
              </w:rPr>
              <w:t>Scale, units, resolution, admissible difference set, tolerance, order, and comparison rule.</w:t>
            </w:r>
          </w:p>
        </w:tc>
      </w:tr>
      <w:tr>
        <w:trPr/>
        <w:tc>
          <w:tcPr>
            <w:tcW w:w="4680" w:type="dxa"/>
            <w:tcBorders/>
            <w:vAlign w:val="top"/>
          </w:tcPr>
          <w:p>
            <w:pPr>
              <w:pStyle w:val="Normal"/>
              <w:widowControl/>
              <w:bidi w:val="0"/>
              <w:spacing w:lineRule="auto" w:line="240" w:before="0" w:after="40"/>
              <w:jc w:val="start"/>
              <w:rPr/>
            </w:pPr>
            <w:r>
              <w:rPr>
                <w:sz w:val="19"/>
              </w:rPr>
              <w:t>Boundary</w:t>
            </w:r>
          </w:p>
        </w:tc>
        <w:tc>
          <w:tcPr>
            <w:tcW w:w="4680" w:type="dxa"/>
            <w:tcBorders/>
            <w:vAlign w:val="top"/>
          </w:tcPr>
          <w:p>
            <w:pPr>
              <w:pStyle w:val="Normal"/>
              <w:widowControl/>
              <w:bidi w:val="0"/>
              <w:spacing w:lineRule="auto" w:line="240" w:before="0" w:after="40"/>
              <w:jc w:val="start"/>
              <w:rPr/>
            </w:pPr>
            <w:r>
              <w:rPr>
                <w:sz w:val="19"/>
              </w:rPr>
              <w:t>Boundary role, domain, scope, orientation, and coefficient system.</w:t>
            </w:r>
          </w:p>
        </w:tc>
      </w:tr>
      <w:tr>
        <w:trPr/>
        <w:tc>
          <w:tcPr>
            <w:tcW w:w="4680" w:type="dxa"/>
            <w:tcBorders/>
            <w:vAlign w:val="top"/>
            <w:shd w:fill="F7F9FB"/>
          </w:tcPr>
          <w:p>
            <w:pPr>
              <w:pStyle w:val="Normal"/>
              <w:widowControl/>
              <w:bidi w:val="0"/>
              <w:spacing w:lineRule="auto" w:line="240" w:before="0" w:after="40"/>
              <w:jc w:val="start"/>
              <w:rPr/>
            </w:pPr>
            <w:r>
              <w:rPr>
                <w:sz w:val="19"/>
              </w:rPr>
              <w:t>Quantifiers</w:t>
            </w:r>
          </w:p>
        </w:tc>
        <w:tc>
          <w:tcPr>
            <w:tcW w:w="4680" w:type="dxa"/>
            <w:tcBorders/>
            <w:vAlign w:val="top"/>
            <w:shd w:fill="F7F9FB"/>
          </w:tcPr>
          <w:p>
            <w:pPr>
              <w:pStyle w:val="Normal"/>
              <w:widowControl/>
              <w:bidi w:val="0"/>
              <w:spacing w:lineRule="auto" w:line="240" w:before="0" w:after="40"/>
              <w:jc w:val="start"/>
              <w:rPr/>
            </w:pPr>
            <w:r>
              <w:rPr>
                <w:sz w:val="19"/>
              </w:rPr>
              <w:t>Finite, arbitrary-finite, local, or global domain; observation or implementation scale.</w:t>
            </w:r>
          </w:p>
        </w:tc>
      </w:tr>
      <w:tr>
        <w:trPr/>
        <w:tc>
          <w:tcPr>
            <w:tcW w:w="4680" w:type="dxa"/>
            <w:tcBorders/>
            <w:vAlign w:val="top"/>
          </w:tcPr>
          <w:p>
            <w:pPr>
              <w:pStyle w:val="Normal"/>
              <w:widowControl/>
              <w:bidi w:val="0"/>
              <w:spacing w:lineRule="auto" w:line="240" w:before="0" w:after="40"/>
              <w:jc w:val="start"/>
              <w:rPr/>
            </w:pPr>
            <w:r>
              <w:rPr>
                <w:sz w:val="19"/>
              </w:rPr>
              <w:t>Map data</w:t>
            </w:r>
          </w:p>
        </w:tc>
        <w:tc>
          <w:tcPr>
            <w:tcW w:w="4680" w:type="dxa"/>
            <w:tcBorders/>
            <w:vAlign w:val="top"/>
          </w:tcPr>
          <w:p>
            <w:pPr>
              <w:pStyle w:val="Normal"/>
              <w:widowControl/>
              <w:bidi w:val="0"/>
              <w:spacing w:lineRule="auto" w:line="240" w:before="0" w:after="40"/>
              <w:jc w:val="start"/>
              <w:rPr/>
            </w:pPr>
            <w:r>
              <w:rPr>
                <w:sz w:val="19"/>
              </w:rPr>
              <w:t>Map/projector, fibers, reachable image, detector, and requested answer.</w:t>
            </w:r>
          </w:p>
        </w:tc>
      </w:tr>
      <w:tr>
        <w:trPr/>
        <w:tc>
          <w:tcPr>
            <w:tcW w:w="4680" w:type="dxa"/>
            <w:tcBorders/>
            <w:vAlign w:val="top"/>
            <w:shd w:fill="F7F9FB"/>
          </w:tcPr>
          <w:p>
            <w:pPr>
              <w:pStyle w:val="Normal"/>
              <w:widowControl/>
              <w:bidi w:val="0"/>
              <w:spacing w:lineRule="auto" w:line="240" w:before="0" w:after="40"/>
              <w:jc w:val="start"/>
              <w:rPr/>
            </w:pPr>
            <w:r>
              <w:rPr>
                <w:sz w:val="19"/>
              </w:rPr>
              <w:t>Decoder</w:t>
            </w:r>
          </w:p>
        </w:tc>
        <w:tc>
          <w:tcPr>
            <w:tcW w:w="4680" w:type="dxa"/>
            <w:tcBorders/>
            <w:vAlign w:val="top"/>
            <w:shd w:fill="F7F9FB"/>
          </w:tcPr>
          <w:p>
            <w:pPr>
              <w:pStyle w:val="Normal"/>
              <w:widowControl/>
              <w:bidi w:val="0"/>
              <w:spacing w:lineRule="auto" w:line="240" w:before="0" w:after="40"/>
              <w:jc w:val="start"/>
              <w:rPr/>
            </w:pPr>
            <w:r>
              <w:rPr>
                <w:sz w:val="19"/>
              </w:rPr>
              <w:t>Reachable decoder versus totalization and the exact decoder class claimed.</w:t>
            </w:r>
          </w:p>
        </w:tc>
      </w:tr>
      <w:tr>
        <w:trPr/>
        <w:tc>
          <w:tcPr>
            <w:tcW w:w="4680" w:type="dxa"/>
            <w:tcBorders/>
            <w:vAlign w:val="top"/>
          </w:tcPr>
          <w:p>
            <w:pPr>
              <w:pStyle w:val="Normal"/>
              <w:widowControl/>
              <w:bidi w:val="0"/>
              <w:spacing w:lineRule="auto" w:line="240" w:before="0" w:after="40"/>
              <w:jc w:val="start"/>
              <w:rPr/>
            </w:pPr>
            <w:r>
              <w:rPr>
                <w:sz w:val="19"/>
              </w:rPr>
              <w:t>State separations</w:t>
            </w:r>
          </w:p>
        </w:tc>
        <w:tc>
          <w:tcPr>
            <w:tcW w:w="4680" w:type="dxa"/>
            <w:tcBorders/>
            <w:vAlign w:val="top"/>
          </w:tcPr>
          <w:p>
            <w:pPr>
              <w:pStyle w:val="Normal"/>
              <w:widowControl/>
              <w:bidi w:val="0"/>
              <w:spacing w:lineRule="auto" w:line="240" w:before="0" w:after="40"/>
              <w:jc w:val="start"/>
              <w:rPr/>
            </w:pPr>
            <w:r>
              <w:rPr>
                <w:sz w:val="19"/>
              </w:rPr>
              <w:t>Endpoint, path, relation, receipt, work, audit, grant, resource, external-terminal, and authority coordinates.</w:t>
            </w:r>
          </w:p>
        </w:tc>
      </w:tr>
      <w:tr>
        <w:trPr/>
        <w:tc>
          <w:tcPr>
            <w:tcW w:w="4680" w:type="dxa"/>
            <w:tcBorders/>
            <w:vAlign w:val="top"/>
            <w:shd w:fill="F7F9FB"/>
          </w:tcPr>
          <w:p>
            <w:pPr>
              <w:pStyle w:val="Normal"/>
              <w:widowControl/>
              <w:bidi w:val="0"/>
              <w:spacing w:lineRule="auto" w:line="240" w:before="0" w:after="40"/>
              <w:jc w:val="start"/>
              <w:rPr/>
            </w:pPr>
            <w:r>
              <w:rPr>
                <w:sz w:val="19"/>
              </w:rPr>
              <w:t>Claim provenance</w:t>
            </w:r>
          </w:p>
        </w:tc>
        <w:tc>
          <w:tcPr>
            <w:tcW w:w="4680" w:type="dxa"/>
            <w:tcBorders/>
            <w:vAlign w:val="top"/>
            <w:shd w:fill="F7F9FB"/>
          </w:tcPr>
          <w:p>
            <w:pPr>
              <w:pStyle w:val="Normal"/>
              <w:widowControl/>
              <w:bidi w:val="0"/>
              <w:spacing w:lineRule="auto" w:line="240" w:before="0" w:after="40"/>
              <w:jc w:val="start"/>
              <w:rPr/>
            </w:pPr>
            <w:r>
              <w:rPr>
                <w:sz w:val="19"/>
              </w:rPr>
              <w:t>Exact theorem, executable or finite fixture, interpretation, and new PAL synthesis labels.</w:t>
            </w:r>
          </w:p>
        </w:tc>
      </w:tr>
      <w:tr>
        <w:trPr/>
        <w:tc>
          <w:tcPr>
            <w:tcW w:w="4680" w:type="dxa"/>
            <w:tcBorders/>
            <w:vAlign w:val="top"/>
          </w:tcPr>
          <w:p>
            <w:pPr>
              <w:pStyle w:val="Normal"/>
              <w:widowControl/>
              <w:bidi w:val="0"/>
              <w:spacing w:lineRule="auto" w:line="240" w:before="0" w:after="40"/>
              <w:jc w:val="start"/>
              <w:rPr/>
            </w:pPr>
            <w:r>
              <w:rPr>
                <w:sz w:val="19"/>
              </w:rPr>
              <w:t>Exit</w:t>
            </w:r>
          </w:p>
        </w:tc>
        <w:tc>
          <w:tcPr>
            <w:tcW w:w="4680" w:type="dxa"/>
            <w:tcBorders/>
            <w:vAlign w:val="top"/>
          </w:tcPr>
          <w:p>
            <w:pPr>
              <w:pStyle w:val="Normal"/>
              <w:widowControl/>
              <w:bidi w:val="0"/>
              <w:spacing w:lineRule="auto" w:line="240" w:before="0" w:after="40"/>
              <w:jc w:val="start"/>
              <w:rPr/>
            </w:pPr>
            <w:r>
              <w:rPr>
                <w:sz w:val="19"/>
              </w:rPr>
              <w:t>Falsifier, residual, authority ceiling, and reopening route.</w:t>
            </w:r>
          </w:p>
        </w:tc>
      </w:tr>
    </w:tbl>
    <w:p>
      <w:pPr>
        <w:pStyle w:val="Normal"/>
        <w:rPr/>
      </w:pPr>
      <w:r>
        <w:rPr/>
        <w:t>Every new card also supplies delete, swap, predecessor, witness, finite-check, authority-ceiling, and return-to-PAL tests.</w:t>
      </w:r>
    </w:p>
    <w:p>
      <w:pPr>
        <w:pStyle w:val="Heading2"/>
        <w:keepNext/>
        <w:keepLines/>
        <w:rPr/>
      </w:pPr>
      <w:bookmarkStart w:id="9" w:name="scoped-extremal-and-projection-language"/>
      <w:r>
        <w:rPr/>
        <w:t>Scoped extremal and projection language</w:t>
      </w:r>
      <w:bookmarkEnd w:id="9"/>
    </w:p>
    <w:p>
      <w:pPr>
        <w:pStyle w:val="Normal"/>
        <w:keepNext/>
        <w:keepLines/>
        <w:rPr/>
      </w:pPr>
      <w:r>
        <w:rPr/>
        <w:t xml:space="preserve">Every use of </w:t>
      </w:r>
      <w:r>
        <w:rPr>
          <w:i/>
          <w:iCs/>
        </w:rPr>
        <w:t>minimum</w:t>
      </w:r>
      <w:r>
        <w:rPr/>
        <w:t xml:space="preserve">, </w:t>
      </w:r>
      <w:r>
        <w:rPr>
          <w:i/>
          <w:iCs/>
        </w:rPr>
        <w:t>smallest</w:t>
      </w:r>
      <w:r>
        <w:rPr/>
        <w:t xml:space="preserve">, </w:t>
      </w:r>
      <w:r>
        <w:rPr>
          <w:i/>
          <w:iCs/>
        </w:rPr>
        <w:t>maximum</w:t>
      </w:r>
      <w:r>
        <w:rPr/>
        <w:t xml:space="preserve">, </w:t>
      </w:r>
      <w:r>
        <w:rPr>
          <w:i/>
          <w:iCs/>
        </w:rPr>
        <w:t>largest</w:t>
      </w:r>
      <w:r>
        <w:rPr/>
        <w:t xml:space="preserve">, </w:t>
      </w:r>
      <w:r>
        <w:rPr>
          <w:i/>
          <w:iCs/>
        </w:rPr>
        <w:t>zero</w:t>
      </w:r>
      <w:r>
        <w:rPr/>
        <w:t xml:space="preserve">, </w:t>
      </w:r>
      <w:r>
        <w:rPr>
          <w:i/>
          <w:iCs/>
        </w:rPr>
        <w:t>empty</w:t>
      </w:r>
      <w:r>
        <w:rPr/>
        <w:t xml:space="preserve">, </w:t>
      </w:r>
      <w:r>
        <w:rPr>
          <w:i/>
          <w:iCs/>
        </w:rPr>
        <w:t>finite</w:t>
      </w:r>
      <w:r>
        <w:rPr/>
        <w:t xml:space="preserve">, </w:t>
      </w:r>
      <w:r>
        <w:rPr>
          <w:i/>
          <w:iCs/>
        </w:rPr>
        <w:t>local</w:t>
      </w:r>
      <w:r>
        <w:rPr/>
        <w:t xml:space="preserve">, </w:t>
      </w:r>
      <w:r>
        <w:rPr>
          <w:i/>
          <w:iCs/>
        </w:rPr>
        <w:t>global</w:t>
      </w:r>
      <w:r>
        <w:rPr/>
        <w:t xml:space="preserve">, or </w:t>
      </w:r>
      <w:r>
        <w:rPr>
          <w:i/>
          <w:iCs/>
        </w:rPr>
        <w:t>complete</w:t>
      </w:r>
      <w:r>
        <w:rPr/>
        <w:t xml:space="preserve"> names its carrier, quantifier domain, order, comparison rule, scale, admissible value set, and tolerance where applicable. Positive real numbers have no least positive element. A resolution-qualified minimum is not a primitive minimum.</w:t>
      </w:r>
    </w:p>
    <w:p>
      <w:pPr>
        <w:pStyle w:val="BodyText"/>
        <w:rPr/>
      </w:pPr>
      <w:r>
        <w:rPr/>
        <w:t>Every identity, return, no-change, zero-residual, or stutter statement names the compared state space and projection. Work, audit, resource, grant, authority, and external-terminal coordinates remain distinct. Sparse observation proves only what was observed; exact transport requires protected work state or complete receipting of every intervening material change.</w:t>
      </w:r>
    </w:p>
    <w:p>
      <w:pPr>
        <w:pStyle w:val="Heading1"/>
        <w:keepNext/>
        <w:keepLines/>
        <w:rPr/>
      </w:pPr>
      <w:bookmarkStart w:id="10" w:name="primitive-floor-migration"/>
      <w:r>
        <w:rPr/>
        <w:t>3. Primitive-floor migration</w:t>
      </w:r>
      <w:bookmarkEnd w:id="10"/>
    </w:p>
    <w:p>
      <w:pPr>
        <w:pStyle w:val="Normal"/>
        <w:keepNext/>
        <w:keepLines/>
        <w:rPr>
          <w:b/>
          <w:bCs/>
        </w:rPr>
      </w:pPr>
      <w:r>
        <w:rPr>
          <w:b/>
          <w:bCs/>
        </w:rPr>
        <w:t>The PAL v1.6 object U0=(X,E0,κ0), E0=X×X, remains mathematically useful. In v2.0 it is unnumbered scaffolding M0. It is not A0, Ω*, or Ω.</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254"/>
        <w:gridCol w:w="8106"/>
      </w:tblGrid>
      <w:tr>
        <w:trPr>
          <w:tblHeader w:val="true"/>
        </w:trPr>
        <w:tc>
          <w:tcPr>
            <w:tcW w:w="1254" w:type="dxa"/>
            <w:tcBorders/>
            <w:vAlign w:val="top"/>
            <w:shd w:fill="DCE6F1"/>
          </w:tcPr>
          <w:p>
            <w:pPr>
              <w:pStyle w:val="Normal"/>
              <w:spacing w:before="0" w:after="40" w:line="240" w:lineRule="auto"/>
              <w:rPr>
                <w:b/>
                <w:bCs/>
              </w:rPr>
            </w:pPr>
            <w:r>
              <w:rPr>
                <w:b/>
                <w:bCs/>
                <w:color w:val="1F4D78"/>
                <w:sz w:val="19"/>
              </w:rPr>
              <w:t>Address</w:t>
            </w:r>
          </w:p>
        </w:tc>
        <w:tc>
          <w:tcPr>
            <w:tcW w:w="8106" w:type="dxa"/>
            <w:tcBorders/>
            <w:vAlign w:val="top"/>
            <w:shd w:fill="DCE6F1"/>
          </w:tcPr>
          <w:p>
            <w:pPr>
              <w:pStyle w:val="Normal"/>
              <w:spacing w:before="0" w:after="40" w:line="240" w:lineRule="auto"/>
              <w:rPr>
                <w:b/>
                <w:bCs/>
              </w:rPr>
            </w:pPr>
            <w:r>
              <w:rPr>
                <w:b/>
                <w:bCs/>
                <w:color w:val="1F4D78"/>
                <w:sz w:val="19"/>
              </w:rPr>
              <w:t>Formal role</w:t>
            </w:r>
          </w:p>
        </w:tc>
      </w:tr>
      <w:tr>
        <w:trPr/>
        <w:tc>
          <w:tcPr>
            <w:tcW w:w="1254" w:type="dxa"/>
            <w:tcBorders/>
            <w:vAlign w:val="top"/>
          </w:tcPr>
          <w:p>
            <w:pPr>
              <w:pStyle w:val="Normal"/>
              <w:spacing w:before="0" w:after="40" w:line="240" w:lineRule="auto"/>
              <w:rPr>
                <w:b/>
                <w:bCs/>
              </w:rPr>
            </w:pPr>
            <w:r>
              <w:rPr>
                <w:b/>
                <w:bCs/>
                <w:sz w:val="19"/>
              </w:rPr>
              <w:t>Ω</w:t>
            </w:r>
          </w:p>
        </w:tc>
        <w:tc>
          <w:tcPr>
            <w:tcW w:w="8106" w:type="dxa"/>
            <w:tcBorders/>
            <w:vAlign w:val="top"/>
          </w:tcPr>
          <w:p>
            <w:pPr>
              <w:pStyle w:val="Normal"/>
              <w:widowControl/>
              <w:bidi w:val="0"/>
              <w:spacing w:lineRule="auto" w:line="240" w:before="0" w:after="40"/>
              <w:jc w:val="start"/>
              <w:rPr/>
            </w:pPr>
            <w:r>
              <w:rPr>
                <w:sz w:val="19"/>
              </w:rPr>
              <w:t>Metalinguistic limit only. No object-language type, boundary object, carrier, or constructor domain.</w:t>
            </w:r>
          </w:p>
        </w:tc>
      </w:tr>
      <w:tr>
        <w:trPr/>
        <w:tc>
          <w:tcPr>
            <w:tcW w:w="1254" w:type="dxa"/>
            <w:tcBorders/>
            <w:vAlign w:val="top"/>
            <w:shd w:fill="F7F9FB"/>
          </w:tcPr>
          <w:p>
            <w:pPr>
              <w:pStyle w:val="Normal"/>
              <w:spacing w:before="0" w:after="40" w:line="240" w:lineRule="auto"/>
              <w:rPr>
                <w:b/>
                <w:bCs/>
              </w:rPr>
            </w:pPr>
            <w:r>
              <w:rPr>
                <w:b/>
                <w:bCs/>
                <w:sz w:val="19"/>
              </w:rPr>
              <w:t>M0</w:t>
            </w:r>
          </w:p>
        </w:tc>
        <w:tc>
          <w:tcPr>
            <w:tcW w:w="8106" w:type="dxa"/>
            <w:tcBorders/>
            <w:vAlign w:val="top"/>
            <w:shd w:fill="F7F9FB"/>
          </w:tcPr>
          <w:p>
            <w:pPr>
              <w:pStyle w:val="Normal"/>
              <w:widowControl/>
              <w:bidi w:val="0"/>
              <w:spacing w:lineRule="auto" w:line="240" w:before="0" w:after="40"/>
              <w:jc w:val="start"/>
              <w:rPr/>
            </w:pPr>
            <w:r>
              <w:rPr>
                <w:sz w:val="19"/>
              </w:rPr>
              <w:t>Paid pre-cut model envelope with one quotient class; a predecessor support object.</w:t>
            </w:r>
          </w:p>
        </w:tc>
      </w:tr>
      <w:tr>
        <w:trPr/>
        <w:tc>
          <w:tcPr>
            <w:tcW w:w="1254" w:type="dxa"/>
            <w:tcBorders/>
            <w:vAlign w:val="top"/>
          </w:tcPr>
          <w:p>
            <w:pPr>
              <w:pStyle w:val="Normal"/>
              <w:spacing w:before="0" w:after="40" w:line="240" w:lineRule="auto"/>
              <w:rPr>
                <w:b/>
                <w:bCs/>
              </w:rPr>
            </w:pPr>
            <w:r>
              <w:rPr>
                <w:b/>
                <w:bCs/>
                <w:sz w:val="19"/>
              </w:rPr>
              <w:t>A0</w:t>
            </w:r>
          </w:p>
        </w:tc>
        <w:tc>
          <w:tcPr>
            <w:tcW w:w="8106" w:type="dxa"/>
            <w:tcBorders/>
            <w:vAlign w:val="top"/>
          </w:tcPr>
          <w:p>
            <w:pPr>
              <w:pStyle w:val="Normal"/>
              <w:widowControl/>
              <w:bidi w:val="0"/>
              <w:spacing w:lineRule="auto" w:line="240" w:before="0" w:after="40"/>
              <w:jc w:val="start"/>
              <w:rPr/>
            </w:pPr>
            <w:r>
              <w:rPr>
                <w:sz w:val="19"/>
              </w:rPr>
              <w:t>Supplied cut token whose BoundaryRef.role=CUT; no readable-side eliminator or inherited geometry.</w:t>
            </w:r>
          </w:p>
        </w:tc>
      </w:tr>
      <w:tr>
        <w:trPr/>
        <w:tc>
          <w:tcPr>
            <w:tcW w:w="1254" w:type="dxa"/>
            <w:tcBorders/>
            <w:vAlign w:val="top"/>
            <w:shd w:fill="F7F9FB"/>
          </w:tcPr>
          <w:p>
            <w:pPr>
              <w:pStyle w:val="Normal"/>
              <w:spacing w:before="0" w:after="40" w:line="240" w:lineRule="auto"/>
              <w:rPr>
                <w:b/>
                <w:bCs/>
              </w:rPr>
            </w:pPr>
            <w:r>
              <w:rPr>
                <w:b/>
                <w:bCs/>
                <w:sz w:val="19"/>
              </w:rPr>
              <w:t>Ω*</w:t>
            </w:r>
          </w:p>
        </w:tc>
        <w:tc>
          <w:tcPr>
            <w:tcW w:w="8106" w:type="dxa"/>
            <w:tcBorders/>
            <w:vAlign w:val="top"/>
            <w:shd w:fill="F7F9FB"/>
          </w:tcPr>
          <w:p>
            <w:pPr>
              <w:pStyle w:val="Normal"/>
              <w:widowControl/>
              <w:bidi w:val="0"/>
              <w:spacing w:lineRule="auto" w:line="240" w:before="0" w:after="40"/>
              <w:jc w:val="start"/>
              <w:rPr/>
            </w:pPr>
            <w:r>
              <w:rPr>
                <w:sz w:val="19"/>
              </w:rPr>
              <w:t>Cut-indexed reflection/involution under paid symmetry assumptions; not Ω.</w:t>
            </w:r>
          </w:p>
        </w:tc>
      </w:tr>
      <w:tr>
        <w:trPr/>
        <w:tc>
          <w:tcPr>
            <w:tcW w:w="1254" w:type="dxa"/>
            <w:tcBorders/>
            <w:vAlign w:val="top"/>
          </w:tcPr>
          <w:p>
            <w:pPr>
              <w:pStyle w:val="Normal"/>
              <w:spacing w:before="0" w:after="40" w:line="240" w:lineRule="auto"/>
              <w:rPr>
                <w:b/>
                <w:bCs/>
              </w:rPr>
            </w:pPr>
            <w:r>
              <w:rPr>
                <w:b/>
                <w:bCs/>
                <w:sz w:val="19"/>
              </w:rPr>
              <w:t>θ</w:t>
            </w:r>
          </w:p>
        </w:tc>
        <w:tc>
          <w:tcPr>
            <w:tcW w:w="8106" w:type="dxa"/>
            <w:tcBorders/>
            <w:vAlign w:val="top"/>
          </w:tcPr>
          <w:p>
            <w:pPr>
              <w:pStyle w:val="Normal"/>
              <w:widowControl/>
              <w:bidi w:val="0"/>
              <w:spacing w:lineRule="auto" w:line="240" w:before="0" w:after="40"/>
              <w:jc w:val="start"/>
              <w:rPr/>
            </w:pPr>
            <w:r>
              <w:rPr>
                <w:sz w:val="19"/>
              </w:rPr>
              <w:t>Structurally minimal nonidentity turn/path receipt with no generic θ-&gt;A1 eliminator.</w:t>
            </w:r>
          </w:p>
        </w:tc>
      </w:tr>
      <w:tr>
        <w:trPr/>
        <w:tc>
          <w:tcPr>
            <w:tcW w:w="1254" w:type="dxa"/>
            <w:tcBorders/>
            <w:vAlign w:val="top"/>
            <w:shd w:fill="F7F9FB"/>
          </w:tcPr>
          <w:p>
            <w:pPr>
              <w:pStyle w:val="Normal"/>
              <w:spacing w:before="0" w:after="40" w:line="240" w:lineRule="auto"/>
              <w:rPr>
                <w:b/>
                <w:bCs/>
              </w:rPr>
            </w:pPr>
            <w:r>
              <w:rPr>
                <w:b/>
                <w:bCs/>
                <w:sz w:val="19"/>
              </w:rPr>
              <w:t>A1</w:t>
            </w:r>
          </w:p>
        </w:tc>
        <w:tc>
          <w:tcPr>
            <w:tcW w:w="8106" w:type="dxa"/>
            <w:tcBorders/>
            <w:vAlign w:val="top"/>
            <w:shd w:fill="F7F9FB"/>
          </w:tcPr>
          <w:p>
            <w:pPr>
              <w:pStyle w:val="Normal"/>
              <w:widowControl/>
              <w:bidi w:val="0"/>
              <w:spacing w:lineRule="auto" w:line="240" w:before="0" w:after="40"/>
              <w:jc w:val="start"/>
              <w:rPr/>
            </w:pPr>
            <w:r>
              <w:rPr>
                <w:sz w:val="19"/>
              </w:rPr>
              <w:t>Supplied readable separation aligned to inherited θ orientation under declared carrier, scale, order, resolution, tolerance, and decoder.</w:t>
            </w:r>
          </w:p>
        </w:tc>
      </w:tr>
    </w:tbl>
    <w:p>
      <w:pPr>
        <w:pStyle w:val="Normal"/>
        <w:rPr/>
      </w:pPr>
      <w:r>
        <w:rPr/>
        <w:t>O04 and O25 remain open at the source of the first actual supplied cut/readout witness. Moving the debt earlier does not close it and does not create a constructor from Ω. Carrier geometry belongs to M0. A0 supplies no geometry, comparator, readable side, metric, or resolution. Quantitative separation is admitted no earlier than A1 and cannot retroactively supply A0 or θ.</w:t>
      </w:r>
    </w:p>
    <w:p>
      <w:pPr>
        <w:pStyle w:val="Heading1"/>
        <w:keepNext/>
        <w:keepLines/>
        <w:rPr/>
      </w:pPr>
      <w:bookmarkStart w:id="11" w:name="realization-index"/>
      <w:r>
        <w:rPr/>
        <w:t>4. Realization index</w:t>
      </w:r>
      <w:bookmarkEnd w:id="1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606"/>
        <w:gridCol w:w="3772"/>
        <w:gridCol w:w="3982"/>
      </w:tblGrid>
      <w:tr>
        <w:trPr>
          <w:tblHeader w:val="true"/>
        </w:trPr>
        <w:tc>
          <w:tcPr>
            <w:tcW w:w="1606" w:type="dxa"/>
            <w:tcBorders/>
            <w:vAlign w:val="top"/>
            <w:shd w:fill="DCE6F1"/>
          </w:tcPr>
          <w:p>
            <w:pPr>
              <w:pStyle w:val="Normal"/>
              <w:spacing w:before="0" w:after="40" w:line="240" w:lineRule="auto"/>
              <w:rPr>
                <w:b/>
                <w:bCs/>
              </w:rPr>
            </w:pPr>
            <w:r>
              <w:rPr>
                <w:b/>
                <w:bCs/>
                <w:color w:val="1F4D78"/>
                <w:sz w:val="18"/>
              </w:rPr>
              <w:t>ID</w:t>
            </w:r>
          </w:p>
        </w:tc>
        <w:tc>
          <w:tcPr>
            <w:tcW w:w="3772" w:type="dxa"/>
            <w:tcBorders/>
            <w:vAlign w:val="top"/>
            <w:shd w:fill="DCE6F1"/>
          </w:tcPr>
          <w:p>
            <w:pPr>
              <w:pStyle w:val="Normal"/>
              <w:spacing w:before="0" w:after="40" w:line="240" w:lineRule="auto"/>
              <w:rPr>
                <w:b/>
                <w:bCs/>
              </w:rPr>
            </w:pPr>
            <w:r>
              <w:rPr>
                <w:b/>
                <w:bCs/>
                <w:color w:val="1F4D78"/>
                <w:sz w:val="18"/>
              </w:rPr>
              <w:t>Realization</w:t>
            </w:r>
          </w:p>
        </w:tc>
        <w:tc>
          <w:tcPr>
            <w:tcW w:w="3982" w:type="dxa"/>
            <w:tcBorders/>
            <w:vAlign w:val="top"/>
            <w:shd w:fill="DCE6F1"/>
          </w:tcPr>
          <w:p>
            <w:pPr>
              <w:pStyle w:val="Normal"/>
              <w:spacing w:before="0" w:after="40" w:line="240" w:lineRule="auto"/>
              <w:rPr>
                <w:b/>
                <w:bCs/>
              </w:rPr>
            </w:pPr>
            <w:r>
              <w:rPr>
                <w:b/>
                <w:bCs/>
                <w:color w:val="1F4D78"/>
                <w:sz w:val="18"/>
              </w:rPr>
              <w:t>Target</w:t>
            </w:r>
          </w:p>
        </w:tc>
      </w:tr>
      <w:tr>
        <w:trPr/>
        <w:tc>
          <w:tcPr>
            <w:tcW w:w="1606" w:type="dxa"/>
            <w:tcBorders/>
            <w:vAlign w:val="top"/>
          </w:tcPr>
          <w:p>
            <w:pPr>
              <w:pStyle w:val="Normal"/>
              <w:spacing w:before="0" w:after="40" w:line="240" w:lineRule="auto"/>
              <w:rPr>
                <w:b/>
                <w:bCs/>
              </w:rPr>
            </w:pPr>
            <w:r>
              <w:rPr>
                <w:b/>
                <w:bCs/>
                <w:sz w:val="18"/>
              </w:rPr>
              <w:t>M-ΩF</w:t>
            </w:r>
          </w:p>
        </w:tc>
        <w:tc>
          <w:tcPr>
            <w:tcW w:w="3772" w:type="dxa"/>
            <w:tcBorders/>
            <w:vAlign w:val="top"/>
          </w:tcPr>
          <w:p>
            <w:pPr>
              <w:pStyle w:val="Normal"/>
              <w:widowControl/>
              <w:bidi w:val="0"/>
              <w:spacing w:lineRule="auto" w:line="240" w:before="0" w:after="40"/>
              <w:jc w:val="start"/>
              <w:rPr/>
            </w:pPr>
            <w:r>
              <w:rPr>
                <w:sz w:val="18"/>
              </w:rPr>
              <w:t>Ω firewall schema</w:t>
            </w:r>
          </w:p>
        </w:tc>
        <w:tc>
          <w:tcPr>
            <w:tcW w:w="3982" w:type="dxa"/>
            <w:tcBorders/>
            <w:vAlign w:val="top"/>
          </w:tcPr>
          <w:p>
            <w:pPr>
              <w:pStyle w:val="Normal"/>
              <w:widowControl/>
              <w:bidi w:val="0"/>
              <w:spacing w:lineRule="auto" w:line="240" w:before="0" w:after="40"/>
              <w:jc w:val="start"/>
              <w:rPr/>
            </w:pPr>
            <w:r>
              <w:rPr>
                <w:sz w:val="18"/>
              </w:rPr>
              <w:t>Primitive floor / Ω</w:t>
            </w:r>
          </w:p>
        </w:tc>
      </w:tr>
      <w:tr>
        <w:trPr/>
        <w:tc>
          <w:tcPr>
            <w:tcW w:w="1606" w:type="dxa"/>
            <w:tcBorders/>
            <w:vAlign w:val="top"/>
            <w:shd w:fill="F7F9FB"/>
          </w:tcPr>
          <w:p>
            <w:pPr>
              <w:pStyle w:val="Normal"/>
              <w:spacing w:before="0" w:after="40" w:line="240" w:lineRule="auto"/>
              <w:rPr>
                <w:b/>
                <w:bCs/>
              </w:rPr>
            </w:pPr>
            <w:r>
              <w:rPr>
                <w:b/>
                <w:bCs/>
                <w:sz w:val="18"/>
              </w:rPr>
              <w:t>M-M0</w:t>
            </w:r>
          </w:p>
        </w:tc>
        <w:tc>
          <w:tcPr>
            <w:tcW w:w="3772" w:type="dxa"/>
            <w:tcBorders/>
            <w:vAlign w:val="top"/>
            <w:shd w:fill="F7F9FB"/>
          </w:tcPr>
          <w:p>
            <w:pPr>
              <w:pStyle w:val="Normal"/>
              <w:widowControl/>
              <w:bidi w:val="0"/>
              <w:spacing w:lineRule="auto" w:line="240" w:before="0" w:after="40"/>
              <w:jc w:val="start"/>
              <w:rPr/>
            </w:pPr>
            <w:r>
              <w:rPr>
                <w:sz w:val="18"/>
              </w:rPr>
              <w:t>Unnumbered pre-cut model envelope</w:t>
            </w:r>
          </w:p>
        </w:tc>
        <w:tc>
          <w:tcPr>
            <w:tcW w:w="3982" w:type="dxa"/>
            <w:tcBorders/>
            <w:vAlign w:val="top"/>
            <w:shd w:fill="F7F9FB"/>
          </w:tcPr>
          <w:p>
            <w:pPr>
              <w:pStyle w:val="Normal"/>
              <w:widowControl/>
              <w:bidi w:val="0"/>
              <w:spacing w:lineRule="auto" w:line="240" w:before="0" w:after="40"/>
              <w:jc w:val="start"/>
              <w:rPr/>
            </w:pPr>
            <w:r>
              <w:rPr>
                <w:sz w:val="18"/>
              </w:rPr>
              <w:t>Support for A0; not a PAL layer</w:t>
            </w:r>
          </w:p>
        </w:tc>
      </w:tr>
      <w:tr>
        <w:trPr/>
        <w:tc>
          <w:tcPr>
            <w:tcW w:w="1606" w:type="dxa"/>
            <w:tcBorders/>
            <w:vAlign w:val="top"/>
          </w:tcPr>
          <w:p>
            <w:pPr>
              <w:pStyle w:val="Normal"/>
              <w:spacing w:before="0" w:after="40" w:line="240" w:lineRule="auto"/>
              <w:rPr>
                <w:b/>
                <w:bCs/>
              </w:rPr>
            </w:pPr>
            <w:r>
              <w:rPr>
                <w:b/>
                <w:bCs/>
                <w:sz w:val="18"/>
              </w:rPr>
              <w:t>M-A0-CUT</w:t>
            </w:r>
          </w:p>
        </w:tc>
        <w:tc>
          <w:tcPr>
            <w:tcW w:w="3772" w:type="dxa"/>
            <w:tcBorders/>
            <w:vAlign w:val="top"/>
          </w:tcPr>
          <w:p>
            <w:pPr>
              <w:pStyle w:val="Normal"/>
              <w:widowControl/>
              <w:bidi w:val="0"/>
              <w:spacing w:lineRule="auto" w:line="240" w:before="0" w:after="40"/>
              <w:jc w:val="start"/>
              <w:rPr/>
            </w:pPr>
            <w:r>
              <w:rPr>
                <w:sz w:val="18"/>
              </w:rPr>
              <w:t>Opaque cut token</w:t>
            </w:r>
          </w:p>
        </w:tc>
        <w:tc>
          <w:tcPr>
            <w:tcW w:w="3982" w:type="dxa"/>
            <w:tcBorders/>
            <w:vAlign w:val="top"/>
          </w:tcPr>
          <w:p>
            <w:pPr>
              <w:pStyle w:val="Normal"/>
              <w:widowControl/>
              <w:bidi w:val="0"/>
              <w:spacing w:lineRule="auto" w:line="240" w:before="0" w:after="40"/>
              <w:jc w:val="start"/>
              <w:rPr/>
            </w:pPr>
            <w:r>
              <w:rPr>
                <w:sz w:val="18"/>
              </w:rPr>
              <w:t>A0 - the cut</w:t>
            </w:r>
          </w:p>
        </w:tc>
      </w:tr>
      <w:tr>
        <w:trPr/>
        <w:tc>
          <w:tcPr>
            <w:tcW w:w="1606" w:type="dxa"/>
            <w:tcBorders/>
            <w:vAlign w:val="top"/>
            <w:shd w:fill="F7F9FB"/>
          </w:tcPr>
          <w:p>
            <w:pPr>
              <w:pStyle w:val="Normal"/>
              <w:spacing w:before="0" w:after="40" w:line="240" w:lineRule="auto"/>
              <w:rPr>
                <w:b/>
                <w:bCs/>
              </w:rPr>
            </w:pPr>
            <w:r>
              <w:rPr>
                <w:b/>
                <w:bCs/>
                <w:sz w:val="18"/>
              </w:rPr>
              <w:t>M-ΩSTAR</w:t>
            </w:r>
          </w:p>
        </w:tc>
        <w:tc>
          <w:tcPr>
            <w:tcW w:w="3772" w:type="dxa"/>
            <w:tcBorders/>
            <w:vAlign w:val="top"/>
            <w:shd w:fill="F7F9FB"/>
          </w:tcPr>
          <w:p>
            <w:pPr>
              <w:pStyle w:val="Normal"/>
              <w:widowControl/>
              <w:bidi w:val="0"/>
              <w:spacing w:lineRule="auto" w:line="240" w:before="0" w:after="40"/>
              <w:jc w:val="start"/>
              <w:rPr/>
            </w:pPr>
            <w:r>
              <w:rPr>
                <w:sz w:val="18"/>
              </w:rPr>
              <w:t>Cut-indexed reflection</w:t>
            </w:r>
          </w:p>
        </w:tc>
        <w:tc>
          <w:tcPr>
            <w:tcW w:w="3982" w:type="dxa"/>
            <w:tcBorders/>
            <w:vAlign w:val="top"/>
            <w:shd w:fill="F7F9FB"/>
          </w:tcPr>
          <w:p>
            <w:pPr>
              <w:pStyle w:val="Normal"/>
              <w:widowControl/>
              <w:bidi w:val="0"/>
              <w:spacing w:lineRule="auto" w:line="240" w:before="0" w:after="40"/>
              <w:jc w:val="start"/>
              <w:rPr/>
            </w:pPr>
            <w:r>
              <w:rPr>
                <w:sz w:val="18"/>
              </w:rPr>
              <w:t>Ω* - reflection of the cut</w:t>
            </w:r>
          </w:p>
        </w:tc>
      </w:tr>
      <w:tr>
        <w:trPr/>
        <w:tc>
          <w:tcPr>
            <w:tcW w:w="1606" w:type="dxa"/>
            <w:tcBorders/>
            <w:vAlign w:val="top"/>
          </w:tcPr>
          <w:p>
            <w:pPr>
              <w:pStyle w:val="Normal"/>
              <w:spacing w:before="0" w:after="40" w:line="240" w:lineRule="auto"/>
              <w:rPr>
                <w:b/>
                <w:bCs/>
              </w:rPr>
            </w:pPr>
            <w:r>
              <w:rPr>
                <w:b/>
                <w:bCs/>
                <w:sz w:val="18"/>
              </w:rPr>
              <w:t>M-THETA</w:t>
            </w:r>
          </w:p>
        </w:tc>
        <w:tc>
          <w:tcPr>
            <w:tcW w:w="3772" w:type="dxa"/>
            <w:tcBorders/>
            <w:vAlign w:val="top"/>
          </w:tcPr>
          <w:p>
            <w:pPr>
              <w:pStyle w:val="Normal"/>
              <w:widowControl/>
              <w:bidi w:val="0"/>
              <w:spacing w:lineRule="auto" w:line="240" w:before="0" w:after="40"/>
              <w:jc w:val="start"/>
              <w:rPr/>
            </w:pPr>
            <w:r>
              <w:rPr>
                <w:sz w:val="18"/>
              </w:rPr>
              <w:t>Nonidentity turn with no A1 eliminator</w:t>
            </w:r>
          </w:p>
        </w:tc>
        <w:tc>
          <w:tcPr>
            <w:tcW w:w="3982" w:type="dxa"/>
            <w:tcBorders/>
            <w:vAlign w:val="top"/>
          </w:tcPr>
          <w:p>
            <w:pPr>
              <w:pStyle w:val="Normal"/>
              <w:widowControl/>
              <w:bidi w:val="0"/>
              <w:spacing w:lineRule="auto" w:line="240" w:before="0" w:after="40"/>
              <w:jc w:val="start"/>
              <w:rPr/>
            </w:pPr>
            <w:r>
              <w:rPr>
                <w:sz w:val="18"/>
              </w:rPr>
              <w:t>θ - trace-bearing turn</w:t>
            </w:r>
          </w:p>
        </w:tc>
      </w:tr>
      <w:tr>
        <w:trPr/>
        <w:tc>
          <w:tcPr>
            <w:tcW w:w="1606" w:type="dxa"/>
            <w:tcBorders/>
            <w:vAlign w:val="top"/>
            <w:shd w:fill="F7F9FB"/>
          </w:tcPr>
          <w:p>
            <w:pPr>
              <w:pStyle w:val="Normal"/>
              <w:spacing w:before="0" w:after="40" w:line="240" w:lineRule="auto"/>
              <w:rPr>
                <w:b/>
                <w:bCs/>
              </w:rPr>
            </w:pPr>
            <w:r>
              <w:rPr>
                <w:b/>
                <w:bCs/>
                <w:sz w:val="18"/>
              </w:rPr>
              <w:t>M-THETA-GOLDEN</w:t>
            </w:r>
          </w:p>
        </w:tc>
        <w:tc>
          <w:tcPr>
            <w:tcW w:w="3772" w:type="dxa"/>
            <w:tcBorders/>
            <w:vAlign w:val="top"/>
            <w:shd w:fill="F7F9FB"/>
          </w:tcPr>
          <w:p>
            <w:pPr>
              <w:pStyle w:val="Normal"/>
              <w:widowControl/>
              <w:bidi w:val="0"/>
              <w:spacing w:lineRule="auto" w:line="240" w:before="0" w:after="40"/>
              <w:jc w:val="start"/>
              <w:rPr/>
            </w:pPr>
            <w:r>
              <w:rPr>
                <w:sz w:val="18"/>
              </w:rPr>
              <w:t>Golden-angle turn branch</w:t>
            </w:r>
          </w:p>
        </w:tc>
        <w:tc>
          <w:tcPr>
            <w:tcW w:w="3982" w:type="dxa"/>
            <w:tcBorders/>
            <w:vAlign w:val="top"/>
            <w:shd w:fill="F7F9FB"/>
          </w:tcPr>
          <w:p>
            <w:pPr>
              <w:pStyle w:val="Normal"/>
              <w:widowControl/>
              <w:bidi w:val="0"/>
              <w:spacing w:lineRule="auto" w:line="240" w:before="0" w:after="40"/>
              <w:jc w:val="start"/>
              <w:rPr/>
            </w:pPr>
            <w:r>
              <w:rPr>
                <w:sz w:val="18"/>
              </w:rPr>
              <w:t>Optional θ realization</w:t>
            </w:r>
          </w:p>
        </w:tc>
      </w:tr>
      <w:tr>
        <w:trPr/>
        <w:tc>
          <w:tcPr>
            <w:tcW w:w="1606" w:type="dxa"/>
            <w:tcBorders/>
            <w:vAlign w:val="top"/>
          </w:tcPr>
          <w:p>
            <w:pPr>
              <w:pStyle w:val="Normal"/>
              <w:spacing w:before="0" w:after="40" w:line="240" w:lineRule="auto"/>
              <w:rPr>
                <w:b/>
                <w:bCs/>
              </w:rPr>
            </w:pPr>
            <w:r>
              <w:rPr>
                <w:b/>
                <w:bCs/>
                <w:sz w:val="18"/>
              </w:rPr>
              <w:t>M-A1-APART</w:t>
            </w:r>
          </w:p>
        </w:tc>
        <w:tc>
          <w:tcPr>
            <w:tcW w:w="3772" w:type="dxa"/>
            <w:tcBorders/>
            <w:vAlign w:val="top"/>
          </w:tcPr>
          <w:p>
            <w:pPr>
              <w:pStyle w:val="Normal"/>
              <w:widowControl/>
              <w:bidi w:val="0"/>
              <w:spacing w:lineRule="auto" w:line="240" w:before="0" w:after="40"/>
              <w:jc w:val="start"/>
              <w:rPr/>
            </w:pPr>
            <w:r>
              <w:rPr>
                <w:sz w:val="18"/>
              </w:rPr>
              <w:t>Apartness and proper kernel refinement</w:t>
            </w:r>
          </w:p>
        </w:tc>
        <w:tc>
          <w:tcPr>
            <w:tcW w:w="3982" w:type="dxa"/>
            <w:tcBorders/>
            <w:vAlign w:val="top"/>
          </w:tcPr>
          <w:p>
            <w:pPr>
              <w:pStyle w:val="Normal"/>
              <w:widowControl/>
              <w:bidi w:val="0"/>
              <w:spacing w:lineRule="auto" w:line="240" w:before="0" w:after="40"/>
              <w:jc w:val="start"/>
              <w:rPr/>
            </w:pPr>
            <w:r>
              <w:rPr>
                <w:sz w:val="18"/>
              </w:rPr>
              <w:t>A1 - readable oriented distinction</w:t>
            </w:r>
          </w:p>
        </w:tc>
      </w:tr>
      <w:tr>
        <w:trPr/>
        <w:tc>
          <w:tcPr>
            <w:tcW w:w="1606" w:type="dxa"/>
            <w:tcBorders/>
            <w:vAlign w:val="top"/>
            <w:shd w:fill="F7F9FB"/>
          </w:tcPr>
          <w:p>
            <w:pPr>
              <w:pStyle w:val="Normal"/>
              <w:spacing w:before="0" w:after="40" w:line="240" w:lineRule="auto"/>
              <w:rPr>
                <w:b/>
                <w:bCs/>
              </w:rPr>
            </w:pPr>
            <w:r>
              <w:rPr>
                <w:b/>
                <w:bCs/>
                <w:sz w:val="18"/>
              </w:rPr>
              <w:t>M-A1-BRT</w:t>
            </w:r>
          </w:p>
        </w:tc>
        <w:tc>
          <w:tcPr>
            <w:tcW w:w="3772" w:type="dxa"/>
            <w:tcBorders/>
            <w:vAlign w:val="top"/>
            <w:shd w:fill="F7F9FB"/>
          </w:tcPr>
          <w:p>
            <w:pPr>
              <w:pStyle w:val="Normal"/>
              <w:widowControl/>
              <w:bidi w:val="0"/>
              <w:spacing w:lineRule="auto" w:line="240" w:before="0" w:after="40"/>
              <w:jc w:val="start"/>
              <w:rPr/>
            </w:pPr>
            <w:r>
              <w:rPr>
                <w:sz w:val="18"/>
              </w:rPr>
              <w:t>Boundary-readable crossing</w:t>
            </w:r>
          </w:p>
        </w:tc>
        <w:tc>
          <w:tcPr>
            <w:tcW w:w="3982" w:type="dxa"/>
            <w:tcBorders/>
            <w:vAlign w:val="top"/>
            <w:shd w:fill="F7F9FB"/>
          </w:tcPr>
          <w:p>
            <w:pPr>
              <w:pStyle w:val="Normal"/>
              <w:widowControl/>
              <w:bidi w:val="0"/>
              <w:spacing w:lineRule="auto" w:line="240" w:before="0" w:after="40"/>
              <w:jc w:val="start"/>
              <w:rPr/>
            </w:pPr>
            <w:r>
              <w:rPr>
                <w:sz w:val="18"/>
              </w:rPr>
              <w:t>A1 branch realization</w:t>
            </w:r>
          </w:p>
        </w:tc>
      </w:tr>
      <w:tr>
        <w:trPr/>
        <w:tc>
          <w:tcPr>
            <w:tcW w:w="1606" w:type="dxa"/>
            <w:tcBorders/>
            <w:vAlign w:val="top"/>
          </w:tcPr>
          <w:p>
            <w:pPr>
              <w:pStyle w:val="Normal"/>
              <w:spacing w:before="0" w:after="40" w:line="240" w:lineRule="auto"/>
              <w:rPr>
                <w:b/>
                <w:bCs/>
              </w:rPr>
            </w:pPr>
            <w:r>
              <w:rPr>
                <w:b/>
                <w:bCs/>
                <w:sz w:val="18"/>
              </w:rPr>
              <w:t>M-A2-STORE</w:t>
            </w:r>
          </w:p>
        </w:tc>
        <w:tc>
          <w:tcPr>
            <w:tcW w:w="3772" w:type="dxa"/>
            <w:tcBorders/>
            <w:vAlign w:val="top"/>
          </w:tcPr>
          <w:p>
            <w:pPr>
              <w:pStyle w:val="Normal"/>
              <w:widowControl/>
              <w:bidi w:val="0"/>
              <w:spacing w:lineRule="auto" w:line="240" w:before="0" w:after="40"/>
              <w:jc w:val="start"/>
              <w:rPr/>
            </w:pPr>
            <w:r>
              <w:rPr>
                <w:sz w:val="18"/>
              </w:rPr>
              <w:t>Append-only trace store</w:t>
            </w:r>
          </w:p>
        </w:tc>
        <w:tc>
          <w:tcPr>
            <w:tcW w:w="3982" w:type="dxa"/>
            <w:tcBorders/>
            <w:vAlign w:val="top"/>
          </w:tcPr>
          <w:p>
            <w:pPr>
              <w:pStyle w:val="Normal"/>
              <w:widowControl/>
              <w:bidi w:val="0"/>
              <w:spacing w:lineRule="auto" w:line="240" w:before="0" w:after="40"/>
              <w:jc w:val="start"/>
              <w:rPr/>
            </w:pPr>
            <w:r>
              <w:rPr>
                <w:sz w:val="18"/>
              </w:rPr>
              <w:t>A2 - recoverable consequence</w:t>
            </w:r>
          </w:p>
        </w:tc>
      </w:tr>
      <w:tr>
        <w:trPr/>
        <w:tc>
          <w:tcPr>
            <w:tcW w:w="1606" w:type="dxa"/>
            <w:tcBorders/>
            <w:vAlign w:val="top"/>
            <w:shd w:fill="F7F9FB"/>
          </w:tcPr>
          <w:p>
            <w:pPr>
              <w:pStyle w:val="Normal"/>
              <w:spacing w:before="0" w:after="40" w:line="240" w:lineRule="auto"/>
              <w:rPr>
                <w:b/>
                <w:bCs/>
              </w:rPr>
            </w:pPr>
            <w:r>
              <w:rPr>
                <w:b/>
                <w:bCs/>
                <w:sz w:val="18"/>
              </w:rPr>
              <w:t>M-A2-BRT</w:t>
            </w:r>
          </w:p>
        </w:tc>
        <w:tc>
          <w:tcPr>
            <w:tcW w:w="3772" w:type="dxa"/>
            <w:tcBorders/>
            <w:vAlign w:val="top"/>
            <w:shd w:fill="F7F9FB"/>
          </w:tcPr>
          <w:p>
            <w:pPr>
              <w:pStyle w:val="Normal"/>
              <w:widowControl/>
              <w:bidi w:val="0"/>
              <w:spacing w:lineRule="auto" w:line="240" w:before="0" w:after="40"/>
              <w:jc w:val="start"/>
              <w:rPr/>
            </w:pPr>
            <w:r>
              <w:rPr>
                <w:sz w:val="18"/>
              </w:rPr>
              <w:t>Boundary-readable correlation trace</w:t>
            </w:r>
          </w:p>
        </w:tc>
        <w:tc>
          <w:tcPr>
            <w:tcW w:w="3982" w:type="dxa"/>
            <w:tcBorders/>
            <w:vAlign w:val="top"/>
            <w:shd w:fill="F7F9FB"/>
          </w:tcPr>
          <w:p>
            <w:pPr>
              <w:pStyle w:val="Normal"/>
              <w:widowControl/>
              <w:bidi w:val="0"/>
              <w:spacing w:lineRule="auto" w:line="240" w:before="0" w:after="40"/>
              <w:jc w:val="start"/>
              <w:rPr/>
            </w:pPr>
            <w:r>
              <w:rPr>
                <w:sz w:val="18"/>
              </w:rPr>
              <w:t>A2 branch realization</w:t>
            </w:r>
          </w:p>
        </w:tc>
      </w:tr>
      <w:tr>
        <w:trPr/>
        <w:tc>
          <w:tcPr>
            <w:tcW w:w="1606" w:type="dxa"/>
            <w:tcBorders/>
            <w:vAlign w:val="top"/>
          </w:tcPr>
          <w:p>
            <w:pPr>
              <w:pStyle w:val="Normal"/>
              <w:spacing w:before="0" w:after="40" w:line="240" w:lineRule="auto"/>
              <w:rPr>
                <w:b/>
                <w:bCs/>
              </w:rPr>
            </w:pPr>
            <w:r>
              <w:rPr>
                <w:b/>
                <w:bCs/>
                <w:sz w:val="18"/>
              </w:rPr>
              <w:t>M-A3-GRAPH</w:t>
            </w:r>
          </w:p>
        </w:tc>
        <w:tc>
          <w:tcPr>
            <w:tcW w:w="3772" w:type="dxa"/>
            <w:tcBorders/>
            <w:vAlign w:val="top"/>
          </w:tcPr>
          <w:p>
            <w:pPr>
              <w:pStyle w:val="Normal"/>
              <w:widowControl/>
              <w:bidi w:val="0"/>
              <w:spacing w:lineRule="auto" w:line="240" w:before="0" w:after="40"/>
              <w:jc w:val="start"/>
              <w:rPr/>
            </w:pPr>
            <w:r>
              <w:rPr>
                <w:sz w:val="18"/>
              </w:rPr>
              <w:t>Typed directed multigraph</w:t>
            </w:r>
          </w:p>
        </w:tc>
        <w:tc>
          <w:tcPr>
            <w:tcW w:w="3982" w:type="dxa"/>
            <w:tcBorders/>
            <w:vAlign w:val="top"/>
          </w:tcPr>
          <w:p>
            <w:pPr>
              <w:pStyle w:val="Normal"/>
              <w:widowControl/>
              <w:bidi w:val="0"/>
              <w:spacing w:lineRule="auto" w:line="240" w:before="0" w:after="40"/>
              <w:jc w:val="start"/>
              <w:rPr/>
            </w:pPr>
            <w:r>
              <w:rPr>
                <w:sz w:val="18"/>
              </w:rPr>
              <w:t>A3 - retained relation</w:t>
            </w:r>
          </w:p>
        </w:tc>
      </w:tr>
      <w:tr>
        <w:trPr/>
        <w:tc>
          <w:tcPr>
            <w:tcW w:w="1606" w:type="dxa"/>
            <w:tcBorders/>
            <w:vAlign w:val="top"/>
            <w:shd w:fill="F7F9FB"/>
          </w:tcPr>
          <w:p>
            <w:pPr>
              <w:pStyle w:val="Normal"/>
              <w:spacing w:before="0" w:after="40" w:line="240" w:lineRule="auto"/>
              <w:rPr>
                <w:b/>
                <w:bCs/>
              </w:rPr>
            </w:pPr>
            <w:r>
              <w:rPr>
                <w:b/>
                <w:bCs/>
                <w:sz w:val="18"/>
              </w:rPr>
              <w:t>M-A4-DEBT</w:t>
            </w:r>
          </w:p>
        </w:tc>
        <w:tc>
          <w:tcPr>
            <w:tcW w:w="3772" w:type="dxa"/>
            <w:tcBorders/>
            <w:vAlign w:val="top"/>
            <w:shd w:fill="F7F9FB"/>
          </w:tcPr>
          <w:p>
            <w:pPr>
              <w:pStyle w:val="Normal"/>
              <w:widowControl/>
              <w:bidi w:val="0"/>
              <w:spacing w:lineRule="auto" w:line="240" w:before="0" w:after="40"/>
              <w:jc w:val="start"/>
              <w:rPr/>
            </w:pPr>
            <w:r>
              <w:rPr>
                <w:sz w:val="18"/>
              </w:rPr>
              <w:t>Ordered-debt transport</w:t>
            </w:r>
          </w:p>
        </w:tc>
        <w:tc>
          <w:tcPr>
            <w:tcW w:w="3982" w:type="dxa"/>
            <w:tcBorders/>
            <w:vAlign w:val="top"/>
            <w:shd w:fill="F7F9FB"/>
          </w:tcPr>
          <w:p>
            <w:pPr>
              <w:pStyle w:val="Normal"/>
              <w:widowControl/>
              <w:bidi w:val="0"/>
              <w:spacing w:lineRule="auto" w:line="240" w:before="0" w:after="40"/>
              <w:jc w:val="start"/>
              <w:rPr/>
            </w:pPr>
            <w:r>
              <w:rPr>
                <w:sz w:val="18"/>
              </w:rPr>
              <w:t>A4 / SOOP</w:t>
            </w:r>
          </w:p>
        </w:tc>
      </w:tr>
      <w:tr>
        <w:trPr/>
        <w:tc>
          <w:tcPr>
            <w:tcW w:w="1606" w:type="dxa"/>
            <w:tcBorders/>
            <w:vAlign w:val="top"/>
          </w:tcPr>
          <w:p>
            <w:pPr>
              <w:pStyle w:val="Normal"/>
              <w:spacing w:before="0" w:after="40" w:line="240" w:lineRule="auto"/>
              <w:rPr>
                <w:b/>
                <w:bCs/>
              </w:rPr>
            </w:pPr>
            <w:r>
              <w:rPr>
                <w:b/>
                <w:bCs/>
                <w:sz w:val="18"/>
              </w:rPr>
              <w:t>M-A5-DEP</w:t>
            </w:r>
          </w:p>
        </w:tc>
        <w:tc>
          <w:tcPr>
            <w:tcW w:w="3772" w:type="dxa"/>
            <w:tcBorders/>
            <w:vAlign w:val="top"/>
          </w:tcPr>
          <w:p>
            <w:pPr>
              <w:pStyle w:val="Normal"/>
              <w:widowControl/>
              <w:bidi w:val="0"/>
              <w:spacing w:lineRule="auto" w:line="240" w:before="0" w:after="40"/>
              <w:jc w:val="start"/>
              <w:rPr/>
            </w:pPr>
            <w:r>
              <w:rPr>
                <w:sz w:val="18"/>
              </w:rPr>
              <w:t>Nonconstant feedback dependence</w:t>
            </w:r>
          </w:p>
        </w:tc>
        <w:tc>
          <w:tcPr>
            <w:tcW w:w="3982" w:type="dxa"/>
            <w:tcBorders/>
            <w:vAlign w:val="top"/>
          </w:tcPr>
          <w:p>
            <w:pPr>
              <w:pStyle w:val="Normal"/>
              <w:widowControl/>
              <w:bidi w:val="0"/>
              <w:spacing w:lineRule="auto" w:line="240" w:before="0" w:after="40"/>
              <w:jc w:val="start"/>
              <w:rPr/>
            </w:pPr>
            <w:r>
              <w:rPr>
                <w:sz w:val="18"/>
              </w:rPr>
              <w:t>A5 / SORE</w:t>
            </w:r>
          </w:p>
        </w:tc>
      </w:tr>
      <w:tr>
        <w:trPr/>
        <w:tc>
          <w:tcPr>
            <w:tcW w:w="1606" w:type="dxa"/>
            <w:tcBorders/>
            <w:vAlign w:val="top"/>
            <w:shd w:fill="F7F9FB"/>
          </w:tcPr>
          <w:p>
            <w:pPr>
              <w:pStyle w:val="Normal"/>
              <w:spacing w:before="0" w:after="40" w:line="240" w:lineRule="auto"/>
              <w:rPr>
                <w:b/>
                <w:bCs/>
              </w:rPr>
            </w:pPr>
            <w:r>
              <w:rPr>
                <w:b/>
                <w:bCs/>
                <w:sz w:val="18"/>
              </w:rPr>
              <w:t>M-A6-MODES</w:t>
            </w:r>
          </w:p>
        </w:tc>
        <w:tc>
          <w:tcPr>
            <w:tcW w:w="3772" w:type="dxa"/>
            <w:tcBorders/>
            <w:vAlign w:val="top"/>
            <w:shd w:fill="F7F9FB"/>
          </w:tcPr>
          <w:p>
            <w:pPr>
              <w:pStyle w:val="Normal"/>
              <w:widowControl/>
              <w:bidi w:val="0"/>
              <w:spacing w:lineRule="auto" w:line="240" w:before="0" w:after="40"/>
              <w:jc w:val="start"/>
              <w:rPr/>
            </w:pPr>
            <w:r>
              <w:rPr>
                <w:sz w:val="18"/>
              </w:rPr>
              <w:t>Mode-tagged viability and stability</w:t>
            </w:r>
          </w:p>
        </w:tc>
        <w:tc>
          <w:tcPr>
            <w:tcW w:w="3982" w:type="dxa"/>
            <w:tcBorders/>
            <w:vAlign w:val="top"/>
            <w:shd w:fill="F7F9FB"/>
          </w:tcPr>
          <w:p>
            <w:pPr>
              <w:pStyle w:val="Normal"/>
              <w:widowControl/>
              <w:bidi w:val="0"/>
              <w:spacing w:lineRule="auto" w:line="240" w:before="0" w:after="40"/>
              <w:jc w:val="start"/>
              <w:rPr/>
            </w:pPr>
            <w:r>
              <w:rPr>
                <w:sz w:val="18"/>
              </w:rPr>
              <w:t>A6 / SOSA</w:t>
            </w:r>
          </w:p>
        </w:tc>
      </w:tr>
      <w:tr>
        <w:trPr/>
        <w:tc>
          <w:tcPr>
            <w:tcW w:w="1606" w:type="dxa"/>
            <w:tcBorders/>
            <w:vAlign w:val="top"/>
          </w:tcPr>
          <w:p>
            <w:pPr>
              <w:pStyle w:val="Normal"/>
              <w:spacing w:before="0" w:after="40" w:line="240" w:lineRule="auto"/>
              <w:rPr>
                <w:b/>
                <w:bCs/>
              </w:rPr>
            </w:pPr>
            <w:r>
              <w:rPr>
                <w:b/>
                <w:bCs/>
                <w:sz w:val="18"/>
              </w:rPr>
              <w:t>M-A7-TWOLEDGER</w:t>
            </w:r>
          </w:p>
        </w:tc>
        <w:tc>
          <w:tcPr>
            <w:tcW w:w="3772" w:type="dxa"/>
            <w:tcBorders/>
            <w:vAlign w:val="top"/>
          </w:tcPr>
          <w:p>
            <w:pPr>
              <w:pStyle w:val="Normal"/>
              <w:widowControl/>
              <w:bidi w:val="0"/>
              <w:spacing w:lineRule="auto" w:line="240" w:before="0" w:after="40"/>
              <w:jc w:val="start"/>
              <w:rPr/>
            </w:pPr>
            <w:r>
              <w:rPr>
                <w:sz w:val="18"/>
              </w:rPr>
              <w:t>Occurrence/access two-ledger architecture</w:t>
            </w:r>
          </w:p>
        </w:tc>
        <w:tc>
          <w:tcPr>
            <w:tcW w:w="3982" w:type="dxa"/>
            <w:tcBorders/>
            <w:vAlign w:val="top"/>
          </w:tcPr>
          <w:p>
            <w:pPr>
              <w:pStyle w:val="Normal"/>
              <w:widowControl/>
              <w:bidi w:val="0"/>
              <w:spacing w:lineRule="auto" w:line="240" w:before="0" w:after="40"/>
              <w:jc w:val="start"/>
              <w:rPr/>
            </w:pPr>
            <w:r>
              <w:rPr>
                <w:sz w:val="18"/>
              </w:rPr>
              <w:t>A7 - routing and refresh</w:t>
            </w:r>
          </w:p>
        </w:tc>
      </w:tr>
      <w:tr>
        <w:trPr/>
        <w:tc>
          <w:tcPr>
            <w:tcW w:w="1606" w:type="dxa"/>
            <w:tcBorders/>
            <w:vAlign w:val="top"/>
            <w:shd w:fill="F7F9FB"/>
          </w:tcPr>
          <w:p>
            <w:pPr>
              <w:pStyle w:val="Normal"/>
              <w:spacing w:before="0" w:after="40" w:line="240" w:lineRule="auto"/>
              <w:rPr>
                <w:b/>
                <w:bCs/>
              </w:rPr>
            </w:pPr>
            <w:r>
              <w:rPr>
                <w:b/>
                <w:bCs/>
                <w:sz w:val="18"/>
              </w:rPr>
              <w:t>M-A8-EFFECT</w:t>
            </w:r>
          </w:p>
        </w:tc>
        <w:tc>
          <w:tcPr>
            <w:tcW w:w="3772" w:type="dxa"/>
            <w:tcBorders/>
            <w:vAlign w:val="top"/>
            <w:shd w:fill="F7F9FB"/>
          </w:tcPr>
          <w:p>
            <w:pPr>
              <w:pStyle w:val="Normal"/>
              <w:widowControl/>
              <w:bidi w:val="0"/>
              <w:spacing w:lineRule="auto" w:line="240" w:before="0" w:after="40"/>
              <w:jc w:val="start"/>
              <w:rPr/>
            </w:pPr>
            <w:r>
              <w:rPr>
                <w:sz w:val="18"/>
              </w:rPr>
              <w:t>Conditional route-to-effect classification</w:t>
            </w:r>
          </w:p>
        </w:tc>
        <w:tc>
          <w:tcPr>
            <w:tcW w:w="3982" w:type="dxa"/>
            <w:tcBorders/>
            <w:vAlign w:val="top"/>
            <w:shd w:fill="F7F9FB"/>
          </w:tcPr>
          <w:p>
            <w:pPr>
              <w:pStyle w:val="Normal"/>
              <w:widowControl/>
              <w:bidi w:val="0"/>
              <w:spacing w:lineRule="auto" w:line="240" w:before="0" w:after="40"/>
              <w:jc w:val="start"/>
              <w:rPr/>
            </w:pPr>
            <w:r>
              <w:rPr>
                <w:sz w:val="18"/>
              </w:rPr>
              <w:t>A8 / SIA-SPLAT</w:t>
            </w:r>
          </w:p>
        </w:tc>
      </w:tr>
      <w:tr>
        <w:trPr/>
        <w:tc>
          <w:tcPr>
            <w:tcW w:w="1606" w:type="dxa"/>
            <w:tcBorders/>
            <w:vAlign w:val="top"/>
          </w:tcPr>
          <w:p>
            <w:pPr>
              <w:pStyle w:val="Normal"/>
              <w:spacing w:before="0" w:after="40" w:line="240" w:lineRule="auto"/>
              <w:rPr>
                <w:b/>
                <w:bCs/>
              </w:rPr>
            </w:pPr>
            <w:r>
              <w:rPr>
                <w:b/>
                <w:bCs/>
                <w:sz w:val="18"/>
              </w:rPr>
              <w:t>M-A9-QUOT</w:t>
            </w:r>
          </w:p>
        </w:tc>
        <w:tc>
          <w:tcPr>
            <w:tcW w:w="3772" w:type="dxa"/>
            <w:tcBorders/>
            <w:vAlign w:val="top"/>
          </w:tcPr>
          <w:p>
            <w:pPr>
              <w:pStyle w:val="Normal"/>
              <w:widowControl/>
              <w:bidi w:val="0"/>
              <w:spacing w:lineRule="auto" w:line="240" w:before="0" w:after="40"/>
              <w:jc w:val="start"/>
              <w:rPr/>
            </w:pPr>
            <w:r>
              <w:rPr>
                <w:sz w:val="18"/>
              </w:rPr>
              <w:t>Task right-congruence quotient</w:t>
            </w:r>
          </w:p>
        </w:tc>
        <w:tc>
          <w:tcPr>
            <w:tcW w:w="3982" w:type="dxa"/>
            <w:tcBorders/>
            <w:vAlign w:val="top"/>
          </w:tcPr>
          <w:p>
            <w:pPr>
              <w:pStyle w:val="Normal"/>
              <w:widowControl/>
              <w:bidi w:val="0"/>
              <w:spacing w:lineRule="auto" w:line="240" w:before="0" w:after="40"/>
              <w:jc w:val="start"/>
              <w:rPr/>
            </w:pPr>
            <w:r>
              <w:rPr>
                <w:sz w:val="18"/>
              </w:rPr>
              <w:t>A9 / χ</w:t>
            </w:r>
          </w:p>
        </w:tc>
      </w:tr>
      <w:tr>
        <w:trPr/>
        <w:tc>
          <w:tcPr>
            <w:tcW w:w="1606" w:type="dxa"/>
            <w:tcBorders/>
            <w:vAlign w:val="top"/>
            <w:shd w:fill="F7F9FB"/>
          </w:tcPr>
          <w:p>
            <w:pPr>
              <w:pStyle w:val="Normal"/>
              <w:spacing w:before="0" w:after="40" w:line="240" w:lineRule="auto"/>
              <w:rPr>
                <w:b/>
                <w:bCs/>
              </w:rPr>
            </w:pPr>
            <w:r>
              <w:rPr>
                <w:b/>
                <w:bCs/>
                <w:sz w:val="18"/>
              </w:rPr>
              <w:t>M-A9-PSR</w:t>
            </w:r>
          </w:p>
        </w:tc>
        <w:tc>
          <w:tcPr>
            <w:tcW w:w="3772" w:type="dxa"/>
            <w:tcBorders/>
            <w:vAlign w:val="top"/>
            <w:shd w:fill="F7F9FB"/>
          </w:tcPr>
          <w:p>
            <w:pPr>
              <w:pStyle w:val="Normal"/>
              <w:widowControl/>
              <w:bidi w:val="0"/>
              <w:spacing w:lineRule="auto" w:line="240" w:before="0" w:after="40"/>
              <w:jc w:val="start"/>
              <w:rPr/>
            </w:pPr>
            <w:r>
              <w:rPr>
                <w:sz w:val="18"/>
              </w:rPr>
              <w:t>Predictive-state sufficient representation</w:t>
            </w:r>
          </w:p>
        </w:tc>
        <w:tc>
          <w:tcPr>
            <w:tcW w:w="3982" w:type="dxa"/>
            <w:tcBorders/>
            <w:vAlign w:val="top"/>
            <w:shd w:fill="F7F9FB"/>
          </w:tcPr>
          <w:p>
            <w:pPr>
              <w:pStyle w:val="Normal"/>
              <w:widowControl/>
              <w:bidi w:val="0"/>
              <w:spacing w:lineRule="auto" w:line="240" w:before="0" w:after="40"/>
              <w:jc w:val="start"/>
              <w:rPr/>
            </w:pPr>
            <w:r>
              <w:rPr>
                <w:sz w:val="18"/>
              </w:rPr>
              <w:t>A9 probabilistic branch</w:t>
            </w:r>
          </w:p>
        </w:tc>
      </w:tr>
      <w:tr>
        <w:trPr/>
        <w:tc>
          <w:tcPr>
            <w:tcW w:w="1606" w:type="dxa"/>
            <w:tcBorders/>
            <w:vAlign w:val="top"/>
          </w:tcPr>
          <w:p>
            <w:pPr>
              <w:pStyle w:val="Normal"/>
              <w:spacing w:before="0" w:after="40" w:line="240" w:lineRule="auto"/>
              <w:rPr>
                <w:b/>
                <w:bCs/>
              </w:rPr>
            </w:pPr>
            <w:r>
              <w:rPr>
                <w:b/>
                <w:bCs/>
                <w:sz w:val="18"/>
              </w:rPr>
              <w:t>M-A10-PARTIAL</w:t>
            </w:r>
          </w:p>
        </w:tc>
        <w:tc>
          <w:tcPr>
            <w:tcW w:w="3772" w:type="dxa"/>
            <w:tcBorders/>
            <w:vAlign w:val="top"/>
          </w:tcPr>
          <w:p>
            <w:pPr>
              <w:pStyle w:val="Normal"/>
              <w:widowControl/>
              <w:bidi w:val="0"/>
              <w:spacing w:lineRule="auto" w:line="240" w:before="0" w:after="40"/>
              <w:jc w:val="start"/>
              <w:rPr/>
            </w:pPr>
            <w:r>
              <w:rPr>
                <w:sz w:val="18"/>
              </w:rPr>
              <w:t>Partial-frame comparison</w:t>
            </w:r>
          </w:p>
        </w:tc>
        <w:tc>
          <w:tcPr>
            <w:tcW w:w="3982" w:type="dxa"/>
            <w:tcBorders/>
            <w:vAlign w:val="top"/>
          </w:tcPr>
          <w:p>
            <w:pPr>
              <w:pStyle w:val="Normal"/>
              <w:widowControl/>
              <w:bidi w:val="0"/>
              <w:spacing w:lineRule="auto" w:line="240" w:before="0" w:after="40"/>
              <w:jc w:val="start"/>
              <w:rPr/>
            </w:pPr>
            <w:r>
              <w:rPr>
                <w:sz w:val="18"/>
              </w:rPr>
              <w:t>A10 - comparison</w:t>
            </w:r>
          </w:p>
        </w:tc>
      </w:tr>
      <w:tr>
        <w:trPr/>
        <w:tc>
          <w:tcPr>
            <w:tcW w:w="1606" w:type="dxa"/>
            <w:tcBorders/>
            <w:vAlign w:val="top"/>
            <w:shd w:fill="F7F9FB"/>
          </w:tcPr>
          <w:p>
            <w:pPr>
              <w:pStyle w:val="Normal"/>
              <w:spacing w:before="0" w:after="40" w:line="240" w:lineRule="auto"/>
              <w:rPr>
                <w:b/>
                <w:bCs/>
              </w:rPr>
            </w:pPr>
            <w:r>
              <w:rPr>
                <w:b/>
                <w:bCs/>
                <w:sz w:val="18"/>
              </w:rPr>
              <w:t>M-A11-CPL</w:t>
            </w:r>
          </w:p>
        </w:tc>
        <w:tc>
          <w:tcPr>
            <w:tcW w:w="3772" w:type="dxa"/>
            <w:tcBorders/>
            <w:vAlign w:val="top"/>
            <w:shd w:fill="F7F9FB"/>
          </w:tcPr>
          <w:p>
            <w:pPr>
              <w:pStyle w:val="Normal"/>
              <w:widowControl/>
              <w:bidi w:val="0"/>
              <w:spacing w:lineRule="auto" w:line="240" w:before="0" w:after="40"/>
              <w:jc w:val="start"/>
              <w:rPr/>
            </w:pPr>
            <w:r>
              <w:rPr>
                <w:sz w:val="18"/>
              </w:rPr>
              <w:t>Constitutively coupled field</w:t>
            </w:r>
          </w:p>
        </w:tc>
        <w:tc>
          <w:tcPr>
            <w:tcW w:w="3982" w:type="dxa"/>
            <w:tcBorders/>
            <w:vAlign w:val="top"/>
            <w:shd w:fill="F7F9FB"/>
          </w:tcPr>
          <w:p>
            <w:pPr>
              <w:pStyle w:val="Normal"/>
              <w:widowControl/>
              <w:bidi w:val="0"/>
              <w:spacing w:lineRule="auto" w:line="240" w:before="0" w:after="40"/>
              <w:jc w:val="start"/>
              <w:rPr/>
            </w:pPr>
            <w:r>
              <w:rPr>
                <w:sz w:val="18"/>
              </w:rPr>
              <w:t>A11 coupling family</w:t>
            </w:r>
          </w:p>
        </w:tc>
      </w:tr>
      <w:tr>
        <w:trPr/>
        <w:tc>
          <w:tcPr>
            <w:tcW w:w="1606" w:type="dxa"/>
            <w:tcBorders/>
            <w:vAlign w:val="top"/>
          </w:tcPr>
          <w:p>
            <w:pPr>
              <w:pStyle w:val="Normal"/>
              <w:spacing w:before="0" w:after="40" w:line="240" w:lineRule="auto"/>
              <w:rPr>
                <w:b/>
                <w:bCs/>
              </w:rPr>
            </w:pPr>
            <w:r>
              <w:rPr>
                <w:b/>
                <w:bCs/>
                <w:sz w:val="18"/>
              </w:rPr>
              <w:t>M-A11-JNT</w:t>
            </w:r>
          </w:p>
        </w:tc>
        <w:tc>
          <w:tcPr>
            <w:tcW w:w="3772" w:type="dxa"/>
            <w:tcBorders/>
            <w:vAlign w:val="top"/>
          </w:tcPr>
          <w:p>
            <w:pPr>
              <w:pStyle w:val="Normal"/>
              <w:widowControl/>
              <w:bidi w:val="0"/>
              <w:spacing w:lineRule="auto" w:line="240" w:before="0" w:after="40"/>
              <w:jc w:val="start"/>
              <w:rPr/>
            </w:pPr>
            <w:r>
              <w:rPr>
                <w:sz w:val="18"/>
              </w:rPr>
              <w:t>Doctrine-relative jointness with carried flexibility</w:t>
            </w:r>
          </w:p>
        </w:tc>
        <w:tc>
          <w:tcPr>
            <w:tcW w:w="3982" w:type="dxa"/>
            <w:tcBorders/>
            <w:vAlign w:val="top"/>
          </w:tcPr>
          <w:p>
            <w:pPr>
              <w:pStyle w:val="Normal"/>
              <w:widowControl/>
              <w:bidi w:val="0"/>
              <w:spacing w:lineRule="auto" w:line="240" w:before="0" w:after="40"/>
              <w:jc w:val="start"/>
              <w:rPr/>
            </w:pPr>
            <w:r>
              <w:rPr>
                <w:sz w:val="18"/>
              </w:rPr>
              <w:t>A11 jointness family</w:t>
            </w:r>
          </w:p>
        </w:tc>
      </w:tr>
      <w:tr>
        <w:trPr/>
        <w:tc>
          <w:tcPr>
            <w:tcW w:w="1606" w:type="dxa"/>
            <w:tcBorders/>
            <w:vAlign w:val="top"/>
            <w:shd w:fill="F7F9FB"/>
          </w:tcPr>
          <w:p>
            <w:pPr>
              <w:pStyle w:val="Normal"/>
              <w:spacing w:before="0" w:after="40" w:line="240" w:lineRule="auto"/>
              <w:rPr>
                <w:b/>
                <w:bCs/>
              </w:rPr>
            </w:pPr>
            <w:r>
              <w:rPr>
                <w:b/>
                <w:bCs/>
                <w:sz w:val="18"/>
              </w:rPr>
              <w:t>M-A12-LINEAR</w:t>
            </w:r>
          </w:p>
        </w:tc>
        <w:tc>
          <w:tcPr>
            <w:tcW w:w="3772" w:type="dxa"/>
            <w:tcBorders/>
            <w:vAlign w:val="top"/>
            <w:shd w:fill="F7F9FB"/>
          </w:tcPr>
          <w:p>
            <w:pPr>
              <w:pStyle w:val="Normal"/>
              <w:widowControl/>
              <w:bidi w:val="0"/>
              <w:spacing w:lineRule="auto" w:line="240" w:before="0" w:after="40"/>
              <w:jc w:val="start"/>
              <w:rPr/>
            </w:pPr>
            <w:r>
              <w:rPr>
                <w:sz w:val="18"/>
              </w:rPr>
              <w:t>Single-lineage linear token automaton</w:t>
            </w:r>
          </w:p>
        </w:tc>
        <w:tc>
          <w:tcPr>
            <w:tcW w:w="3982" w:type="dxa"/>
            <w:tcBorders/>
            <w:vAlign w:val="top"/>
            <w:shd w:fill="F7F9FB"/>
          </w:tcPr>
          <w:p>
            <w:pPr>
              <w:pStyle w:val="Normal"/>
              <w:widowControl/>
              <w:bidi w:val="0"/>
              <w:spacing w:lineRule="auto" w:line="240" w:before="0" w:after="40"/>
              <w:jc w:val="start"/>
              <w:rPr/>
            </w:pPr>
            <w:r>
              <w:rPr>
                <w:sz w:val="18"/>
              </w:rPr>
              <w:t>A12 - safe re-entry</w:t>
            </w:r>
          </w:p>
        </w:tc>
      </w:tr>
      <w:tr>
        <w:trPr/>
        <w:tc>
          <w:tcPr>
            <w:tcW w:w="1606" w:type="dxa"/>
            <w:tcBorders/>
            <w:vAlign w:val="top"/>
          </w:tcPr>
          <w:p>
            <w:pPr>
              <w:pStyle w:val="Normal"/>
              <w:spacing w:before="0" w:after="40" w:line="240" w:lineRule="auto"/>
              <w:rPr>
                <w:b/>
                <w:bCs/>
              </w:rPr>
            </w:pPr>
            <w:r>
              <w:rPr>
                <w:b/>
                <w:bCs/>
                <w:sz w:val="18"/>
              </w:rPr>
              <w:t>M-A13-RANK</w:t>
            </w:r>
          </w:p>
        </w:tc>
        <w:tc>
          <w:tcPr>
            <w:tcW w:w="3772" w:type="dxa"/>
            <w:tcBorders/>
            <w:vAlign w:val="top"/>
          </w:tcPr>
          <w:p>
            <w:pPr>
              <w:pStyle w:val="Normal"/>
              <w:widowControl/>
              <w:bidi w:val="0"/>
              <w:spacing w:lineRule="auto" w:line="240" w:before="0" w:after="40"/>
              <w:jc w:val="start"/>
              <w:rPr/>
            </w:pPr>
            <w:r>
              <w:rPr>
                <w:sz w:val="18"/>
              </w:rPr>
              <w:t>Well-founded rank cadence</w:t>
            </w:r>
          </w:p>
        </w:tc>
        <w:tc>
          <w:tcPr>
            <w:tcW w:w="3982" w:type="dxa"/>
            <w:tcBorders/>
            <w:vAlign w:val="top"/>
          </w:tcPr>
          <w:p>
            <w:pPr>
              <w:pStyle w:val="Normal"/>
              <w:widowControl/>
              <w:bidi w:val="0"/>
              <w:spacing w:lineRule="auto" w:line="240" w:before="0" w:after="40"/>
              <w:jc w:val="start"/>
              <w:rPr/>
            </w:pPr>
            <w:r>
              <w:rPr>
                <w:sz w:val="18"/>
              </w:rPr>
              <w:t>A13 rank family</w:t>
            </w:r>
          </w:p>
        </w:tc>
      </w:tr>
      <w:tr>
        <w:trPr/>
        <w:tc>
          <w:tcPr>
            <w:tcW w:w="1606" w:type="dxa"/>
            <w:tcBorders/>
            <w:vAlign w:val="top"/>
            <w:shd w:fill="F7F9FB"/>
          </w:tcPr>
          <w:p>
            <w:pPr>
              <w:pStyle w:val="Normal"/>
              <w:spacing w:before="0" w:after="40" w:line="240" w:lineRule="auto"/>
              <w:rPr>
                <w:b/>
                <w:bCs/>
              </w:rPr>
            </w:pPr>
            <w:r>
              <w:rPr>
                <w:b/>
                <w:bCs/>
                <w:sz w:val="18"/>
              </w:rPr>
              <w:t>M-A13-LIVE</w:t>
            </w:r>
          </w:p>
        </w:tc>
        <w:tc>
          <w:tcPr>
            <w:tcW w:w="3772" w:type="dxa"/>
            <w:tcBorders/>
            <w:vAlign w:val="top"/>
            <w:shd w:fill="F7F9FB"/>
          </w:tcPr>
          <w:p>
            <w:pPr>
              <w:pStyle w:val="Normal"/>
              <w:widowControl/>
              <w:bidi w:val="0"/>
              <w:spacing w:lineRule="auto" w:line="240" w:before="0" w:after="40"/>
              <w:jc w:val="start"/>
              <w:rPr/>
            </w:pPr>
            <w:r>
              <w:rPr>
                <w:sz w:val="18"/>
              </w:rPr>
              <w:t>Fair-liveness cadence</w:t>
            </w:r>
          </w:p>
        </w:tc>
        <w:tc>
          <w:tcPr>
            <w:tcW w:w="3982" w:type="dxa"/>
            <w:tcBorders/>
            <w:vAlign w:val="top"/>
            <w:shd w:fill="F7F9FB"/>
          </w:tcPr>
          <w:p>
            <w:pPr>
              <w:pStyle w:val="Normal"/>
              <w:widowControl/>
              <w:bidi w:val="0"/>
              <w:spacing w:lineRule="auto" w:line="240" w:before="0" w:after="40"/>
              <w:jc w:val="start"/>
              <w:rPr/>
            </w:pPr>
            <w:r>
              <w:rPr>
                <w:sz w:val="18"/>
              </w:rPr>
              <w:t>A13 liveness family</w:t>
            </w:r>
          </w:p>
        </w:tc>
      </w:tr>
      <w:tr>
        <w:trPr/>
        <w:tc>
          <w:tcPr>
            <w:tcW w:w="1606" w:type="dxa"/>
            <w:tcBorders/>
            <w:vAlign w:val="top"/>
          </w:tcPr>
          <w:p>
            <w:pPr>
              <w:pStyle w:val="Normal"/>
              <w:spacing w:before="0" w:after="40" w:line="240" w:lineRule="auto"/>
              <w:rPr>
                <w:b/>
                <w:bCs/>
              </w:rPr>
            </w:pPr>
            <w:r>
              <w:rPr>
                <w:b/>
                <w:bCs/>
                <w:sz w:val="18"/>
              </w:rPr>
              <w:t>M-A14-SLACK</w:t>
            </w:r>
          </w:p>
        </w:tc>
        <w:tc>
          <w:tcPr>
            <w:tcW w:w="3772" w:type="dxa"/>
            <w:tcBorders/>
            <w:vAlign w:val="top"/>
          </w:tcPr>
          <w:p>
            <w:pPr>
              <w:pStyle w:val="Normal"/>
              <w:widowControl/>
              <w:bidi w:val="0"/>
              <w:spacing w:lineRule="auto" w:line="240" w:before="0" w:after="40"/>
              <w:jc w:val="start"/>
              <w:rPr/>
            </w:pPr>
            <w:r>
              <w:rPr>
                <w:sz w:val="18"/>
              </w:rPr>
              <w:t>Scalar or interval slack</w:t>
            </w:r>
          </w:p>
        </w:tc>
        <w:tc>
          <w:tcPr>
            <w:tcW w:w="3982" w:type="dxa"/>
            <w:tcBorders/>
            <w:vAlign w:val="top"/>
          </w:tcPr>
          <w:p>
            <w:pPr>
              <w:pStyle w:val="Normal"/>
              <w:widowControl/>
              <w:bidi w:val="0"/>
              <w:spacing w:lineRule="auto" w:line="240" w:before="0" w:after="40"/>
              <w:jc w:val="start"/>
              <w:rPr/>
            </w:pPr>
            <w:r>
              <w:rPr>
                <w:sz w:val="18"/>
              </w:rPr>
              <w:t>A14 - quantitative slack</w:t>
            </w:r>
          </w:p>
        </w:tc>
      </w:tr>
      <w:tr>
        <w:trPr/>
        <w:tc>
          <w:tcPr>
            <w:tcW w:w="1606" w:type="dxa"/>
            <w:tcBorders/>
            <w:vAlign w:val="top"/>
            <w:shd w:fill="F7F9FB"/>
          </w:tcPr>
          <w:p>
            <w:pPr>
              <w:pStyle w:val="Normal"/>
              <w:spacing w:before="0" w:after="40" w:line="240" w:lineRule="auto"/>
              <w:rPr>
                <w:b/>
                <w:bCs/>
              </w:rPr>
            </w:pPr>
            <w:r>
              <w:rPr>
                <w:b/>
                <w:bCs/>
                <w:sz w:val="18"/>
              </w:rPr>
              <w:t>M-A15-CHECK</w:t>
            </w:r>
          </w:p>
        </w:tc>
        <w:tc>
          <w:tcPr>
            <w:tcW w:w="3772" w:type="dxa"/>
            <w:tcBorders/>
            <w:vAlign w:val="top"/>
            <w:shd w:fill="F7F9FB"/>
          </w:tcPr>
          <w:p>
            <w:pPr>
              <w:pStyle w:val="Normal"/>
              <w:widowControl/>
              <w:bidi w:val="0"/>
              <w:spacing w:lineRule="auto" w:line="240" w:before="0" w:after="40"/>
              <w:jc w:val="start"/>
              <w:rPr/>
            </w:pPr>
            <w:r>
              <w:rPr>
                <w:sz w:val="18"/>
              </w:rPr>
              <w:t>Proof-checker-relative closure</w:t>
            </w:r>
          </w:p>
        </w:tc>
        <w:tc>
          <w:tcPr>
            <w:tcW w:w="3982" w:type="dxa"/>
            <w:tcBorders/>
            <w:vAlign w:val="top"/>
            <w:shd w:fill="F7F9FB"/>
          </w:tcPr>
          <w:p>
            <w:pPr>
              <w:pStyle w:val="Normal"/>
              <w:widowControl/>
              <w:bidi w:val="0"/>
              <w:spacing w:lineRule="auto" w:line="240" w:before="0" w:after="40"/>
              <w:jc w:val="start"/>
              <w:rPr/>
            </w:pPr>
            <w:r>
              <w:rPr>
                <w:sz w:val="18"/>
              </w:rPr>
              <w:t>A15 receipt family</w:t>
            </w:r>
          </w:p>
        </w:tc>
      </w:tr>
      <w:tr>
        <w:trPr/>
        <w:tc>
          <w:tcPr>
            <w:tcW w:w="1606" w:type="dxa"/>
            <w:tcBorders/>
            <w:vAlign w:val="top"/>
          </w:tcPr>
          <w:p>
            <w:pPr>
              <w:pStyle w:val="Normal"/>
              <w:spacing w:before="0" w:after="40" w:line="240" w:lineRule="auto"/>
              <w:rPr>
                <w:b/>
                <w:bCs/>
              </w:rPr>
            </w:pPr>
            <w:r>
              <w:rPr>
                <w:b/>
                <w:bCs/>
                <w:sz w:val="18"/>
              </w:rPr>
              <w:t>M-A15-ROUTE</w:t>
            </w:r>
          </w:p>
        </w:tc>
        <w:tc>
          <w:tcPr>
            <w:tcW w:w="3772" w:type="dxa"/>
            <w:tcBorders/>
            <w:vAlign w:val="top"/>
          </w:tcPr>
          <w:p>
            <w:pPr>
              <w:pStyle w:val="Normal"/>
              <w:widowControl/>
              <w:bidi w:val="0"/>
              <w:spacing w:lineRule="auto" w:line="240" w:before="0" w:after="40"/>
              <w:jc w:val="start"/>
              <w:rPr/>
            </w:pPr>
            <w:r>
              <w:rPr>
                <w:sz w:val="18"/>
              </w:rPr>
              <w:t>Route-relative invariant closure</w:t>
            </w:r>
          </w:p>
        </w:tc>
        <w:tc>
          <w:tcPr>
            <w:tcW w:w="3982" w:type="dxa"/>
            <w:tcBorders/>
            <w:vAlign w:val="top"/>
          </w:tcPr>
          <w:p>
            <w:pPr>
              <w:pStyle w:val="Normal"/>
              <w:widowControl/>
              <w:bidi w:val="0"/>
              <w:spacing w:lineRule="auto" w:line="240" w:before="0" w:after="40"/>
              <w:jc w:val="start"/>
              <w:rPr/>
            </w:pPr>
            <w:r>
              <w:rPr>
                <w:sz w:val="18"/>
              </w:rPr>
              <w:t>A15 receipt family</w:t>
            </w:r>
          </w:p>
        </w:tc>
      </w:tr>
      <w:tr>
        <w:trPr/>
        <w:tc>
          <w:tcPr>
            <w:tcW w:w="1606" w:type="dxa"/>
            <w:tcBorders/>
            <w:vAlign w:val="top"/>
            <w:shd w:fill="F7F9FB"/>
          </w:tcPr>
          <w:p>
            <w:pPr>
              <w:pStyle w:val="Normal"/>
              <w:spacing w:before="0" w:after="40" w:line="240" w:lineRule="auto"/>
              <w:rPr>
                <w:b/>
                <w:bCs/>
              </w:rPr>
            </w:pPr>
            <w:r>
              <w:rPr>
                <w:b/>
                <w:bCs/>
                <w:sz w:val="18"/>
              </w:rPr>
              <w:t>M-A0-SCOPED-FIRST</w:t>
            </w:r>
          </w:p>
        </w:tc>
        <w:tc>
          <w:tcPr>
            <w:tcW w:w="3772" w:type="dxa"/>
            <w:tcBorders/>
            <w:vAlign w:val="top"/>
            <w:shd w:fill="F7F9FB"/>
          </w:tcPr>
          <w:p>
            <w:pPr>
              <w:pStyle w:val="Normal"/>
              <w:widowControl/>
              <w:bidi w:val="0"/>
              <w:spacing w:lineRule="auto" w:line="240" w:before="0" w:after="40"/>
              <w:jc w:val="start"/>
              <w:rPr/>
            </w:pPr>
            <w:r>
              <w:rPr>
                <w:sz w:val="18"/>
              </w:rPr>
              <w:t>Scoped firstness without global promotion</w:t>
            </w:r>
          </w:p>
        </w:tc>
        <w:tc>
          <w:tcPr>
            <w:tcW w:w="3982" w:type="dxa"/>
            <w:tcBorders/>
            <w:vAlign w:val="top"/>
            <w:shd w:fill="F7F9FB"/>
          </w:tcPr>
          <w:p>
            <w:pPr>
              <w:pStyle w:val="Normal"/>
              <w:widowControl/>
              <w:bidi w:val="0"/>
              <w:spacing w:lineRule="auto" w:line="240" w:before="0" w:after="40"/>
              <w:jc w:val="start"/>
              <w:rPr/>
            </w:pPr>
            <w:r>
              <w:rPr>
                <w:sz w:val="18"/>
              </w:rPr>
              <w:t>A0 account order / SC-19.1 and SC-19.4</w:t>
            </w:r>
          </w:p>
        </w:tc>
      </w:tr>
      <w:tr>
        <w:trPr/>
        <w:tc>
          <w:tcPr>
            <w:tcW w:w="1606" w:type="dxa"/>
            <w:tcBorders/>
            <w:vAlign w:val="top"/>
          </w:tcPr>
          <w:p>
            <w:pPr>
              <w:pStyle w:val="Normal"/>
              <w:spacing w:before="0" w:after="40" w:line="240" w:lineRule="auto"/>
              <w:rPr>
                <w:b/>
                <w:bCs/>
              </w:rPr>
            </w:pPr>
            <w:r>
              <w:rPr>
                <w:b/>
                <w:bCs/>
                <w:sz w:val="18"/>
              </w:rPr>
              <w:t>M-SOURCE-FIBER</w:t>
            </w:r>
          </w:p>
        </w:tc>
        <w:tc>
          <w:tcPr>
            <w:tcW w:w="3772" w:type="dxa"/>
            <w:tcBorders/>
            <w:vAlign w:val="top"/>
          </w:tcPr>
          <w:p>
            <w:pPr>
              <w:pStyle w:val="Normal"/>
              <w:widowControl/>
              <w:bidi w:val="0"/>
              <w:spacing w:lineRule="auto" w:line="240" w:before="0" w:after="40"/>
              <w:jc w:val="start"/>
              <w:rPr/>
            </w:pPr>
            <w:r>
              <w:rPr>
                <w:sz w:val="18"/>
              </w:rPr>
              <w:t>Cut-only source underdetermination</w:t>
            </w:r>
          </w:p>
        </w:tc>
        <w:tc>
          <w:tcPr>
            <w:tcW w:w="3982" w:type="dxa"/>
            <w:tcBorders/>
            <w:vAlign w:val="top"/>
          </w:tcPr>
          <w:p>
            <w:pPr>
              <w:pStyle w:val="Normal"/>
              <w:widowControl/>
              <w:bidi w:val="0"/>
              <w:spacing w:lineRule="auto" w:line="240" w:before="0" w:after="40"/>
              <w:jc w:val="start"/>
              <w:rPr/>
            </w:pPr>
            <w:r>
              <w:rPr>
                <w:sz w:val="18"/>
              </w:rPr>
              <w:t>A0 source ceiling / SC-19.3 and SC-19.6</w:t>
            </w:r>
          </w:p>
        </w:tc>
      </w:tr>
      <w:tr>
        <w:trPr/>
        <w:tc>
          <w:tcPr>
            <w:tcW w:w="1606" w:type="dxa"/>
            <w:tcBorders/>
            <w:vAlign w:val="top"/>
            <w:shd w:fill="F7F9FB"/>
          </w:tcPr>
          <w:p>
            <w:pPr>
              <w:pStyle w:val="Normal"/>
              <w:spacing w:before="0" w:after="40" w:line="240" w:lineRule="auto"/>
              <w:rPr>
                <w:b/>
                <w:bCs/>
              </w:rPr>
            </w:pPr>
            <w:r>
              <w:rPr>
                <w:b/>
                <w:bCs/>
                <w:sz w:val="18"/>
              </w:rPr>
              <w:t>M-A2-HISTORY</w:t>
            </w:r>
          </w:p>
        </w:tc>
        <w:tc>
          <w:tcPr>
            <w:tcW w:w="3772" w:type="dxa"/>
            <w:tcBorders/>
            <w:vAlign w:val="top"/>
            <w:shd w:fill="F7F9FB"/>
          </w:tcPr>
          <w:p>
            <w:pPr>
              <w:pStyle w:val="Normal"/>
              <w:widowControl/>
              <w:bidi w:val="0"/>
              <w:spacing w:lineRule="auto" w:line="240" w:before="0" w:after="40"/>
              <w:jc w:val="start"/>
              <w:rPr/>
            </w:pPr>
            <w:r>
              <w:rPr>
                <w:sz w:val="18"/>
              </w:rPr>
              <w:t>Recoverable occurrence without current activity</w:t>
            </w:r>
          </w:p>
        </w:tc>
        <w:tc>
          <w:tcPr>
            <w:tcW w:w="3982" w:type="dxa"/>
            <w:tcBorders/>
            <w:vAlign w:val="top"/>
            <w:shd w:fill="F7F9FB"/>
          </w:tcPr>
          <w:p>
            <w:pPr>
              <w:pStyle w:val="Normal"/>
              <w:widowControl/>
              <w:bidi w:val="0"/>
              <w:spacing w:lineRule="auto" w:line="240" w:before="0" w:after="40"/>
              <w:jc w:val="start"/>
              <w:rPr/>
            </w:pPr>
            <w:r>
              <w:rPr>
                <w:sz w:val="18"/>
              </w:rPr>
              <w:t>A1/A2 occurrence history / SC-19.3</w:t>
            </w:r>
          </w:p>
        </w:tc>
      </w:tr>
      <w:tr>
        <w:trPr/>
        <w:tc>
          <w:tcPr>
            <w:tcW w:w="1606" w:type="dxa"/>
            <w:tcBorders/>
            <w:vAlign w:val="top"/>
          </w:tcPr>
          <w:p>
            <w:pPr>
              <w:pStyle w:val="Normal"/>
              <w:spacing w:before="0" w:after="40" w:line="240" w:lineRule="auto"/>
              <w:rPr>
                <w:b/>
                <w:bCs/>
              </w:rPr>
            </w:pPr>
            <w:r>
              <w:rPr>
                <w:b/>
                <w:bCs/>
                <w:sz w:val="18"/>
              </w:rPr>
              <w:t>M-INQUIRY-APPEND</w:t>
            </w:r>
          </w:p>
        </w:tc>
        <w:tc>
          <w:tcPr>
            <w:tcW w:w="3772" w:type="dxa"/>
            <w:tcBorders/>
            <w:vAlign w:val="top"/>
          </w:tcPr>
          <w:p>
            <w:pPr>
              <w:pStyle w:val="Normal"/>
              <w:widowControl/>
              <w:bidi w:val="0"/>
              <w:spacing w:lineRule="auto" w:line="240" w:before="0" w:after="40"/>
              <w:jc w:val="start"/>
              <w:rPr/>
            </w:pPr>
            <w:r>
              <w:rPr>
                <w:sz w:val="18"/>
              </w:rPr>
              <w:t>Append-only inquiry and recovery evidence</w:t>
            </w:r>
          </w:p>
        </w:tc>
        <w:tc>
          <w:tcPr>
            <w:tcW w:w="3982" w:type="dxa"/>
            <w:tcBorders/>
            <w:vAlign w:val="top"/>
          </w:tcPr>
          <w:p>
            <w:pPr>
              <w:pStyle w:val="Normal"/>
              <w:widowControl/>
              <w:bidi w:val="0"/>
              <w:spacing w:lineRule="auto" w:line="240" w:before="0" w:after="40"/>
              <w:jc w:val="start"/>
              <w:rPr/>
            </w:pPr>
            <w:r>
              <w:rPr>
                <w:sz w:val="18"/>
              </w:rPr>
              <w:t>Further inquiry and protected history / SC-19.5, .7, .8</w:t>
            </w:r>
          </w:p>
        </w:tc>
      </w:tr>
      <w:tr>
        <w:trPr/>
        <w:tc>
          <w:tcPr>
            <w:tcW w:w="1606" w:type="dxa"/>
            <w:tcBorders/>
            <w:vAlign w:val="top"/>
            <w:shd w:fill="F7F9FB"/>
          </w:tcPr>
          <w:p>
            <w:pPr>
              <w:pStyle w:val="Normal"/>
              <w:spacing w:before="0" w:after="40" w:line="240" w:lineRule="auto"/>
              <w:rPr>
                <w:b/>
                <w:bCs/>
              </w:rPr>
            </w:pPr>
            <w:r>
              <w:rPr>
                <w:b/>
                <w:bCs/>
                <w:sz w:val="18"/>
              </w:rPr>
              <w:t>M-ONE-UNDERDET</w:t>
            </w:r>
          </w:p>
        </w:tc>
        <w:tc>
          <w:tcPr>
            <w:tcW w:w="3772" w:type="dxa"/>
            <w:tcBorders/>
            <w:vAlign w:val="top"/>
            <w:shd w:fill="F7F9FB"/>
          </w:tcPr>
          <w:p>
            <w:pPr>
              <w:pStyle w:val="Normal"/>
              <w:widowControl/>
              <w:bidi w:val="0"/>
              <w:spacing w:lineRule="auto" w:line="240" w:before="0" w:after="40"/>
              <w:jc w:val="start"/>
              <w:rPr/>
            </w:pPr>
            <w:r>
              <w:rPr>
                <w:sz w:val="18"/>
              </w:rPr>
              <w:t>Ordinary 1 and model-choice underdetermination</w:t>
            </w:r>
          </w:p>
        </w:tc>
        <w:tc>
          <w:tcPr>
            <w:tcW w:w="3982" w:type="dxa"/>
            <w:tcBorders/>
            <w:vAlign w:val="top"/>
            <w:shd w:fill="F7F9FB"/>
          </w:tcPr>
          <w:p>
            <w:pPr>
              <w:pStyle w:val="Normal"/>
              <w:widowControl/>
              <w:bidi w:val="0"/>
              <w:spacing w:lineRule="auto" w:line="240" w:before="0" w:after="40"/>
              <w:jc w:val="start"/>
              <w:rPr/>
            </w:pPr>
            <w:r>
              <w:rPr>
                <w:sz w:val="18"/>
              </w:rPr>
              <w:t>Bounded model-choice distinction</w:t>
            </w:r>
          </w:p>
        </w:tc>
      </w:tr>
      <w:tr>
        <w:trPr/>
        <w:tc>
          <w:tcPr>
            <w:tcW w:w="1606" w:type="dxa"/>
            <w:tcBorders/>
            <w:vAlign w:val="top"/>
          </w:tcPr>
          <w:p>
            <w:pPr>
              <w:pStyle w:val="Normal"/>
              <w:spacing w:before="0" w:after="40" w:line="240" w:lineRule="auto"/>
              <w:rPr>
                <w:b/>
                <w:bCs/>
              </w:rPr>
            </w:pPr>
            <w:r>
              <w:rPr>
                <w:b/>
                <w:bCs/>
                <w:sz w:val="18"/>
              </w:rPr>
              <w:t>M-GEN-COVER</w:t>
            </w:r>
          </w:p>
        </w:tc>
        <w:tc>
          <w:tcPr>
            <w:tcW w:w="3772" w:type="dxa"/>
            <w:tcBorders/>
            <w:vAlign w:val="top"/>
          </w:tcPr>
          <w:p>
            <w:pPr>
              <w:pStyle w:val="Normal"/>
              <w:widowControl/>
              <w:bidi w:val="0"/>
              <w:spacing w:lineRule="auto" w:line="240" w:before="0" w:after="40"/>
              <w:jc w:val="start"/>
              <w:rPr/>
            </w:pPr>
            <w:r>
              <w:rPr>
                <w:sz w:val="18"/>
              </w:rPr>
              <w:t>Generator image and coverage firewall</w:t>
            </w:r>
          </w:p>
        </w:tc>
        <w:tc>
          <w:tcPr>
            <w:tcW w:w="3982" w:type="dxa"/>
            <w:tcBorders/>
            <w:vAlign w:val="top"/>
          </w:tcPr>
          <w:p>
            <w:pPr>
              <w:pStyle w:val="Normal"/>
              <w:widowControl/>
              <w:bidi w:val="0"/>
              <w:spacing w:lineRule="auto" w:line="240" w:before="0" w:after="40"/>
              <w:jc w:val="start"/>
              <w:rPr/>
            </w:pPr>
            <w:r>
              <w:rPr>
                <w:sz w:val="18"/>
              </w:rPr>
              <w:t>A6/A15 generator coverage</w:t>
            </w:r>
          </w:p>
        </w:tc>
      </w:tr>
      <w:tr>
        <w:trPr/>
        <w:tc>
          <w:tcPr>
            <w:tcW w:w="1606" w:type="dxa"/>
            <w:tcBorders/>
            <w:vAlign w:val="top"/>
            <w:shd w:fill="F7F9FB"/>
          </w:tcPr>
          <w:p>
            <w:pPr>
              <w:pStyle w:val="Normal"/>
              <w:spacing w:before="0" w:after="40" w:line="240" w:lineRule="auto"/>
              <w:rPr>
                <w:b/>
                <w:bCs/>
              </w:rPr>
            </w:pPr>
            <w:r>
              <w:rPr>
                <w:b/>
                <w:bCs/>
                <w:sz w:val="18"/>
              </w:rPr>
              <w:t>M-COMP-NOHIDE</w:t>
            </w:r>
          </w:p>
        </w:tc>
        <w:tc>
          <w:tcPr>
            <w:tcW w:w="3772" w:type="dxa"/>
            <w:tcBorders/>
            <w:vAlign w:val="top"/>
            <w:shd w:fill="F7F9FB"/>
          </w:tcPr>
          <w:p>
            <w:pPr>
              <w:pStyle w:val="Normal"/>
              <w:widowControl/>
              <w:bidi w:val="0"/>
              <w:spacing w:lineRule="auto" w:line="240" w:before="0" w:after="40"/>
              <w:jc w:val="start"/>
              <w:rPr/>
            </w:pPr>
            <w:r>
              <w:rPr>
                <w:sz w:val="18"/>
              </w:rPr>
              <w:t>Completion, compression, and dynamic no-hiding</w:t>
            </w:r>
          </w:p>
        </w:tc>
        <w:tc>
          <w:tcPr>
            <w:tcW w:w="3982" w:type="dxa"/>
            <w:tcBorders/>
            <w:vAlign w:val="top"/>
            <w:shd w:fill="F7F9FB"/>
          </w:tcPr>
          <w:p>
            <w:pPr>
              <w:pStyle w:val="Normal"/>
              <w:widowControl/>
              <w:bidi w:val="0"/>
              <w:spacing w:lineRule="auto" w:line="240" w:before="0" w:after="40"/>
              <w:jc w:val="start"/>
              <w:rPr/>
            </w:pPr>
            <w:r>
              <w:rPr>
                <w:sz w:val="18"/>
              </w:rPr>
              <w:t>A6/A11/A15 completion discipline</w:t>
            </w:r>
          </w:p>
        </w:tc>
      </w:tr>
      <w:tr>
        <w:trPr/>
        <w:tc>
          <w:tcPr>
            <w:tcW w:w="1606" w:type="dxa"/>
            <w:tcBorders/>
            <w:vAlign w:val="top"/>
          </w:tcPr>
          <w:p>
            <w:pPr>
              <w:pStyle w:val="Normal"/>
              <w:spacing w:before="0" w:after="40" w:line="240" w:lineRule="auto"/>
              <w:rPr>
                <w:b/>
                <w:bCs/>
              </w:rPr>
            </w:pPr>
            <w:r>
              <w:rPr>
                <w:b/>
                <w:bCs/>
                <w:sz w:val="18"/>
              </w:rPr>
              <w:t>M-A1-QSPLIT</w:t>
            </w:r>
          </w:p>
        </w:tc>
        <w:tc>
          <w:tcPr>
            <w:tcW w:w="3772" w:type="dxa"/>
            <w:tcBorders/>
            <w:vAlign w:val="top"/>
          </w:tcPr>
          <w:p>
            <w:pPr>
              <w:pStyle w:val="Normal"/>
              <w:widowControl/>
              <w:bidi w:val="0"/>
              <w:spacing w:lineRule="auto" w:line="240" w:before="0" w:after="40"/>
              <w:jc w:val="start"/>
              <w:rPr/>
            </w:pPr>
            <w:r>
              <w:rPr>
                <w:sz w:val="18"/>
              </w:rPr>
              <w:t>Resolution-qualified asymmetric split</w:t>
            </w:r>
          </w:p>
        </w:tc>
        <w:tc>
          <w:tcPr>
            <w:tcW w:w="3982" w:type="dxa"/>
            <w:tcBorders/>
            <w:vAlign w:val="top"/>
          </w:tcPr>
          <w:p>
            <w:pPr>
              <w:pStyle w:val="Normal"/>
              <w:widowControl/>
              <w:bidi w:val="0"/>
              <w:spacing w:lineRule="auto" w:line="240" w:before="0" w:after="40"/>
              <w:jc w:val="start"/>
              <w:rPr/>
            </w:pPr>
            <w:r>
              <w:rPr>
                <w:sz w:val="18"/>
              </w:rPr>
              <w:t>A1 readable asymmetry</w:t>
            </w:r>
          </w:p>
        </w:tc>
      </w:tr>
      <w:tr>
        <w:trPr/>
        <w:tc>
          <w:tcPr>
            <w:tcW w:w="1606" w:type="dxa"/>
            <w:tcBorders/>
            <w:vAlign w:val="top"/>
            <w:shd w:fill="F7F9FB"/>
          </w:tcPr>
          <w:p>
            <w:pPr>
              <w:pStyle w:val="Normal"/>
              <w:spacing w:before="0" w:after="40" w:line="240" w:lineRule="auto"/>
              <w:rPr>
                <w:b/>
                <w:bCs/>
              </w:rPr>
            </w:pPr>
            <w:r>
              <w:rPr>
                <w:b/>
                <w:bCs/>
                <w:sz w:val="18"/>
              </w:rPr>
              <w:t>M-INTERFACE-FIBER</w:t>
            </w:r>
          </w:p>
        </w:tc>
        <w:tc>
          <w:tcPr>
            <w:tcW w:w="3772" w:type="dxa"/>
            <w:tcBorders/>
            <w:vAlign w:val="top"/>
            <w:shd w:fill="F7F9FB"/>
          </w:tcPr>
          <w:p>
            <w:pPr>
              <w:pStyle w:val="Normal"/>
              <w:widowControl/>
              <w:bidi w:val="0"/>
              <w:spacing w:lineRule="auto" w:line="240" w:before="0" w:after="40"/>
              <w:jc w:val="start"/>
              <w:rPr/>
            </w:pPr>
            <w:r>
              <w:rPr>
                <w:sz w:val="18"/>
              </w:rPr>
              <w:t>Reachable-image factorization and lost distinctions</w:t>
            </w:r>
          </w:p>
        </w:tc>
        <w:tc>
          <w:tcPr>
            <w:tcW w:w="3982" w:type="dxa"/>
            <w:tcBorders/>
            <w:vAlign w:val="top"/>
            <w:shd w:fill="F7F9FB"/>
          </w:tcPr>
          <w:p>
            <w:pPr>
              <w:pStyle w:val="Normal"/>
              <w:widowControl/>
              <w:bidi w:val="0"/>
              <w:spacing w:lineRule="auto" w:line="240" w:before="0" w:after="40"/>
              <w:jc w:val="start"/>
              <w:rPr/>
            </w:pPr>
            <w:r>
              <w:rPr>
                <w:sz w:val="18"/>
              </w:rPr>
              <w:t>Typed interfaces across A1/A2/A9/A15</w:t>
            </w:r>
          </w:p>
        </w:tc>
      </w:tr>
      <w:tr>
        <w:trPr/>
        <w:tc>
          <w:tcPr>
            <w:tcW w:w="1606" w:type="dxa"/>
            <w:tcBorders/>
            <w:vAlign w:val="top"/>
          </w:tcPr>
          <w:p>
            <w:pPr>
              <w:pStyle w:val="Normal"/>
              <w:spacing w:before="0" w:after="40" w:line="240" w:lineRule="auto"/>
              <w:rPr>
                <w:b/>
                <w:bCs/>
              </w:rPr>
            </w:pPr>
            <w:r>
              <w:rPr>
                <w:b/>
                <w:bCs/>
                <w:sz w:val="18"/>
              </w:rPr>
              <w:t>M-RETURN-PROJ</w:t>
            </w:r>
          </w:p>
        </w:tc>
        <w:tc>
          <w:tcPr>
            <w:tcW w:w="3772" w:type="dxa"/>
            <w:tcBorders/>
            <w:vAlign w:val="top"/>
          </w:tcPr>
          <w:p>
            <w:pPr>
              <w:pStyle w:val="Normal"/>
              <w:widowControl/>
              <w:bidi w:val="0"/>
              <w:spacing w:lineRule="auto" w:line="240" w:before="0" w:after="40"/>
              <w:jc w:val="start"/>
              <w:rPr/>
            </w:pPr>
            <w:r>
              <w:rPr>
                <w:sz w:val="18"/>
              </w:rPr>
              <w:t>Return, projection, hidden motion, and export</w:t>
            </w:r>
          </w:p>
        </w:tc>
        <w:tc>
          <w:tcPr>
            <w:tcW w:w="3982" w:type="dxa"/>
            <w:tcBorders/>
            <w:vAlign w:val="top"/>
          </w:tcPr>
          <w:p>
            <w:pPr>
              <w:pStyle w:val="Normal"/>
              <w:widowControl/>
              <w:bidi w:val="0"/>
              <w:spacing w:lineRule="auto" w:line="240" w:before="0" w:after="40"/>
              <w:jc w:val="start"/>
              <w:rPr/>
            </w:pPr>
            <w:r>
              <w:rPr>
                <w:sz w:val="18"/>
              </w:rPr>
              <w:t>A5/A12/A13/A15 as declared</w:t>
            </w:r>
          </w:p>
        </w:tc>
      </w:tr>
      <w:tr>
        <w:trPr/>
        <w:tc>
          <w:tcPr>
            <w:tcW w:w="1606" w:type="dxa"/>
            <w:tcBorders/>
            <w:vAlign w:val="top"/>
            <w:shd w:fill="F7F9FB"/>
          </w:tcPr>
          <w:p>
            <w:pPr>
              <w:pStyle w:val="Normal"/>
              <w:spacing w:before="0" w:after="40" w:line="240" w:lineRule="auto"/>
              <w:rPr>
                <w:b/>
                <w:bCs/>
              </w:rPr>
            </w:pPr>
            <w:r>
              <w:rPr>
                <w:b/>
                <w:bCs/>
                <w:sz w:val="18"/>
              </w:rPr>
              <w:t>M-A2-TRACE-LIFT</w:t>
            </w:r>
          </w:p>
        </w:tc>
        <w:tc>
          <w:tcPr>
            <w:tcW w:w="3772" w:type="dxa"/>
            <w:tcBorders/>
            <w:vAlign w:val="top"/>
            <w:shd w:fill="F7F9FB"/>
          </w:tcPr>
          <w:p>
            <w:pPr>
              <w:pStyle w:val="Normal"/>
              <w:widowControl/>
              <w:bidi w:val="0"/>
              <w:spacing w:lineRule="auto" w:line="240" w:before="0" w:after="40"/>
              <w:jc w:val="start"/>
              <w:rPr/>
            </w:pPr>
            <w:r>
              <w:rPr>
                <w:sz w:val="18"/>
              </w:rPr>
              <w:t>Action-bit lift and recoverable trace</w:t>
            </w:r>
          </w:p>
        </w:tc>
        <w:tc>
          <w:tcPr>
            <w:tcW w:w="3982" w:type="dxa"/>
            <w:tcBorders/>
            <w:vAlign w:val="top"/>
            <w:shd w:fill="F7F9FB"/>
          </w:tcPr>
          <w:p>
            <w:pPr>
              <w:pStyle w:val="Normal"/>
              <w:widowControl/>
              <w:bidi w:val="0"/>
              <w:spacing w:lineRule="auto" w:line="240" w:before="0" w:after="40"/>
              <w:jc w:val="start"/>
              <w:rPr/>
            </w:pPr>
            <w:r>
              <w:rPr>
                <w:sz w:val="18"/>
              </w:rPr>
              <w:t>A2 trace realization</w:t>
            </w:r>
          </w:p>
        </w:tc>
      </w:tr>
      <w:tr>
        <w:trPr/>
        <w:tc>
          <w:tcPr>
            <w:tcW w:w="1606" w:type="dxa"/>
            <w:tcBorders/>
            <w:vAlign w:val="top"/>
          </w:tcPr>
          <w:p>
            <w:pPr>
              <w:pStyle w:val="Normal"/>
              <w:spacing w:before="0" w:after="40" w:line="240" w:lineRule="auto"/>
              <w:rPr>
                <w:b/>
                <w:bCs/>
              </w:rPr>
            </w:pPr>
            <w:r>
              <w:rPr>
                <w:b/>
                <w:bCs/>
                <w:sz w:val="18"/>
              </w:rPr>
              <w:t>M-A12-CAPSULE</w:t>
            </w:r>
          </w:p>
        </w:tc>
        <w:tc>
          <w:tcPr>
            <w:tcW w:w="3772" w:type="dxa"/>
            <w:tcBorders/>
            <w:vAlign w:val="top"/>
          </w:tcPr>
          <w:p>
            <w:pPr>
              <w:pStyle w:val="Normal"/>
              <w:widowControl/>
              <w:bidi w:val="0"/>
              <w:spacing w:lineRule="auto" w:line="240" w:before="0" w:after="40"/>
              <w:jc w:val="start"/>
              <w:rPr/>
            </w:pPr>
            <w:r>
              <w:rPr>
                <w:sz w:val="18"/>
              </w:rPr>
              <w:t>Exact checkpoint capsule and re-entry</w:t>
            </w:r>
          </w:p>
        </w:tc>
        <w:tc>
          <w:tcPr>
            <w:tcW w:w="3982" w:type="dxa"/>
            <w:tcBorders/>
            <w:vAlign w:val="top"/>
          </w:tcPr>
          <w:p>
            <w:pPr>
              <w:pStyle w:val="Normal"/>
              <w:widowControl/>
              <w:bidi w:val="0"/>
              <w:spacing w:lineRule="auto" w:line="240" w:before="0" w:after="40"/>
              <w:jc w:val="start"/>
              <w:rPr/>
            </w:pPr>
            <w:r>
              <w:rPr>
                <w:sz w:val="18"/>
              </w:rPr>
              <w:t>A12 transport realization</w:t>
            </w:r>
          </w:p>
        </w:tc>
      </w:tr>
      <w:tr>
        <w:trPr/>
        <w:tc>
          <w:tcPr>
            <w:tcW w:w="1606" w:type="dxa"/>
            <w:tcBorders/>
            <w:vAlign w:val="top"/>
            <w:shd w:fill="F7F9FB"/>
          </w:tcPr>
          <w:p>
            <w:pPr>
              <w:pStyle w:val="Normal"/>
              <w:spacing w:before="0" w:after="40" w:line="240" w:lineRule="auto"/>
              <w:rPr>
                <w:b/>
                <w:bCs/>
              </w:rPr>
            </w:pPr>
            <w:r>
              <w:rPr>
                <w:b/>
                <w:bCs/>
                <w:sz w:val="18"/>
              </w:rPr>
              <w:t>M-A13-STUTTER</w:t>
            </w:r>
          </w:p>
        </w:tc>
        <w:tc>
          <w:tcPr>
            <w:tcW w:w="3772" w:type="dxa"/>
            <w:tcBorders/>
            <w:vAlign w:val="top"/>
            <w:shd w:fill="F7F9FB"/>
          </w:tcPr>
          <w:p>
            <w:pPr>
              <w:pStyle w:val="Normal"/>
              <w:widowControl/>
              <w:bidi w:val="0"/>
              <w:spacing w:lineRule="auto" w:line="240" w:before="0" w:after="40"/>
              <w:jc w:val="start"/>
              <w:rPr/>
            </w:pPr>
            <w:r>
              <w:rPr>
                <w:sz w:val="18"/>
              </w:rPr>
              <w:t>Stutter-refined certified cadence</w:t>
            </w:r>
          </w:p>
        </w:tc>
        <w:tc>
          <w:tcPr>
            <w:tcW w:w="3982" w:type="dxa"/>
            <w:tcBorders/>
            <w:vAlign w:val="top"/>
            <w:shd w:fill="F7F9FB"/>
          </w:tcPr>
          <w:p>
            <w:pPr>
              <w:pStyle w:val="Normal"/>
              <w:widowControl/>
              <w:bidi w:val="0"/>
              <w:spacing w:lineRule="auto" w:line="240" w:before="0" w:after="40"/>
              <w:jc w:val="start"/>
              <w:rPr/>
            </w:pPr>
            <w:r>
              <w:rPr>
                <w:sz w:val="18"/>
              </w:rPr>
              <w:t>A13 cadence realization</w:t>
            </w:r>
          </w:p>
        </w:tc>
      </w:tr>
      <w:tr>
        <w:trPr/>
        <w:tc>
          <w:tcPr>
            <w:tcW w:w="1606" w:type="dxa"/>
            <w:tcBorders/>
            <w:vAlign w:val="top"/>
          </w:tcPr>
          <w:p>
            <w:pPr>
              <w:pStyle w:val="Normal"/>
              <w:spacing w:before="0" w:after="40" w:line="240" w:lineRule="auto"/>
              <w:rPr>
                <w:b/>
                <w:bCs/>
              </w:rPr>
            </w:pPr>
            <w:r>
              <w:rPr>
                <w:b/>
                <w:bCs/>
                <w:sz w:val="18"/>
              </w:rPr>
              <w:t>M-RNBW-SHELL</w:t>
            </w:r>
          </w:p>
        </w:tc>
        <w:tc>
          <w:tcPr>
            <w:tcW w:w="3772" w:type="dxa"/>
            <w:tcBorders/>
            <w:vAlign w:val="top"/>
          </w:tcPr>
          <w:p>
            <w:pPr>
              <w:pStyle w:val="Normal"/>
              <w:widowControl/>
              <w:bidi w:val="0"/>
              <w:spacing w:lineRule="auto" w:line="240" w:before="0" w:after="40"/>
              <w:jc w:val="start"/>
              <w:rPr/>
            </w:pPr>
            <w:r>
              <w:rPr>
                <w:sz w:val="18"/>
              </w:rPr>
              <w:t>Eisenstein prime and composite norm shells</w:t>
            </w:r>
          </w:p>
        </w:tc>
        <w:tc>
          <w:tcPr>
            <w:tcW w:w="3982" w:type="dxa"/>
            <w:tcBorders/>
            <w:vAlign w:val="top"/>
          </w:tcPr>
          <w:p>
            <w:pPr>
              <w:pStyle w:val="Normal"/>
              <w:widowControl/>
              <w:bidi w:val="0"/>
              <w:spacing w:lineRule="auto" w:line="240" w:before="0" w:after="40"/>
              <w:jc w:val="start"/>
              <w:rPr/>
            </w:pPr>
            <w:r>
              <w:rPr>
                <w:sz w:val="18"/>
              </w:rPr>
              <w:t>M0 carrier; A1/A3/A10 readout routes only</w:t>
            </w:r>
          </w:p>
        </w:tc>
      </w:tr>
      <w:tr>
        <w:trPr/>
        <w:tc>
          <w:tcPr>
            <w:tcW w:w="1606" w:type="dxa"/>
            <w:tcBorders/>
            <w:vAlign w:val="top"/>
            <w:shd w:fill="F7F9FB"/>
          </w:tcPr>
          <w:p>
            <w:pPr>
              <w:pStyle w:val="Normal"/>
              <w:spacing w:before="0" w:after="40" w:line="240" w:lineRule="auto"/>
              <w:rPr>
                <w:b/>
                <w:bCs/>
              </w:rPr>
            </w:pPr>
            <w:r>
              <w:rPr>
                <w:b/>
                <w:bCs/>
                <w:sz w:val="18"/>
              </w:rPr>
              <w:t>M-RNBW-FRAME</w:t>
            </w:r>
          </w:p>
        </w:tc>
        <w:tc>
          <w:tcPr>
            <w:tcW w:w="3772" w:type="dxa"/>
            <w:tcBorders/>
            <w:vAlign w:val="top"/>
            <w:shd w:fill="F7F9FB"/>
          </w:tcPr>
          <w:p>
            <w:pPr>
              <w:pStyle w:val="Normal"/>
              <w:widowControl/>
              <w:bidi w:val="0"/>
              <w:spacing w:lineRule="auto" w:line="240" w:before="0" w:after="40"/>
              <w:jc w:val="start"/>
              <w:rPr/>
            </w:pPr>
            <w:r>
              <w:rPr>
                <w:sz w:val="18"/>
              </w:rPr>
              <w:t>Local frame after cut-indexed reflection</w:t>
            </w:r>
          </w:p>
        </w:tc>
        <w:tc>
          <w:tcPr>
            <w:tcW w:w="3982" w:type="dxa"/>
            <w:tcBorders/>
            <w:vAlign w:val="top"/>
            <w:shd w:fill="F7F9FB"/>
          </w:tcPr>
          <w:p>
            <w:pPr>
              <w:pStyle w:val="Normal"/>
              <w:widowControl/>
              <w:bidi w:val="0"/>
              <w:spacing w:lineRule="auto" w:line="240" w:before="0" w:after="40"/>
              <w:jc w:val="start"/>
              <w:rPr/>
            </w:pPr>
            <w:r>
              <w:rPr>
                <w:sz w:val="18"/>
              </w:rPr>
              <w:t>Conditional A0/Ω*/θ-to-A1 geometric bridge</w:t>
            </w:r>
          </w:p>
        </w:tc>
      </w:tr>
      <w:tr>
        <w:trPr/>
        <w:tc>
          <w:tcPr>
            <w:tcW w:w="1606" w:type="dxa"/>
            <w:tcBorders/>
            <w:vAlign w:val="top"/>
          </w:tcPr>
          <w:p>
            <w:pPr>
              <w:pStyle w:val="Normal"/>
              <w:spacing w:before="0" w:after="40" w:line="240" w:lineRule="auto"/>
              <w:rPr>
                <w:b/>
                <w:bCs/>
              </w:rPr>
            </w:pPr>
            <w:r>
              <w:rPr>
                <w:b/>
                <w:bCs/>
                <w:sz w:val="18"/>
              </w:rPr>
              <w:t>M-RNBW-WEAVE</w:t>
            </w:r>
          </w:p>
        </w:tc>
        <w:tc>
          <w:tcPr>
            <w:tcW w:w="3772" w:type="dxa"/>
            <w:tcBorders/>
            <w:vAlign w:val="top"/>
          </w:tcPr>
          <w:p>
            <w:pPr>
              <w:pStyle w:val="Normal"/>
              <w:widowControl/>
              <w:bidi w:val="0"/>
              <w:spacing w:lineRule="auto" w:line="240" w:before="0" w:after="40"/>
              <w:jc w:val="start"/>
              <w:rPr/>
            </w:pPr>
            <w:r>
              <w:rPr>
                <w:sz w:val="18"/>
              </w:rPr>
              <w:t>Log-phase cylinder and retained history fiber</w:t>
            </w:r>
          </w:p>
        </w:tc>
        <w:tc>
          <w:tcPr>
            <w:tcW w:w="3982" w:type="dxa"/>
            <w:tcBorders/>
            <w:vAlign w:val="top"/>
          </w:tcPr>
          <w:p>
            <w:pPr>
              <w:pStyle w:val="Normal"/>
              <w:widowControl/>
              <w:bidi w:val="0"/>
              <w:spacing w:lineRule="auto" w:line="240" w:before="0" w:after="40"/>
              <w:jc w:val="start"/>
              <w:rPr/>
            </w:pPr>
            <w:r>
              <w:rPr>
                <w:sz w:val="18"/>
              </w:rPr>
              <w:t>A2/A3 history; later transport only by adapter</w:t>
            </w:r>
          </w:p>
        </w:tc>
      </w:tr>
      <w:tr>
        <w:trPr/>
        <w:tc>
          <w:tcPr>
            <w:tcW w:w="1606" w:type="dxa"/>
            <w:tcBorders/>
            <w:vAlign w:val="top"/>
            <w:shd w:fill="F7F9FB"/>
          </w:tcPr>
          <w:p>
            <w:pPr>
              <w:pStyle w:val="Normal"/>
              <w:spacing w:before="0" w:after="40" w:line="240" w:lineRule="auto"/>
              <w:rPr>
                <w:b/>
                <w:bCs/>
              </w:rPr>
            </w:pPr>
            <w:r>
              <w:rPr>
                <w:b/>
                <w:bCs/>
                <w:sz w:val="18"/>
              </w:rPr>
              <w:t>M-RNBW-AMPLITUDE</w:t>
            </w:r>
          </w:p>
        </w:tc>
        <w:tc>
          <w:tcPr>
            <w:tcW w:w="3772" w:type="dxa"/>
            <w:tcBorders/>
            <w:vAlign w:val="top"/>
            <w:shd w:fill="F7F9FB"/>
          </w:tcPr>
          <w:p>
            <w:pPr>
              <w:pStyle w:val="Normal"/>
              <w:widowControl/>
              <w:bidi w:val="0"/>
              <w:spacing w:lineRule="auto" w:line="240" w:before="0" w:after="40"/>
              <w:jc w:val="start"/>
              <w:rPr/>
            </w:pPr>
            <w:r>
              <w:rPr>
                <w:sz w:val="18"/>
              </w:rPr>
              <w:t>Optional coherent amplitude/interference adapter</w:t>
            </w:r>
          </w:p>
        </w:tc>
        <w:tc>
          <w:tcPr>
            <w:tcW w:w="3982" w:type="dxa"/>
            <w:tcBorders/>
            <w:vAlign w:val="top"/>
            <w:shd w:fill="F7F9FB"/>
          </w:tcPr>
          <w:p>
            <w:pPr>
              <w:pStyle w:val="Normal"/>
              <w:widowControl/>
              <w:bidi w:val="0"/>
              <w:spacing w:lineRule="auto" w:line="240" w:before="0" w:after="40"/>
              <w:jc w:val="start"/>
              <w:rPr/>
            </w:pPr>
            <w:r>
              <w:rPr>
                <w:sz w:val="18"/>
              </w:rPr>
              <w:t>INTERFACE / A1 / A10 readout branch</w:t>
            </w:r>
          </w:p>
        </w:tc>
      </w:tr>
    </w:tbl>
    <w:p>
      <w:pPr>
        <w:pStyle w:val="Normal"/>
        <w:keepNext/>
        <w:keepLines/>
        <w:rPr/>
      </w:pPr>
      <w:r>
        <w:rPr/>
        <w:t>PF-GOLD-LENS is indexed separately as a removable composite plate, not as a realization card. RAINBOW-PLATE-00 through RAINBOW-PLATE-05 are figure/plate identifiers, not mechanical layers or realization cards.</w:t>
      </w:r>
    </w:p>
    <w:p>
      <w:pPr>
        <w:pStyle w:val="Heading1"/>
        <w:keepNext/>
        <w:keepLines/>
        <w:rPr/>
      </w:pPr>
      <w:bookmarkStart w:id="12" w:name="preserved-realization-cards"/>
      <w:r>
        <w:rPr/>
        <w:t>5. Preserved realization cards</w:t>
      </w:r>
      <w:bookmarkEnd w:id="12"/>
    </w:p>
    <w:p>
      <w:pPr>
        <w:pStyle w:val="Normal"/>
        <w:keepNext/>
        <w:keepLines/>
        <w:rPr/>
      </w:pPr>
      <w:r>
        <w:rPr/>
        <w:t>The cards in this section retain their v2.2 identities and thirteen-field contracts. The v2.3 sentences added to them are successor clarifications, not edits to any frozen v2.2 receipt. Where a clarification invokes the conditional extension profile, this register supplies its additional declaration.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Revised card(s)</w:t>
            </w:r>
          </w:p>
        </w:tc>
        <w:tc>
          <w:tcPr>
            <w:tcW w:w="4680" w:type="dxa"/>
            <w:tcBorders/>
            <w:vAlign w:val="top"/>
            <w:shd w:fill="DCE6F1"/>
          </w:tcPr>
          <w:p>
            <w:pPr>
              <w:pStyle w:val="Normal"/>
              <w:spacing w:before="0" w:after="40" w:line="240" w:lineRule="auto"/>
              <w:rPr>
                <w:b/>
                <w:bCs/>
              </w:rPr>
            </w:pPr>
            <w:r>
              <w:rPr>
                <w:b/>
                <w:bCs/>
                <w:color w:val="1F4D78"/>
                <w:sz w:val="19"/>
              </w:rPr>
              <w:t>v2.3 conditional declaration</w:t>
            </w:r>
          </w:p>
        </w:tc>
      </w:tr>
      <w:tr>
        <w:trPr/>
        <w:tc>
          <w:tcPr>
            <w:tcW w:w="4680" w:type="dxa"/>
            <w:tcBorders/>
            <w:vAlign w:val="top"/>
          </w:tcPr>
          <w:p>
            <w:pPr>
              <w:pStyle w:val="Normal"/>
              <w:widowControl/>
              <w:bidi w:val="0"/>
              <w:spacing w:lineRule="auto" w:line="240" w:before="0" w:after="40"/>
              <w:jc w:val="start"/>
              <w:rPr/>
            </w:pPr>
            <w:r>
              <w:rPr>
                <w:sz w:val="19"/>
              </w:rPr>
              <w:t>M-A0-CUT / M-ΩSTAR</w:t>
            </w:r>
          </w:p>
        </w:tc>
        <w:tc>
          <w:tcPr>
            <w:tcW w:w="4680" w:type="dxa"/>
            <w:tcBorders/>
            <w:vAlign w:val="top"/>
          </w:tcPr>
          <w:p>
            <w:pPr>
              <w:pStyle w:val="Normal"/>
              <w:widowControl/>
              <w:bidi w:val="0"/>
              <w:spacing w:lineRule="auto" w:line="240" w:before="0" w:after="40"/>
              <w:jc w:val="start"/>
              <w:rPr/>
            </w:pPr>
            <w:r>
              <w:rPr>
                <w:b/>
                <w:bCs/>
                <w:sz w:val="19"/>
              </w:rPr>
              <w:t>Carrier/model:</w:t>
            </w:r>
            <w:r>
              <w:rPr>
                <w:sz w:val="19"/>
              </w:rPr>
              <w:t xml:space="preserve"> supplied M0/interface, cut token, and declared reflection carrier; never Ω. </w:t>
            </w:r>
            <w:r>
              <w:rPr>
                <w:b/>
                <w:bCs/>
                <w:sz w:val="19"/>
              </w:rPr>
              <w:t>Scale/comparison:</w:t>
            </w:r>
            <w:r>
              <w:rPr>
                <w:sz w:val="19"/>
              </w:rPr>
              <w:t xml:space="preserve"> geometry, units, metric scale, admissible magnitude, and resolution are reasoned N/A; token equality and involution are exact with zero tolerance. </w:t>
            </w:r>
            <w:r>
              <w:rPr>
                <w:b/>
                <w:bCs/>
                <w:sz w:val="19"/>
              </w:rPr>
              <w:t>Boundary:</w:t>
            </w:r>
            <w:r>
              <w:rPr>
                <w:sz w:val="19"/>
              </w:rPr>
              <w:t xml:space="preserve"> CUT on one named account/cut; the Ω* adapter names its local domain, scope, orientation law, and coefficients or reasoned N/A. </w:t>
            </w:r>
            <w:r>
              <w:rPr>
                <w:b/>
                <w:bCs/>
                <w:sz w:val="19"/>
              </w:rPr>
              <w:t>Quantifiers:</w:t>
            </w:r>
            <w:r>
              <w:rPr>
                <w:sz w:val="19"/>
              </w:rPr>
              <w:t xml:space="preserve"> local to each supplied cut and adapter. </w:t>
            </w:r>
            <w:r>
              <w:rPr>
                <w:b/>
                <w:bCs/>
                <w:sz w:val="19"/>
              </w:rPr>
              <w:t>Map data:</w:t>
            </w:r>
            <w:r>
              <w:rPr>
                <w:sz w:val="19"/>
              </w:rPr>
              <w:t xml:space="preserve"> cut-indexed involution R_c and its reachable image are explicit; fibers, detector, and requested readable answer are N/A because A0 supplies no readout. </w:t>
            </w:r>
            <w:r>
              <w:rPr>
                <w:b/>
                <w:bCs/>
                <w:sz w:val="19"/>
              </w:rPr>
              <w:t>Decoder:</w:t>
            </w:r>
            <w:r>
              <w:rPr>
                <w:sz w:val="19"/>
              </w:rPr>
              <w:t xml:space="preserve"> reachable decoder, totalization, and decoder class are N/A. </w:t>
            </w:r>
            <w:r>
              <w:rPr>
                <w:b/>
                <w:bCs/>
                <w:sz w:val="19"/>
              </w:rPr>
              <w:t>State separations:</w:t>
            </w:r>
            <w:r>
              <w:rPr>
                <w:sz w:val="19"/>
              </w:rPr>
              <w:t xml:space="preserve"> endpoint, path, relation, receipt, work, audit, grant, resource, external-terminal, and authority coordinates remain distinct. </w:t>
            </w:r>
            <w:r>
              <w:rPr>
                <w:b/>
                <w:bCs/>
                <w:sz w:val="19"/>
              </w:rPr>
              <w:t>Claim provenance:</w:t>
            </w:r>
            <w:r>
              <w:rPr>
                <w:sz w:val="19"/>
              </w:rPr>
              <w:t xml:space="preserve"> inherited identities and involution algebra are exact conditional claims; any enumerated model is a finite fixture; geometric imagery is interpretation/presentation; BoundaryRef typing is v2.3 synthesis. </w:t>
            </w:r>
            <w:r>
              <w:rPr>
                <w:b/>
                <w:bCs/>
                <w:sz w:val="19"/>
              </w:rPr>
              <w:t>Exit:</w:t>
            </w:r>
            <w:r>
              <w:rPr>
                <w:sz w:val="19"/>
              </w:rPr>
              <w:t xml:space="preserve"> original card falsifiers, residuals, ceilings, and reopening handles control every carrier, cut, adapter, witness, or authority change.</w:t>
            </w:r>
          </w:p>
        </w:tc>
      </w:tr>
      <w:tr>
        <w:trPr/>
        <w:tc>
          <w:tcPr>
            <w:tcW w:w="4680" w:type="dxa"/>
            <w:tcBorders/>
            <w:vAlign w:val="top"/>
            <w:shd w:fill="F7F9FB"/>
          </w:tcPr>
          <w:p>
            <w:pPr>
              <w:pStyle w:val="Normal"/>
              <w:widowControl/>
              <w:bidi w:val="0"/>
              <w:spacing w:lineRule="auto" w:line="240" w:before="0" w:after="40"/>
              <w:jc w:val="start"/>
              <w:rPr/>
            </w:pPr>
            <w:r>
              <w:rPr>
                <w:sz w:val="19"/>
              </w:rPr>
              <w:t>M-THETA / M-THETA-GOLDEN</w:t>
            </w:r>
          </w:p>
        </w:tc>
        <w:tc>
          <w:tcPr>
            <w:tcW w:w="4680" w:type="dxa"/>
            <w:tcBorders/>
            <w:vAlign w:val="top"/>
            <w:shd w:fill="F7F9FB"/>
          </w:tcPr>
          <w:p>
            <w:pPr>
              <w:pStyle w:val="Normal"/>
              <w:widowControl/>
              <w:bidi w:val="0"/>
              <w:spacing w:lineRule="auto" w:line="240" w:before="0" w:after="40"/>
              <w:jc w:val="start"/>
              <w:rPr/>
            </w:pPr>
            <w:r>
              <w:rPr>
                <w:b/>
                <w:bCs/>
                <w:sz w:val="19"/>
              </w:rPr>
              <w:t>Carrier/model:</w:t>
            </w:r>
            <w:r>
              <w:rPr>
                <w:sz w:val="19"/>
              </w:rPr>
              <w:t xml:space="preserve"> opaque trace/path carrier; the optional branch additionally supplies the circle group and its arithmetic. </w:t>
            </w:r>
            <w:r>
              <w:rPr>
                <w:b/>
                <w:bCs/>
                <w:sz w:val="19"/>
              </w:rPr>
              <w:t>Scale/comparison:</w:t>
            </w:r>
            <w:r>
              <w:rPr>
                <w:sz w:val="19"/>
              </w:rPr>
              <w:t xml:space="preserve"> θ minimality is structural, so metric scale and least magnitude are N/A; the circle branch declares angle units, exact versus finite-precision arithmetic, admissible nonidentity turns, error, resolution, and tolerance. </w:t>
            </w:r>
            <w:r>
              <w:rPr>
                <w:b/>
                <w:bCs/>
                <w:sz w:val="19"/>
              </w:rPr>
              <w:t>Boundary:</w:t>
            </w:r>
            <w:r>
              <w:rPr>
                <w:sz w:val="19"/>
              </w:rPr>
              <w:t xml:space="preserve"> θ is a trace-bearing turn, not a boundary; inherited CUT remains separately typed. </w:t>
            </w:r>
            <w:r>
              <w:rPr>
                <w:b/>
                <w:bCs/>
                <w:sz w:val="19"/>
              </w:rPr>
              <w:t>Orientation/coefficients:</w:t>
            </w:r>
            <w:r>
              <w:rPr>
                <w:sz w:val="19"/>
              </w:rPr>
              <w:t xml:space="preserve"> turn direction and circle coefficients are supplied. </w:t>
            </w:r>
            <w:r>
              <w:rPr>
                <w:b/>
                <w:bCs/>
                <w:sz w:val="19"/>
              </w:rPr>
              <w:t>Quantifiers:</w:t>
            </w:r>
            <w:r>
              <w:rPr>
                <w:sz w:val="19"/>
              </w:rPr>
              <w:t xml:space="preserve"> local structural claim; optional orbit statements name finite, arbitrary-finite, or global circle scope. </w:t>
            </w:r>
            <w:r>
              <w:rPr>
                <w:b/>
                <w:bCs/>
                <w:sz w:val="19"/>
              </w:rPr>
              <w:t>Map data:</w:t>
            </w:r>
            <w:r>
              <w:rPr>
                <w:sz w:val="19"/>
              </w:rPr>
              <w:t xml:space="preserve"> turn map, orbit, fibers, and reachable orbit are explicit where used; any detector or requested readable side is N/A and rerouted to A1. </w:t>
            </w:r>
            <w:r>
              <w:rPr>
                <w:b/>
                <w:bCs/>
                <w:sz w:val="19"/>
              </w:rPr>
              <w:t>Decoder:</w:t>
            </w:r>
            <w:r>
              <w:rPr>
                <w:sz w:val="19"/>
              </w:rPr>
              <w:t xml:space="preserve"> an inverse exists only when the supplied turn is reversible; no total readout decoder follows; exact algebraic class only. </w:t>
            </w:r>
            <w:r>
              <w:rPr>
                <w:b/>
                <w:bCs/>
                <w:sz w:val="19"/>
              </w:rPr>
              <w:t>State separations:</w:t>
            </w:r>
            <w:r>
              <w:rPr>
                <w:sz w:val="19"/>
              </w:rPr>
              <w:t xml:space="preserve"> endpoint, path, relation, trace receipt, work, audit, grant, resource, external-terminal, and authority remain distinct. </w:t>
            </w:r>
            <w:r>
              <w:rPr>
                <w:b/>
                <w:bCs/>
                <w:sz w:val="19"/>
              </w:rPr>
              <w:t>Claim provenance:</w:t>
            </w:r>
            <w:r>
              <w:rPr>
                <w:sz w:val="19"/>
              </w:rPr>
              <w:t xml:space="preserve"> group identities are exact; orbit samples are fixtures; golden-angle and geometric language are interpretation/presentation; no-eliminator routing is v2.3 synthesis. </w:t>
            </w:r>
            <w:r>
              <w:rPr>
                <w:b/>
                <w:bCs/>
                <w:sz w:val="19"/>
              </w:rPr>
              <w:t>Exit:</w:t>
            </w:r>
            <w:r>
              <w:rPr>
                <w:sz w:val="19"/>
              </w:rPr>
              <w:t xml:space="preserve"> original falsifiers, residuals, ceilings, and reopening handles govern carrier, turn, precision, inverse, witness, or authority changes.</w:t>
            </w:r>
          </w:p>
        </w:tc>
      </w:tr>
      <w:tr>
        <w:trPr/>
        <w:tc>
          <w:tcPr>
            <w:tcW w:w="4680" w:type="dxa"/>
            <w:tcBorders/>
            <w:vAlign w:val="top"/>
          </w:tcPr>
          <w:p>
            <w:pPr>
              <w:pStyle w:val="Normal"/>
              <w:widowControl/>
              <w:bidi w:val="0"/>
              <w:spacing w:lineRule="auto" w:line="240" w:before="0" w:after="40"/>
              <w:jc w:val="start"/>
              <w:rPr/>
            </w:pPr>
            <w:r>
              <w:rPr>
                <w:sz w:val="19"/>
              </w:rPr>
              <w:t>M-A1-APART</w:t>
            </w:r>
          </w:p>
        </w:tc>
        <w:tc>
          <w:tcPr>
            <w:tcW w:w="4680" w:type="dxa"/>
            <w:tcBorders/>
            <w:vAlign w:val="top"/>
          </w:tcPr>
          <w:p>
            <w:pPr>
              <w:pStyle w:val="Normal"/>
              <w:widowControl/>
              <w:bidi w:val="0"/>
              <w:spacing w:lineRule="auto" w:line="240" w:before="0" w:after="40"/>
              <w:jc w:val="start"/>
              <w:rPr/>
            </w:pPr>
            <w:r>
              <w:rPr>
                <w:b/>
                <w:bCs/>
                <w:sz w:val="19"/>
              </w:rPr>
              <w:t>Carrier/model:</w:t>
            </w:r>
            <w:r>
              <w:rPr>
                <w:sz w:val="19"/>
              </w:rPr>
              <w:t xml:space="preserve"> declared apartness/readout carrier aligned to inherited opaque roles. </w:t>
            </w:r>
            <w:r>
              <w:rPr>
                <w:b/>
                <w:bCs/>
                <w:sz w:val="19"/>
              </w:rPr>
              <w:t>Scale/comparison:</w:t>
            </w:r>
            <w:r>
              <w:rPr>
                <w:sz w:val="19"/>
              </w:rPr>
              <w:t xml:space="preserve"> order, units, scale, resolution, admissible difference set, tolerance, and comparison rule are mandatory for every numerical minimum; structural apartness may mark metric fields reasoned N/A. </w:t>
            </w:r>
            <w:r>
              <w:rPr>
                <w:b/>
                <w:bCs/>
                <w:sz w:val="19"/>
              </w:rPr>
              <w:t>Boundary:</w:t>
            </w:r>
            <w:r>
              <w:rPr>
                <w:sz w:val="19"/>
              </w:rPr>
              <w:t xml:space="preserve"> inherited CUT remains separate; no new boundary unless named. </w:t>
            </w:r>
            <w:r>
              <w:rPr>
                <w:b/>
                <w:bCs/>
                <w:sz w:val="19"/>
              </w:rPr>
              <w:t>Orientation/coefficients:</w:t>
            </w:r>
            <w:r>
              <w:rPr>
                <w:sz w:val="19"/>
              </w:rPr>
              <w:t xml:space="preserve"> θ alignment witness is supplied; coefficients are N/A absent a quantitative model. </w:t>
            </w:r>
            <w:r>
              <w:rPr>
                <w:b/>
                <w:bCs/>
                <w:sz w:val="19"/>
              </w:rPr>
              <w:t>Quantifiers:</w:t>
            </w:r>
            <w:r>
              <w:rPr>
                <w:sz w:val="19"/>
              </w:rPr>
              <w:t xml:space="preserve"> all declared pairs in the stated local/global carrier, never an unqualified universal. </w:t>
            </w:r>
            <w:r>
              <w:rPr>
                <w:b/>
                <w:bCs/>
                <w:sz w:val="19"/>
              </w:rPr>
              <w:t>Map data:</w:t>
            </w:r>
            <w:r>
              <w:rPr>
                <w:sz w:val="19"/>
              </w:rPr>
              <w:t xml:space="preserve"> readout map, kernel/fibers, reachable image, detector, and requested distinction are explicit. </w:t>
            </w:r>
            <w:r>
              <w:rPr>
                <w:b/>
                <w:bCs/>
                <w:sz w:val="19"/>
              </w:rPr>
              <w:t>Decoder:</w:t>
            </w:r>
            <w:r>
              <w:rPr>
                <w:sz w:val="19"/>
              </w:rPr>
              <w:t xml:space="preserve"> reachable distinction decoder and any totalization are separate; class is only that proved. </w:t>
            </w:r>
            <w:r>
              <w:rPr>
                <w:b/>
                <w:bCs/>
                <w:sz w:val="19"/>
              </w:rPr>
              <w:t>State separations:</w:t>
            </w:r>
            <w:r>
              <w:rPr>
                <w:sz w:val="19"/>
              </w:rPr>
              <w:t xml:space="preserve"> endpoint, path, apartness relation, receipt, work, audit, grant, resource, external-terminal, and authority remain distinct. </w:t>
            </w:r>
            <w:r>
              <w:rPr>
                <w:b/>
                <w:bCs/>
                <w:sz w:val="19"/>
              </w:rPr>
              <w:t>Claim provenance:</w:t>
            </w:r>
            <w:r>
              <w:rPr>
                <w:sz w:val="19"/>
              </w:rPr>
              <w:t xml:space="preserve"> apartness/kernel results are exact; enumerations are fixtures; readability is interpretation; v2.3 extremal typing is synthesis; display is presentation. </w:t>
            </w:r>
            <w:r>
              <w:rPr>
                <w:b/>
                <w:bCs/>
                <w:sz w:val="19"/>
              </w:rPr>
              <w:t>Exit:</w:t>
            </w:r>
            <w:r>
              <w:rPr>
                <w:sz w:val="19"/>
              </w:rPr>
              <w:t xml:space="preserve"> card falsifier, residual, ceiling, and reopening handle govern every carrier, comparator, alignment, decoder, witness, or authority change.</w:t>
            </w:r>
          </w:p>
        </w:tc>
      </w:tr>
      <w:tr>
        <w:trPr/>
        <w:tc>
          <w:tcPr>
            <w:tcW w:w="4680" w:type="dxa"/>
            <w:tcBorders/>
            <w:vAlign w:val="top"/>
            <w:shd w:fill="F7F9FB"/>
          </w:tcPr>
          <w:p>
            <w:pPr>
              <w:pStyle w:val="Normal"/>
              <w:widowControl/>
              <w:bidi w:val="0"/>
              <w:spacing w:lineRule="auto" w:line="240" w:before="0" w:after="40"/>
              <w:jc w:val="start"/>
              <w:rPr/>
            </w:pPr>
            <w:r>
              <w:rPr>
                <w:sz w:val="19"/>
              </w:rPr>
              <w:t>M-A2-STORE / M-A3-GRAPH</w:t>
            </w:r>
          </w:p>
        </w:tc>
        <w:tc>
          <w:tcPr>
            <w:tcW w:w="4680" w:type="dxa"/>
            <w:tcBorders/>
            <w:vAlign w:val="top"/>
            <w:shd w:fill="F7F9FB"/>
          </w:tcPr>
          <w:p>
            <w:pPr>
              <w:pStyle w:val="Normal"/>
              <w:widowControl/>
              <w:bidi w:val="0"/>
              <w:spacing w:lineRule="auto" w:line="240" w:before="0" w:after="40"/>
              <w:jc w:val="start"/>
              <w:rPr/>
            </w:pPr>
            <w:r>
              <w:rPr>
                <w:b/>
                <w:bCs/>
                <w:sz w:val="19"/>
              </w:rPr>
              <w:t>Carrier/model:</w:t>
            </w:r>
            <w:r>
              <w:rPr>
                <w:sz w:val="19"/>
              </w:rPr>
              <w:t xml:space="preserve"> append-only store and typed directed multigraph with declared roster. </w:t>
            </w:r>
            <w:r>
              <w:rPr>
                <w:b/>
                <w:bCs/>
                <w:sz w:val="19"/>
              </w:rPr>
              <w:t>Scale/comparison:</w:t>
            </w:r>
            <w:r>
              <w:rPr>
                <w:sz w:val="19"/>
              </w:rPr>
              <w:t xml:space="preserve"> addresses and equality are exact; metric scale, admissible magnitude, resolution, and tolerance are N/A unless separately supplied. </w:t>
            </w:r>
            <w:r>
              <w:rPr>
                <w:b/>
                <w:bCs/>
                <w:sz w:val="19"/>
              </w:rPr>
              <w:t>Boundary:</w:t>
            </w:r>
            <w:r>
              <w:rPr>
                <w:sz w:val="19"/>
              </w:rPr>
              <w:t xml:space="preserve"> edge/path is not its boundary; CHAIN applies only when a boundary operator and coefficient ring are supplied. </w:t>
            </w:r>
            <w:r>
              <w:rPr>
                <w:b/>
                <w:bCs/>
                <w:sz w:val="19"/>
              </w:rPr>
              <w:t>Orientation/coefficients:</w:t>
            </w:r>
            <w:r>
              <w:rPr>
                <w:sz w:val="19"/>
              </w:rPr>
              <w:t xml:space="preserve"> directed edges, action signs, and any chain coefficients are explicit. </w:t>
            </w:r>
            <w:r>
              <w:rPr>
                <w:b/>
                <w:bCs/>
                <w:sz w:val="19"/>
              </w:rPr>
              <w:t>Quantifiers:</w:t>
            </w:r>
            <w:r>
              <w:rPr>
                <w:sz w:val="19"/>
              </w:rPr>
              <w:t xml:space="preserve"> finite K_n maximality is roster-relative; storage/graph claims state finite or arbitrary-finite scope. </w:t>
            </w:r>
            <w:r>
              <w:rPr>
                <w:b/>
                <w:bCs/>
                <w:sz w:val="19"/>
              </w:rPr>
              <w:t>Map data:</w:t>
            </w:r>
            <w:r>
              <w:rPr>
                <w:sz w:val="19"/>
              </w:rPr>
              <w:t xml:space="preserve"> append/update, source/target projections, fibers, reachable records/vertices, detector action, and requested recoverable history are declared. </w:t>
            </w:r>
            <w:r>
              <w:rPr>
                <w:b/>
                <w:bCs/>
                <w:sz w:val="19"/>
              </w:rPr>
              <w:t>Decoder:</w:t>
            </w:r>
            <w:r>
              <w:rPr>
                <w:sz w:val="19"/>
              </w:rPr>
              <w:t xml:space="preserve"> recovery is only from reachable retained records; totalization and decoder class are separately proved. </w:t>
            </w:r>
            <w:r>
              <w:rPr>
                <w:b/>
                <w:bCs/>
                <w:sz w:val="19"/>
              </w:rPr>
              <w:t>State separations:</w:t>
            </w:r>
            <w:r>
              <w:rPr>
                <w:sz w:val="19"/>
              </w:rPr>
              <w:t xml:space="preserve"> route, endpoint, relation/edge, action receipt, store/work, audit, grant, resource, external-terminal, and authority remain distinct. </w:t>
            </w:r>
            <w:r>
              <w:rPr>
                <w:b/>
                <w:bCs/>
                <w:sz w:val="19"/>
              </w:rPr>
              <w:t>Claim provenance:</w:t>
            </w:r>
            <w:r>
              <w:rPr>
                <w:sz w:val="19"/>
              </w:rPr>
              <w:t xml:space="preserve"> persistence/graph algebra is exact under assumptions; schedules are finite fixtures; “history” is interpretation; v2.3 route/endpoint typing is synthesis; drawings are presentation. </w:t>
            </w:r>
            <w:r>
              <w:rPr>
                <w:b/>
                <w:bCs/>
                <w:sz w:val="19"/>
              </w:rPr>
              <w:t>Exit:</w:t>
            </w:r>
            <w:r>
              <w:rPr>
                <w:sz w:val="19"/>
              </w:rPr>
              <w:t xml:space="preserve"> card falsifiers, residuals, ceilings, and reopening handles govern rule, roster, coefficient, store, decoder, witness, or authority changes.</w:t>
            </w:r>
          </w:p>
        </w:tc>
      </w:tr>
      <w:tr>
        <w:trPr/>
        <w:tc>
          <w:tcPr>
            <w:tcW w:w="4680" w:type="dxa"/>
            <w:tcBorders/>
            <w:vAlign w:val="top"/>
          </w:tcPr>
          <w:p>
            <w:pPr>
              <w:pStyle w:val="Normal"/>
              <w:widowControl/>
              <w:bidi w:val="0"/>
              <w:spacing w:lineRule="auto" w:line="240" w:before="0" w:after="40"/>
              <w:jc w:val="start"/>
              <w:rPr/>
            </w:pPr>
            <w:r>
              <w:rPr>
                <w:sz w:val="19"/>
              </w:rPr>
              <w:t>M-A9-QUOT / M-A9-PSR</w:t>
            </w:r>
          </w:p>
        </w:tc>
        <w:tc>
          <w:tcPr>
            <w:tcW w:w="4680" w:type="dxa"/>
            <w:tcBorders/>
            <w:vAlign w:val="top"/>
          </w:tcPr>
          <w:p>
            <w:pPr>
              <w:pStyle w:val="Normal"/>
              <w:widowControl/>
              <w:bidi w:val="0"/>
              <w:spacing w:lineRule="auto" w:line="240" w:before="0" w:after="40"/>
              <w:jc w:val="start"/>
              <w:rPr/>
            </w:pPr>
            <w:r>
              <w:rPr>
                <w:b/>
                <w:bCs/>
                <w:sz w:val="19"/>
              </w:rPr>
              <w:t>Carrier/model:</w:t>
            </w:r>
            <w:r>
              <w:rPr>
                <w:sz w:val="19"/>
              </w:rPr>
              <w:t xml:space="preserve"> declared source/process domain, quotient or predictive-state carrier, detector codomain, and question codomain. </w:t>
            </w:r>
            <w:r>
              <w:rPr>
                <w:b/>
                <w:bCs/>
                <w:sz w:val="19"/>
              </w:rPr>
              <w:t>Scale/comparison:</w:t>
            </w:r>
            <w:r>
              <w:rPr>
                <w:sz w:val="19"/>
              </w:rPr>
              <w:t xml:space="preserve"> metric, probability, aperture, resolution, admissible differences, and tolerance are supplied where used; otherwise reasoned N/A. </w:t>
            </w:r>
            <w:r>
              <w:rPr>
                <w:b/>
                <w:bCs/>
                <w:sz w:val="19"/>
              </w:rPr>
              <w:t>Boundary:</w:t>
            </w:r>
            <w:r>
              <w:rPr>
                <w:sz w:val="19"/>
              </w:rPr>
              <w:t xml:space="preserve"> detector boundary is INTERFACE, never CUT, on the named domain/scope. </w:t>
            </w:r>
            <w:r>
              <w:rPr>
                <w:b/>
                <w:bCs/>
                <w:sz w:val="19"/>
              </w:rPr>
              <w:t>Orientation/coefficients:</w:t>
            </w:r>
            <w:r>
              <w:rPr>
                <w:sz w:val="19"/>
              </w:rPr>
              <w:t xml:space="preserve"> N/A for a bare quotient; stochastic coefficients and conditioning law are explicit for PSR. </w:t>
            </w:r>
            <w:r>
              <w:rPr>
                <w:b/>
                <w:bCs/>
                <w:sz w:val="19"/>
              </w:rPr>
              <w:t>Quantifiers:</w:t>
            </w:r>
            <w:r>
              <w:rPr>
                <w:sz w:val="19"/>
              </w:rPr>
              <w:t xml:space="preserve"> exact set-theoretic or stated probabilistic domain; empirical/finite estimates stay bounded. </w:t>
            </w:r>
            <w:r>
              <w:rPr>
                <w:b/>
                <w:bCs/>
                <w:sz w:val="19"/>
              </w:rPr>
              <w:t>Map data:</w:t>
            </w:r>
            <w:r>
              <w:rPr>
                <w:sz w:val="19"/>
              </w:rPr>
              <w:t xml:space="preserve"> map, projector, kernel/fibers, reachable image, detector, and requested answer are explicit through M-INTERFACE-FIBER. </w:t>
            </w:r>
            <w:r>
              <w:rPr>
                <w:b/>
                <w:bCs/>
                <w:sz w:val="19"/>
              </w:rPr>
              <w:t>Decoder:</w:t>
            </w:r>
            <w:r>
              <w:rPr>
                <w:sz w:val="19"/>
              </w:rPr>
              <w:t xml:space="preserve"> reachable decoder, totalization, and exact class are separate. </w:t>
            </w:r>
            <w:r>
              <w:rPr>
                <w:b/>
                <w:bCs/>
                <w:sz w:val="19"/>
              </w:rPr>
              <w:t>State separations:</w:t>
            </w:r>
            <w:r>
              <w:rPr>
                <w:sz w:val="19"/>
              </w:rPr>
              <w:t xml:space="preserve"> endpoint, path, relation, receipt, work, audit, grant, resource, external-terminal, discarded distinctions, and authority remain distinct. </w:t>
            </w:r>
            <w:r>
              <w:rPr>
                <w:b/>
                <w:bCs/>
                <w:sz w:val="19"/>
              </w:rPr>
              <w:t>Claim provenance:</w:t>
            </w:r>
            <w:r>
              <w:rPr>
                <w:sz w:val="19"/>
              </w:rPr>
              <w:t xml:space="preserve"> quotient/factorization results are exact; computations are fixtures; sufficiency language is interpretation; v2.3 decoder registry is synthesis; plots are presentation. </w:t>
            </w:r>
            <w:r>
              <w:rPr>
                <w:b/>
                <w:bCs/>
                <w:sz w:val="19"/>
              </w:rPr>
              <w:t>Exit:</w:t>
            </w:r>
            <w:r>
              <w:rPr>
                <w:sz w:val="19"/>
              </w:rPr>
              <w:t xml:space="preserve"> original falsifiers, residuals, ceilings, and reopening handles govern map, question, aperture, probability law, decoder, witness, or authority changes.</w:t>
            </w:r>
          </w:p>
        </w:tc>
      </w:tr>
      <w:tr>
        <w:trPr/>
        <w:tc>
          <w:tcPr>
            <w:tcW w:w="4680" w:type="dxa"/>
            <w:tcBorders/>
            <w:vAlign w:val="top"/>
            <w:shd w:fill="F7F9FB"/>
          </w:tcPr>
          <w:p>
            <w:pPr>
              <w:pStyle w:val="Normal"/>
              <w:widowControl/>
              <w:bidi w:val="0"/>
              <w:spacing w:lineRule="auto" w:line="240" w:before="0" w:after="40"/>
              <w:jc w:val="start"/>
              <w:rPr/>
            </w:pPr>
            <w:r>
              <w:rPr>
                <w:sz w:val="19"/>
              </w:rPr>
              <w:t>M-A12-LINEAR</w:t>
            </w:r>
          </w:p>
        </w:tc>
        <w:tc>
          <w:tcPr>
            <w:tcW w:w="4680" w:type="dxa"/>
            <w:tcBorders/>
            <w:vAlign w:val="top"/>
            <w:shd w:fill="F7F9FB"/>
          </w:tcPr>
          <w:p>
            <w:pPr>
              <w:pStyle w:val="Normal"/>
              <w:widowControl/>
              <w:bidi w:val="0"/>
              <w:spacing w:lineRule="auto" w:line="240" w:before="0" w:after="40"/>
              <w:jc w:val="start"/>
              <w:rPr/>
            </w:pPr>
            <w:r>
              <w:rPr>
                <w:b/>
                <w:bCs/>
                <w:sz w:val="19"/>
              </w:rPr>
              <w:t>Carrier/model:</w:t>
            </w:r>
            <w:r>
              <w:rPr>
                <w:sz w:val="19"/>
              </w:rPr>
              <w:t xml:space="preserve"> single-lineage token/work-state automaton with declared checkpoint and non-work coordinates. </w:t>
            </w:r>
            <w:r>
              <w:rPr>
                <w:b/>
                <w:bCs/>
                <w:sz w:val="19"/>
              </w:rPr>
              <w:t>Scale/comparison:</w:t>
            </w:r>
            <w:r>
              <w:rPr>
                <w:sz w:val="19"/>
              </w:rPr>
              <w:t xml:space="preserve"> token count and exact state equality use zero tolerance; metric scale/resolution/admissible differences are N/A unless migration comparison supplies them. </w:t>
            </w:r>
            <w:r>
              <w:rPr>
                <w:b/>
                <w:bCs/>
                <w:sz w:val="19"/>
              </w:rPr>
              <w:t>Boundary:</w:t>
            </w:r>
            <w:r>
              <w:rPr>
                <w:sz w:val="19"/>
              </w:rPr>
              <w:t xml:space="preserve"> checkpoint/re-entry uses TRANSPORT_VALIDITY on the named capsule and environment; no other boundary is inferred. </w:t>
            </w:r>
            <w:r>
              <w:rPr>
                <w:b/>
                <w:bCs/>
                <w:sz w:val="19"/>
              </w:rPr>
              <w:t>Orientation/coefficients:</w:t>
            </w:r>
            <w:r>
              <w:rPr>
                <w:sz w:val="19"/>
              </w:rPr>
              <w:t xml:space="preserve"> lineage direction is supplied; numeric coefficients are N/A. </w:t>
            </w:r>
            <w:r>
              <w:rPr>
                <w:b/>
                <w:bCs/>
                <w:sz w:val="19"/>
              </w:rPr>
              <w:t>Quantifiers:</w:t>
            </w:r>
            <w:r>
              <w:rPr>
                <w:sz w:val="19"/>
              </w:rPr>
              <w:t xml:space="preserve"> one transition or supplied finite lineage; no unbounded availability claim. </w:t>
            </w:r>
            <w:r>
              <w:rPr>
                <w:b/>
                <w:bCs/>
                <w:sz w:val="19"/>
              </w:rPr>
              <w:t>Map data:</w:t>
            </w:r>
            <w:r>
              <w:rPr>
                <w:sz w:val="19"/>
              </w:rPr>
              <w:t xml:space="preserve"> transition, work projection, checkpoint map, fibers, reachable states, token detector, and requested valid re-entry are explicit. </w:t>
            </w:r>
            <w:r>
              <w:rPr>
                <w:b/>
                <w:bCs/>
                <w:sz w:val="19"/>
              </w:rPr>
              <w:t>Decoder:</w:t>
            </w:r>
            <w:r>
              <w:rPr>
                <w:sz w:val="19"/>
              </w:rPr>
              <w:t xml:space="preserve"> thaw/recovery is reachable-image only unless totalization and its class are separately proved. </w:t>
            </w:r>
            <w:r>
              <w:rPr>
                <w:b/>
                <w:bCs/>
                <w:sz w:val="19"/>
              </w:rPr>
              <w:t>State separations:</w:t>
            </w:r>
            <w:r>
              <w:rPr>
                <w:sz w:val="19"/>
              </w:rPr>
              <w:t xml:space="preserve"> endpoint, path, relation, token/transport receipt, work, audit, grant, resource, external effect/terminal, and authority remain distinct. </w:t>
            </w:r>
            <w:r>
              <w:rPr>
                <w:b/>
                <w:bCs/>
                <w:sz w:val="19"/>
              </w:rPr>
              <w:t>Claim provenance:</w:t>
            </w:r>
            <w:r>
              <w:rPr>
                <w:sz w:val="19"/>
              </w:rPr>
              <w:t xml:space="preserve"> one-live-token invariant is exact; replay is a finite fixture; continuity language is interpretation; v2.3 transport separation is synthesis; diagrams are presentation. </w:t>
            </w:r>
            <w:r>
              <w:rPr>
                <w:b/>
                <w:bCs/>
                <w:sz w:val="19"/>
              </w:rPr>
              <w:t>Exit:</w:t>
            </w:r>
            <w:r>
              <w:rPr>
                <w:sz w:val="19"/>
              </w:rPr>
              <w:t xml:space="preserve"> card falsifier, residual, ceiling, and reopening handle control state, token, checkpoint, decoder, witness, or authority changes.</w:t>
            </w:r>
          </w:p>
        </w:tc>
      </w:tr>
      <w:tr>
        <w:trPr/>
        <w:tc>
          <w:tcPr>
            <w:tcW w:w="4680" w:type="dxa"/>
            <w:tcBorders/>
            <w:vAlign w:val="top"/>
          </w:tcPr>
          <w:p>
            <w:pPr>
              <w:pStyle w:val="Normal"/>
              <w:widowControl/>
              <w:bidi w:val="0"/>
              <w:spacing w:lineRule="auto" w:line="240" w:before="0" w:after="40"/>
              <w:jc w:val="start"/>
              <w:rPr/>
            </w:pPr>
            <w:r>
              <w:rPr>
                <w:sz w:val="19"/>
              </w:rPr>
              <w:t>M-A13-RANK / M-A13-LIVE</w:t>
            </w:r>
          </w:p>
        </w:tc>
        <w:tc>
          <w:tcPr>
            <w:tcW w:w="4680" w:type="dxa"/>
            <w:tcBorders/>
            <w:vAlign w:val="top"/>
          </w:tcPr>
          <w:p>
            <w:pPr>
              <w:pStyle w:val="Normal"/>
              <w:widowControl/>
              <w:bidi w:val="0"/>
              <w:spacing w:lineRule="auto" w:line="240" w:before="0" w:after="40"/>
              <w:jc w:val="start"/>
              <w:rPr/>
            </w:pPr>
            <w:r>
              <w:rPr>
                <w:b/>
                <w:bCs/>
                <w:sz w:val="19"/>
              </w:rPr>
              <w:t>Carrier/model:</w:t>
            </w:r>
            <w:r>
              <w:rPr>
                <w:sz w:val="19"/>
              </w:rPr>
              <w:t xml:space="preserve"> transition system with separate work, progress, rank/fairness, audit, grant, resource, and terminal coordinates. </w:t>
            </w:r>
            <w:r>
              <w:rPr>
                <w:b/>
                <w:bCs/>
                <w:sz w:val="19"/>
              </w:rPr>
              <w:t>Scale/comparison:</w:t>
            </w:r>
            <w:r>
              <w:rPr>
                <w:sz w:val="19"/>
              </w:rPr>
              <w:t xml:space="preserve"> rank order or progress comparator, admissible change, observation resolution, and tolerance are declared; physical time is N/A absent an adapter. </w:t>
            </w:r>
            <w:r>
              <w:rPr>
                <w:b/>
                <w:bCs/>
                <w:sz w:val="19"/>
              </w:rPr>
              <w:t>Boundary:</w:t>
            </w:r>
            <w:r>
              <w:rPr>
                <w:sz w:val="19"/>
              </w:rPr>
              <w:t xml:space="preserve"> cadence alone has no boundary; checkpoint use retains separate TRANSPORT_VALIDITY. </w:t>
            </w:r>
            <w:r>
              <w:rPr>
                <w:b/>
                <w:bCs/>
                <w:sz w:val="19"/>
              </w:rPr>
              <w:t>Orientation/coefficients:</w:t>
            </w:r>
            <w:r>
              <w:rPr>
                <w:sz w:val="19"/>
              </w:rPr>
              <w:t xml:space="preserve"> N/A unless an alignment readout is separately supplied. </w:t>
            </w:r>
            <w:r>
              <w:rPr>
                <w:b/>
                <w:bCs/>
                <w:sz w:val="19"/>
              </w:rPr>
              <w:t>Quantifiers:</w:t>
            </w:r>
            <w:r>
              <w:rPr>
                <w:sz w:val="19"/>
              </w:rPr>
              <w:t xml:space="preserve"> finite recurrence or explicitly stated infinite fairness/liveness semantics. </w:t>
            </w:r>
            <w:r>
              <w:rPr>
                <w:b/>
                <w:bCs/>
                <w:sz w:val="19"/>
              </w:rPr>
              <w:t>Map data:</w:t>
            </w:r>
            <w:r>
              <w:rPr>
                <w:sz w:val="19"/>
              </w:rPr>
              <w:t xml:space="preserve"> transition relations, work/progress projectors, fibers, reachable states, heartbeat detector, and requested progress/acceptance answer are explicit. </w:t>
            </w:r>
            <w:r>
              <w:rPr>
                <w:b/>
                <w:bCs/>
                <w:sz w:val="19"/>
              </w:rPr>
              <w:t>Decoder:</w:t>
            </w:r>
            <w:r>
              <w:rPr>
                <w:sz w:val="19"/>
              </w:rPr>
              <w:t xml:space="preserve"> heartbeat is not a decoder; reachable recovery, totalization, and class are N/A unless separately claimed. </w:t>
            </w:r>
            <w:r>
              <w:rPr>
                <w:b/>
                <w:bCs/>
                <w:sz w:val="19"/>
              </w:rPr>
              <w:t>State separations:</w:t>
            </w:r>
            <w:r>
              <w:rPr>
                <w:sz w:val="19"/>
              </w:rPr>
              <w:t xml:space="preserve"> endpoint, path, relation, receipt, work, audit, grant, resource, external-terminal, and authority remain distinct. </w:t>
            </w:r>
            <w:r>
              <w:rPr>
                <w:b/>
                <w:bCs/>
                <w:sz w:val="19"/>
              </w:rPr>
              <w:t>Claim provenance:</w:t>
            </w:r>
            <w:r>
              <w:rPr>
                <w:sz w:val="19"/>
              </w:rPr>
              <w:t xml:space="preserve"> rank/fairness implications are exact conditional results; runs are fixtures; cadence is interpretation; heartbeat namespacing is v2.3 synthesis; timelines are presentation. </w:t>
            </w:r>
            <w:r>
              <w:rPr>
                <w:b/>
                <w:bCs/>
                <w:sz w:val="19"/>
              </w:rPr>
              <w:t>Exit:</w:t>
            </w:r>
            <w:r>
              <w:rPr>
                <w:sz w:val="19"/>
              </w:rPr>
              <w:t xml:space="preserve"> original falsifiers, residuals, ceilings, and reopening handles govern transition, projection, fairness, observation, witness, or authority changes.</w:t>
            </w:r>
          </w:p>
        </w:tc>
      </w:tr>
      <w:tr>
        <w:trPr/>
        <w:tc>
          <w:tcPr>
            <w:tcW w:w="4680" w:type="dxa"/>
            <w:tcBorders/>
            <w:vAlign w:val="top"/>
            <w:shd w:fill="F7F9FB"/>
          </w:tcPr>
          <w:p>
            <w:pPr>
              <w:pStyle w:val="Normal"/>
              <w:widowControl/>
              <w:bidi w:val="0"/>
              <w:spacing w:lineRule="auto" w:line="240" w:before="0" w:after="40"/>
              <w:jc w:val="start"/>
              <w:rPr/>
            </w:pPr>
            <w:r>
              <w:rPr>
                <w:sz w:val="19"/>
              </w:rPr>
              <w:t>M-A14-SLACK</w:t>
            </w:r>
          </w:p>
        </w:tc>
        <w:tc>
          <w:tcPr>
            <w:tcW w:w="4680" w:type="dxa"/>
            <w:tcBorders/>
            <w:vAlign w:val="top"/>
            <w:shd w:fill="F7F9FB"/>
          </w:tcPr>
          <w:p>
            <w:pPr>
              <w:pStyle w:val="Normal"/>
              <w:widowControl/>
              <w:bidi w:val="0"/>
              <w:spacing w:lineRule="auto" w:line="240" w:before="0" w:after="40"/>
              <w:jc w:val="start"/>
              <w:rPr/>
            </w:pPr>
            <w:r>
              <w:rPr>
                <w:b/>
                <w:bCs/>
                <w:sz w:val="19"/>
              </w:rPr>
              <w:t>Carrier/model:</w:t>
            </w:r>
            <w:r>
              <w:rPr>
                <w:sz w:val="19"/>
              </w:rPr>
              <w:t xml:space="preserve"> declared scalar or interval budget carrier with work and resource ledgers. </w:t>
            </w:r>
            <w:r>
              <w:rPr>
                <w:b/>
                <w:bCs/>
                <w:sz w:val="19"/>
              </w:rPr>
              <w:t>Scale/comparison:</w:t>
            </w:r>
            <w:r>
              <w:rPr>
                <w:sz w:val="19"/>
              </w:rPr>
              <w:t xml:space="preserve"> units, order, epoch, admissible slack values, resolution, tolerance, consumption, and top-up comparison are explicit. </w:t>
            </w:r>
            <w:r>
              <w:rPr>
                <w:b/>
                <w:bCs/>
                <w:sz w:val="19"/>
              </w:rPr>
              <w:t>Boundary:</w:t>
            </w:r>
            <w:r>
              <w:rPr>
                <w:sz w:val="19"/>
              </w:rPr>
              <w:t xml:space="preserve"> CONSTRAINT on the named budget domain/scope; no cut, topology, or scope closure follows. </w:t>
            </w:r>
            <w:r>
              <w:rPr>
                <w:b/>
                <w:bCs/>
                <w:sz w:val="19"/>
              </w:rPr>
              <w:t>Orientation/coefficients:</w:t>
            </w:r>
            <w:r>
              <w:rPr>
                <w:sz w:val="19"/>
              </w:rPr>
              <w:t xml:space="preserve"> consumption/top-up sign convention and coefficient algebra are supplied; otherwise N/A. </w:t>
            </w:r>
            <w:r>
              <w:rPr>
                <w:b/>
                <w:bCs/>
                <w:sz w:val="19"/>
              </w:rPr>
              <w:t>Quantifiers:</w:t>
            </w:r>
            <w:r>
              <w:rPr>
                <w:sz w:val="19"/>
              </w:rPr>
              <w:t xml:space="preserve"> local to one epoch or a named finite/global budget law. </w:t>
            </w:r>
            <w:r>
              <w:rPr>
                <w:b/>
                <w:bCs/>
                <w:sz w:val="19"/>
              </w:rPr>
              <w:t>Map data:</w:t>
            </w:r>
            <w:r>
              <w:rPr>
                <w:sz w:val="19"/>
              </w:rPr>
              <w:t xml:space="preserve"> slack update and work projection, fibers/reachable budget states, detector, and requested “within constraint?” answer are explicit. </w:t>
            </w:r>
            <w:r>
              <w:rPr>
                <w:b/>
                <w:bCs/>
                <w:sz w:val="19"/>
              </w:rPr>
              <w:t>Decoder:</w:t>
            </w:r>
            <w:r>
              <w:rPr>
                <w:sz w:val="19"/>
              </w:rPr>
              <w:t xml:space="preserve"> no state/source decoder follows from a slack value; reachable decoder, totalization, and class are N/A unless separately supplied. </w:t>
            </w:r>
            <w:r>
              <w:rPr>
                <w:b/>
                <w:bCs/>
                <w:sz w:val="19"/>
              </w:rPr>
              <w:t>State separations:</w:t>
            </w:r>
            <w:r>
              <w:rPr>
                <w:sz w:val="19"/>
              </w:rPr>
              <w:t xml:space="preserve"> endpoint, path, constraint relation, receipt, work, audit, grant, resource, external-terminal, and authority remain distinct. </w:t>
            </w:r>
            <w:r>
              <w:rPr>
                <w:b/>
                <w:bCs/>
                <w:sz w:val="19"/>
              </w:rPr>
              <w:t>Claim provenance:</w:t>
            </w:r>
            <w:r>
              <w:rPr>
                <w:sz w:val="19"/>
              </w:rPr>
              <w:t xml:space="preserve"> budget algebra is exact; ledgers are finite fixtures; “room” is interpretation; grant-epoch separation is v2.3 synthesis; gauges are presentation. </w:t>
            </w:r>
            <w:r>
              <w:rPr>
                <w:b/>
                <w:bCs/>
                <w:sz w:val="19"/>
              </w:rPr>
              <w:t>Exit:</w:t>
            </w:r>
            <w:r>
              <w:rPr>
                <w:sz w:val="19"/>
              </w:rPr>
              <w:t xml:space="preserve"> card falsifier, residual, ceiling, and reopening handle govern carrier, units, epoch, update, top-up, witness, or authority changes.</w:t>
            </w:r>
          </w:p>
        </w:tc>
      </w:tr>
      <w:tr>
        <w:trPr/>
        <w:tc>
          <w:tcPr>
            <w:tcW w:w="4680" w:type="dxa"/>
            <w:tcBorders/>
            <w:vAlign w:val="top"/>
          </w:tcPr>
          <w:p>
            <w:pPr>
              <w:pStyle w:val="Normal"/>
              <w:widowControl/>
              <w:bidi w:val="0"/>
              <w:spacing w:lineRule="auto" w:line="240" w:before="0" w:after="40"/>
              <w:jc w:val="start"/>
              <w:rPr/>
            </w:pPr>
            <w:r>
              <w:rPr>
                <w:sz w:val="19"/>
              </w:rPr>
              <w:t>M-A15-CHECK / M-A15-ROUTE</w:t>
            </w:r>
          </w:p>
        </w:tc>
        <w:tc>
          <w:tcPr>
            <w:tcW w:w="4680" w:type="dxa"/>
            <w:tcBorders/>
            <w:vAlign w:val="top"/>
          </w:tcPr>
          <w:p>
            <w:pPr>
              <w:pStyle w:val="Normal"/>
              <w:widowControl/>
              <w:bidi w:val="0"/>
              <w:spacing w:lineRule="auto" w:line="240" w:before="0" w:after="40"/>
              <w:jc w:val="start"/>
              <w:rPr/>
            </w:pPr>
            <w:r>
              <w:rPr>
                <w:b/>
                <w:bCs/>
                <w:sz w:val="19"/>
              </w:rPr>
              <w:t>Carrier/model:</w:t>
            </w:r>
            <w:r>
              <w:rPr>
                <w:sz w:val="19"/>
              </w:rPr>
              <w:t xml:space="preserve"> checker/route, evidence object, claim, and declared SCOPE envelope. </w:t>
            </w:r>
            <w:r>
              <w:rPr>
                <w:b/>
                <w:bCs/>
                <w:sz w:val="19"/>
              </w:rPr>
              <w:t>Scale/comparison:</w:t>
            </w:r>
            <w:r>
              <w:rPr>
                <w:sz w:val="19"/>
              </w:rPr>
              <w:t xml:space="preserve"> exact versus approximate checking, admissible outcomes, resolution, and tolerance are named; metric fields are reasoned N/A for purely symbolic checks. </w:t>
            </w:r>
            <w:r>
              <w:rPr>
                <w:b/>
                <w:bCs/>
                <w:sz w:val="19"/>
              </w:rPr>
              <w:t>Boundary:</w:t>
            </w:r>
            <w:r>
              <w:rPr>
                <w:sz w:val="19"/>
              </w:rPr>
              <w:t xml:space="preserve"> SCOPE on the exact claim/evidence domain; interface, checkpoint, topological, constraint, and scope boundaries remain distinct. </w:t>
            </w:r>
            <w:r>
              <w:rPr>
                <w:b/>
                <w:bCs/>
                <w:sz w:val="19"/>
              </w:rPr>
              <w:t>Orientation/coefficients:</w:t>
            </w:r>
            <w:r>
              <w:rPr>
                <w:sz w:val="19"/>
              </w:rPr>
              <w:t xml:space="preserve"> N/A unless the checker explicitly uses them. </w:t>
            </w:r>
            <w:r>
              <w:rPr>
                <w:b/>
                <w:bCs/>
                <w:sz w:val="19"/>
              </w:rPr>
              <w:t>Quantifiers:</w:t>
            </w:r>
            <w:r>
              <w:rPr>
                <w:sz w:val="19"/>
              </w:rPr>
              <w:t xml:space="preserve"> bounded claim/run scope; no package-wide or global closure by default. </w:t>
            </w:r>
            <w:r>
              <w:rPr>
                <w:b/>
                <w:bCs/>
                <w:sz w:val="19"/>
              </w:rPr>
              <w:t>Map data:</w:t>
            </w:r>
            <w:r>
              <w:rPr>
                <w:sz w:val="19"/>
              </w:rPr>
              <w:t xml:space="preserve"> checker/projector, acceptance fibers, reachable verdicts, detector, and requested claim status are explicit. </w:t>
            </w:r>
            <w:r>
              <w:rPr>
                <w:b/>
                <w:bCs/>
                <w:sz w:val="19"/>
              </w:rPr>
              <w:t>Decoder:</w:t>
            </w:r>
            <w:r>
              <w:rPr>
                <w:sz w:val="19"/>
              </w:rPr>
              <w:t xml:space="preserve"> evidence-to-verdict mapping is not a source decoder; reachable interpretation, totalization, and exact class are separately typed. </w:t>
            </w:r>
            <w:r>
              <w:rPr>
                <w:b/>
                <w:bCs/>
                <w:sz w:val="19"/>
              </w:rPr>
              <w:t>State separations:</w:t>
            </w:r>
            <w:r>
              <w:rPr>
                <w:sz w:val="19"/>
              </w:rPr>
              <w:t xml:space="preserve"> endpoint, path/route, relation, TestReceipt, ClosureReceipt, work, audit, grant, resource, external-terminal, and authority remain distinct. </w:t>
            </w:r>
            <w:r>
              <w:rPr>
                <w:b/>
                <w:bCs/>
                <w:sz w:val="19"/>
              </w:rPr>
              <w:t>Claim provenance:</w:t>
            </w:r>
            <w:r>
              <w:rPr>
                <w:sz w:val="19"/>
              </w:rPr>
              <w:t xml:space="preserve"> checker theorem is exact when proved; executions are fixtures; closure wording is interpretation; Test/Closure separation is v2.3 synthesis; badges are presentation. </w:t>
            </w:r>
            <w:r>
              <w:rPr>
                <w:b/>
                <w:bCs/>
                <w:sz w:val="19"/>
              </w:rPr>
              <w:t>Exit:</w:t>
            </w:r>
            <w:r>
              <w:rPr>
                <w:sz w:val="19"/>
              </w:rPr>
              <w:t xml:space="preserve"> checker/card falsifier, residual, ceiling, and reopening condition are mandatory and preserve contrary evidence.</w:t>
            </w:r>
          </w:p>
        </w:tc>
      </w:tr>
      <w:tr>
        <w:trPr/>
        <w:tc>
          <w:tcPr>
            <w:tcW w:w="4680" w:type="dxa"/>
            <w:tcBorders/>
            <w:vAlign w:val="top"/>
            <w:shd w:fill="F7F9FB"/>
          </w:tcPr>
          <w:p>
            <w:pPr>
              <w:pStyle w:val="Normal"/>
              <w:widowControl/>
              <w:bidi w:val="0"/>
              <w:spacing w:lineRule="auto" w:line="240" w:before="0" w:after="40"/>
              <w:jc w:val="start"/>
              <w:rPr/>
            </w:pPr>
            <w:r>
              <w:rPr>
                <w:sz w:val="19"/>
              </w:rPr>
              <w:t>M-SOURCE-FIBER</w:t>
            </w:r>
          </w:p>
        </w:tc>
        <w:tc>
          <w:tcPr>
            <w:tcW w:w="4680" w:type="dxa"/>
            <w:tcBorders/>
            <w:vAlign w:val="top"/>
            <w:shd w:fill="F7F9FB"/>
          </w:tcPr>
          <w:p>
            <w:pPr>
              <w:pStyle w:val="Normal"/>
              <w:widowControl/>
              <w:bidi w:val="0"/>
              <w:spacing w:lineRule="auto" w:line="240" w:before="0" w:after="40"/>
              <w:jc w:val="start"/>
              <w:rPr/>
            </w:pPr>
            <w:r>
              <w:rPr>
                <w:b/>
                <w:bCs/>
                <w:sz w:val="19"/>
              </w:rPr>
              <w:t>Carrier/model:</w:t>
            </w:r>
            <w:r>
              <w:rPr>
                <w:sz w:val="19"/>
              </w:rPr>
              <w:t xml:space="preserve"> model-supplied candidate-source type, cut type, result type, and detector interface. </w:t>
            </w:r>
            <w:r>
              <w:rPr>
                <w:b/>
                <w:bCs/>
                <w:sz w:val="19"/>
              </w:rPr>
              <w:t>Scale/comparison:</w:t>
            </w:r>
            <w:r>
              <w:rPr>
                <w:sz w:val="19"/>
              </w:rPr>
              <w:t xml:space="preserve"> aperture, resolution, admissible source distinctions, and tolerance are explicit; metric scale is N/A unless supplied. </w:t>
            </w:r>
            <w:r>
              <w:rPr>
                <w:b/>
                <w:bCs/>
                <w:sz w:val="19"/>
              </w:rPr>
              <w:t>Boundary:</w:t>
            </w:r>
            <w:r>
              <w:rPr>
                <w:sz w:val="19"/>
              </w:rPr>
              <w:t xml:space="preserve"> INTERFACE on the named source-to-cut map and accessible-cut scope, never Ω or CUT. </w:t>
            </w:r>
            <w:r>
              <w:rPr>
                <w:b/>
                <w:bCs/>
                <w:sz w:val="19"/>
              </w:rPr>
              <w:t>Orientation/coefficients:</w:t>
            </w:r>
            <w:r>
              <w:rPr>
                <w:sz w:val="19"/>
              </w:rPr>
              <w:t xml:space="preserve"> reasoned N/A absent a supplied source geometry. </w:t>
            </w:r>
            <w:r>
              <w:rPr>
                <w:b/>
                <w:bCs/>
                <w:sz w:val="19"/>
              </w:rPr>
              <w:t>Quantifiers:</w:t>
            </w:r>
            <w:r>
              <w:rPr>
                <w:sz w:val="19"/>
              </w:rPr>
              <w:t xml:space="preserve"> exact on the declared model domain; finite candidate enumerations remain fixtures. </w:t>
            </w:r>
            <w:r>
              <w:rPr>
                <w:b/>
                <w:bCs/>
                <w:sz w:val="19"/>
              </w:rPr>
              <w:t>Map data:</w:t>
            </w:r>
            <w:r>
              <w:rPr>
                <w:sz w:val="19"/>
              </w:rPr>
              <w:t xml:space="preserve"> source map, cut-only downstream map, fibers, reachable cuts/results, detector, requested source answer, and inhabited/empty status are explicit. </w:t>
            </w:r>
            <w:r>
              <w:rPr>
                <w:b/>
                <w:bCs/>
                <w:sz w:val="19"/>
              </w:rPr>
              <w:t>Decoder:</w:t>
            </w:r>
            <w:r>
              <w:rPr>
                <w:sz w:val="19"/>
              </w:rPr>
              <w:t xml:space="preserve"> reachable source decoder versus totalization and exact decoder class are separate; cut-only evidence generally underdetermines source. </w:t>
            </w:r>
            <w:r>
              <w:rPr>
                <w:b/>
                <w:bCs/>
                <w:sz w:val="19"/>
              </w:rPr>
              <w:t>State separations:</w:t>
            </w:r>
            <w:r>
              <w:rPr>
                <w:sz w:val="19"/>
              </w:rPr>
              <w:t xml:space="preserve"> source, endpoint, path, relation, receipt, work, audit, grant, resource, external-terminal, and authority remain distinct. </w:t>
            </w:r>
            <w:r>
              <w:rPr>
                <w:b/>
                <w:bCs/>
                <w:sz w:val="19"/>
              </w:rPr>
              <w:t>Claim provenance:</w:t>
            </w:r>
            <w:r>
              <w:rPr>
                <w:sz w:val="19"/>
              </w:rPr>
              <w:t xml:space="preserve"> fiber facts are exact; candidate tables are finite fixtures; source language is interpretation; v2.3 interface/source-existence ceiling is synthesis; drawings are presentation. </w:t>
            </w:r>
            <w:r>
              <w:rPr>
                <w:b/>
                <w:bCs/>
                <w:sz w:val="19"/>
              </w:rPr>
              <w:t>Exit:</w:t>
            </w:r>
            <w:r>
              <w:rPr>
                <w:sz w:val="19"/>
              </w:rPr>
              <w:t xml:space="preserve"> card falsifier, residual, ceiling, and reopening handle govern model domain, map, aperture, inhabitance, decoder, witness, or authority changes.</w:t>
            </w:r>
          </w:p>
        </w:tc>
      </w:tr>
    </w:tbl>
    <w:p>
      <w:pPr>
        <w:pStyle w:val="Heading2"/>
        <w:keepNext/>
        <w:keepLines/>
        <w:rPr/>
      </w:pPr>
      <w:bookmarkStart w:id="13" w:name="m-ωf---ω-firewall-schema"/>
      <w:r>
        <w:rPr/>
        <w:t>M-ΩF - Ω firewall schema</w:t>
      </w:r>
      <w:bookmarkEnd w:id="13"/>
    </w:p>
    <w:p>
      <w:pPr>
        <w:pStyle w:val="Normal"/>
        <w:keepNext/>
        <w:keepLines/>
        <w:rPr>
          <w:b/>
          <w:bCs/>
        </w:rPr>
      </w:pPr>
      <w:r>
        <w:rPr>
          <w:b/>
          <w:bCs/>
        </w:rPr>
        <w:t>Primitive floor / Ω</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Primitive floor / Ω</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 metalanguage symbol Ω and an object language whose constructor domains exclude Ω.</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 signature audit: for every PAL constructor F, Ω is absent from dom(F). There is no object-language type Omega and no Ω boundary object.</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Reject any term, quantifier, sampler, measure, map, equation, or erasure target that consumes Ω.</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 visible separation between metalanguage and object language; a complete constructor registry.</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The metalinguistic firewall separating unresolved possibility from admitted models.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This is a firewall, not an existence theorem and not a layer constructor.</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Structural schema; inherited and strengthened from PAL v1.6 O01.</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Static signature scan; negative fixtures F(Ω), Ω in X, Ω as probability space, and Ω=residue must fail.</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statement about Ω’s contents, cardinality, topology, boundary, probability, physics, or existence as an empirical object.</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The source and adequacy of every admitted model and witness.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failed scan routes to primitive-floor review; no repair may replace Ω with a formal surrogate and keep the same claim.</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v1.6, O01; PAL v2.2-T T05, T29, and T33-T40.</w:t>
            </w:r>
          </w:p>
        </w:tc>
      </w:tr>
    </w:tbl>
    <w:p>
      <w:pPr>
        <w:pStyle w:val="Heading2"/>
        <w:keepNext/>
        <w:keepLines/>
        <w:rPr/>
      </w:pPr>
      <w:bookmarkStart w:id="14" w:name="m-m0---unnumbered-pre-cut-model-envelope"/>
      <w:r>
        <w:rPr/>
        <w:t>M-M0 - Unnumbered pre-cut model envelope</w:t>
      </w:r>
      <w:bookmarkEnd w:id="14"/>
    </w:p>
    <w:p>
      <w:pPr>
        <w:pStyle w:val="Normal"/>
        <w:keepNext/>
        <w:keepLines/>
        <w:rPr>
          <w:b/>
          <w:bCs/>
        </w:rPr>
      </w:pPr>
      <w:r>
        <w:rPr>
          <w:b/>
          <w:bCs/>
        </w:rPr>
        <w:t>Support for A0; not a PAL layer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Support for A0; not a PAL layer</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 nonempty declared carrier X, equality/comparison discipline, universal equivalence E0=X×X, and cost ledger κ0.</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M0=(X,E0,κ0) with X nonempty and |X/E0|=1.</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Record the cost of entering a formal interior while presenting no internal readable distinction.</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Nonemptiness, equality, quantification, relation language, and an explicit commitment ledger.</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Model choice, scope, carrier, equality rule, universal presentation, and costs.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M0 supports a later cut but is not A0. A singleton or universal-equivalence model contains no proper readable refinement by itself.</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Relocated v1.6 A0 realization; valid as scaffolding only.</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Verify E0 is universal and quotient has one class; verify no cut/readout token is produced; deletion of κ0 fails.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M0 is neither Ω, A0, nor Ω*. It supplies no occurrence, cut, side, orientation, or canonical carrier.</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Why this model, alternatives, excluded residue, and the source of a cut witness.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changed carrier, equality, scope, or commitment creates M0 version n+1. A supplied cut may be offered to M-A0-CUT.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v1.6, former A0 core; O02; Lawvere [S3] for generalized comparison as an optional strengthening.</w:t>
            </w:r>
          </w:p>
        </w:tc>
      </w:tr>
    </w:tbl>
    <w:p>
      <w:pPr>
        <w:pStyle w:val="Heading2"/>
        <w:keepNext/>
        <w:keepLines/>
        <w:rPr/>
      </w:pPr>
      <w:bookmarkStart w:id="15" w:name="m-a0-cut---opaque-cut-token"/>
      <w:r>
        <w:rPr/>
        <w:t>M-A0-CUT - Opaque cut token</w:t>
      </w:r>
      <w:bookmarkEnd w:id="15"/>
    </w:p>
    <w:p>
      <w:pPr>
        <w:pStyle w:val="Normal"/>
        <w:keepNext/>
        <w:keepLines/>
        <w:rPr>
          <w:b/>
          <w:bCs/>
        </w:rPr>
      </w:pPr>
      <w:r>
        <w:rPr>
          <w:b/>
          <w:bCs/>
        </w:rPr>
        <w:t>A0 - the cut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A0 - the cut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Declared account A, M0, fresh boundary identifier b, BoundaryRef(b,CUT,...), account scope σ, supplied witness w_b, carried trace T_A, cost receipt κ_b, authority ceiling and snapshot α_b, residual ρ_b, and reopening handle h_b.</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CutReceipt_A(b,σ,w_b,T_A,κ_b,α_b,ρ_b,h_b) with two opaque roles related by b, a first-cut position inside A, boundary_ref.role=CUT, and no readout or occurrence eliminator.</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Admit b as the first supplied cut of A, append its separately typed fields and provenance, and preserve the distinction between account order and stronger primacy claims.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Witness w_b, account, scope, boundary, cost, trace, ceiling, residual, and reopening data are supplied or explicitly assumed. No generic eliminator converts Cost into cause, truth, energy, permission, consent, standing, or authority.</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M0, witness provenance, scope, costs, and the distinction between b and Ω.</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Deleting b returns M0. A model of M0 with no b is a predecessor countermodel.</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constructor. A supplied independent witness may discharge this local constructor instance; two distinct interfaces to D-FIRST-OCCURRENCE remain OPEN: O04 carries ontic/source debt, while O25 carries certificate/revocation debt, unless separately adopted author decisions close those exact claims.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Freshness, field completeness, account-first/global-first separation, cost/cause separation, delete-to-M0, no-readout, no-occurrence, and no-Ω-input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topology, metric, comparator, q-split, geometric side, readable result, θ turn, A1 event, A2 occurrence trace, A15 closure, cause, global primacy, or derivation from Ω. A CutReceipt alone is not an OccurrenceReceipt.</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Ontic source of w_b, adequacy of b, alternatives, and excluded residue.</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Witness invalidation or scope/cost change reopens A0. The cut may be passed to M-ΩSTAR.</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v2.2 spine A0 and SC-19; O01-O04, O25; nominal freshness [S39-S40] as optional implementation support.</w:t>
            </w:r>
          </w:p>
        </w:tc>
      </w:tr>
    </w:tbl>
    <w:p>
      <w:pPr>
        <w:pStyle w:val="Heading2"/>
        <w:keepNext/>
        <w:keepLines/>
        <w:rPr/>
      </w:pPr>
      <w:bookmarkStart w:id="16" w:name="m-ωstar---cut-indexed-reflection"/>
      <w:r>
        <w:rPr/>
        <w:t>M-ΩSTAR - Cut-indexed reflection</w:t>
      </w:r>
      <w:bookmarkEnd w:id="16"/>
    </w:p>
    <w:p>
      <w:pPr>
        <w:pStyle w:val="Normal"/>
        <w:keepNext/>
        <w:keepLines/>
        <w:rPr>
          <w:b/>
          <w:bCs/>
        </w:rPr>
      </w:pPr>
      <w:r>
        <w:rPr>
          <w:b/>
          <w:bCs/>
        </w:rPr>
        <w:t>Ω* - reflection of the cut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Ω* - reflection of the cut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A0 cut b and a paid reflection, transposition, or lens-arc exchange action ρ_b over its opaque role interface, supplied through a named cut-indexed involution adapter.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ReflectionReceipt(b,ρ_b) with ρ_b∘ρ_b=id on the declared interface where exact involution is claimed.</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Attach the reflected counterpart to b without decoding or naming a readable side. A transposition or lens-arc exchange is admitted only when its dependency on b is declared.</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 declared symmetry domain, exact or approximate law, tolerance if approximate, and explicit cost.</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Cut identity, index b, reflection law, symmetry error,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Deleting ρ_b recovers A0. A0 alone does not select one canonical reflection law.</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realization; the involution is one implementation, not Ω*’s only meaning.</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Index match, adapter/dependency check, involution/tolerance check, delete-to-A0, no-readout, and Ω-nonrepresentation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ρ_b does not act on Ω and does not make Ω* a memory, prompt, output, model of Ω, or readable side.</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Choice and fidelity of symmetry; whether reflection is partial; all unresolved possibility.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b, law, domain, or tolerance reopens Ω*. A valid pair may be offered to M-THETA.</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v2.2 Ω* decision; Measuring Ω-Shadow retained only for Ω≠Ω* and reflection language after migration.</w:t>
            </w:r>
          </w:p>
        </w:tc>
      </w:tr>
    </w:tbl>
    <w:p>
      <w:pPr>
        <w:pStyle w:val="Heading2"/>
        <w:keepNext/>
        <w:keepLines/>
        <w:rPr/>
      </w:pPr>
      <w:bookmarkStart w:id="17" w:name="m-theta---nonidentity-turn-with-no-a1-el"/>
      <w:r>
        <w:rPr/>
        <w:t>M-THETA - Nonidentity turn with no A1 eliminator</w:t>
      </w:r>
      <w:bookmarkEnd w:id="17"/>
    </w:p>
    <w:p>
      <w:pPr>
        <w:pStyle w:val="Normal"/>
        <w:keepNext/>
        <w:keepLines/>
        <w:rPr>
          <w:b/>
          <w:bCs/>
        </w:rPr>
      </w:pPr>
      <w:r>
        <w:rPr>
          <w:b/>
          <w:bCs/>
        </w:rPr>
        <w:t>θ - trace-bearing turn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θ - trace-bearing turn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An A0/Ω* pair P, a predecessor relation, and a nonidentity action or path t:P→P’ with a turn receipt.</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Turn(P,t,P’) plus the rule that no generic eliminator Turn→A1Readout exists.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Record that orientation changed in an ordered way while leaving sides opaque.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Nonidentity is meaningful in the chosen action/path structure; costs and predecessor are declared. “Minimum” is structural: the least PAL capability commitment that records witnessed nonidentity and inherited orientation while withholding readout, metric magnitude, persistence, and occurrence.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A0/Ω* identities, prior orientation state, t, action assumptions, and receipt order.</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countermodel may inhabit Turn while A1Readout is empty. Deleting t recovers the A0/Ω* pair.</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Core separation claim with capability-minimal wording; geometric and quantitative content is optional and later.</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t≠id, predecessor match, delete-to-floor, no-side selection, and no-A1-eliminator countermodel.</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least positive angle, distance, duration, real-valued asymmetry, metric magnitude, clock time, side, readability, persistence, or physical rotation is implied.</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Source and geometry of the turn; first readable occurrence.</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If t decodes a side or the action structure changes, reopen θ. A separate readout witness may be offered to A1.</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v1.6 θ nonclosure countermodel; PAL v2.2 θ decision.</w:t>
            </w:r>
          </w:p>
        </w:tc>
      </w:tr>
    </w:tbl>
    <w:p>
      <w:pPr>
        <w:pStyle w:val="Heading2"/>
        <w:keepNext/>
        <w:keepLines/>
        <w:rPr/>
      </w:pPr>
      <w:bookmarkStart w:id="18" w:name="m-theta-golden---golden-angle-turn-branc"/>
      <w:r>
        <w:rPr/>
        <w:t>M-THETA-GOLDEN - Golden-angle turn branch</w:t>
      </w:r>
      <w:bookmarkEnd w:id="18"/>
    </w:p>
    <w:p>
      <w:pPr>
        <w:pStyle w:val="Normal"/>
        <w:keepNext/>
        <w:keepLines/>
        <w:rPr>
          <w:b/>
          <w:bCs/>
        </w:rPr>
      </w:pPr>
      <w:r>
        <w:rPr>
          <w:b/>
          <w:bCs/>
        </w:rPr>
        <w:t>Optional θ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Optional θ realization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An oriented circle or rotation group, metric/angle structure, and α=2π(1-1/φ), where φ=(1+√5)/2.</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An exact irrational rotation R_α and, when implemented numerically, a separately identified finite-precision approximation with its own error receipt.</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Use the golden angle as one optional nonrepeating geometric turn seed. Any sector-plus-residual phase decoder is a separate A1 route, not part of θ.</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Circle, orientation, real arithmetic, φ, units, numerical precision, and a reason this geometry fits the model.</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Input orientation, α definition, precision, application count, and error budget.</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Deleting circle/metric structure recovers M-THETA, not the converse.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Branch realization only; no primitive or universal optimality claim.</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Exact irrationality, finite-precision error, nonidentity, receipt ordering, no sector-readout at θ, no advantage inference, and delete-to-M-THETA.</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The golden angle is not θ itself and supplies no universal physics, efficiency, optimality, measured advantage, first occurrence, or A1 readout.</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Why this angle, metric advantage, finite-precision effects, and branch adequacy.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geometry, precision, or claimed advantage reopens the branch and O22.</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Prime-golden module history; PAL obligations O22 and O29. No spine authority.</w:t>
            </w:r>
          </w:p>
        </w:tc>
      </w:tr>
    </w:tbl>
    <w:p>
      <w:pPr>
        <w:pStyle w:val="Heading2"/>
        <w:keepNext/>
        <w:keepLines/>
        <w:rPr/>
      </w:pPr>
      <w:bookmarkStart w:id="19" w:name="m-a1-apart---apartness-and-proper-kernel"/>
      <w:r>
        <w:rPr/>
        <w:t>M-A1-APART - Apartness and proper kernel refinement</w:t>
      </w:r>
      <w:bookmarkEnd w:id="19"/>
    </w:p>
    <w:p>
      <w:pPr>
        <w:pStyle w:val="Normal"/>
        <w:keepNext/>
        <w:keepLines/>
        <w:rPr>
          <w:b/>
          <w:bCs/>
        </w:rPr>
      </w:pPr>
      <w:r>
        <w:rPr>
          <w:b/>
          <w:bCs/>
        </w:rPr>
        <w:t>A1 - readable oriented distinction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A1 - readable oriented distinction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M0, A0/Ω*/θ receipts, readout r:X→R, selected x,y, positive apartness apart_R(r(x),r(y)), and Align_b(x,y,r,θ) tying the selected pair/readout order to the opaque A0 cut roles and inherited θ orientation.</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E_r(x,y) iff r(x)=r(y); positive separation witnesses E_r⊊E0 where the carrier supports it. Align_b prevents an unrelated separated pair elsewhere in X from being credited to cut b.</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Decode a readable distinction and attach inherited θ orientation, scope, tolerance, and provenance.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Readout, selected points/sides, apartness, baseline, scope, tolerance, supplied occurrence witness, and a checked cut-role/orientation alignment witness. Any numerical minimality claim also declares carrier, order, units, resolution, and admissible difference set.</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Primitive-floor receipts, readout, pair, tolerance, and source lineage.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proper refinement is unavailable in a singleton carrier; an A0/θ model with no readout remains a countermodel.</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realization; does not close O04/O25 by syntax alone.</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Positive separation, proper refinement, cut-role/orientation alignment, alignment-mismatch negative fixture, witness-source, baseline/tolerance/resolution/admissible-set mutation, ε/2 counterfixture, and aliasing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persistence, cause, identity through time, physical reality, or first-witness derivation.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Witness source, unread distinctions, decoder limits, and model adequacy.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Invalidation or changed readout/baseline/tolerance returns A1 to UNRESOLVED with floor trace preserved.</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Vîţă and Bridges [S1]; PAL v1.6 A1; O04-O05, O25-O26, O29-O30, O32.</w:t>
            </w:r>
          </w:p>
        </w:tc>
      </w:tr>
    </w:tbl>
    <w:p>
      <w:pPr>
        <w:pStyle w:val="Heading2"/>
        <w:keepNext/>
        <w:keepLines/>
        <w:rPr/>
      </w:pPr>
      <w:bookmarkStart w:id="20" w:name="m-a1-brt---boundary-readable-crossing"/>
      <w:r>
        <w:rPr/>
        <w:t>M-A1-BRT - Boundary-readable crossing</w:t>
      </w:r>
      <w:bookmarkEnd w:id="20"/>
    </w:p>
    <w:p>
      <w:pPr>
        <w:pStyle w:val="Normal"/>
        <w:keepNext/>
        <w:keepLines/>
        <w:rPr>
          <w:b/>
          <w:bCs/>
        </w:rPr>
      </w:pPr>
      <w:r>
        <w:rPr>
          <w:b/>
          <w:bCs/>
        </w:rPr>
        <w:t>A1 branch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 branch realization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Source-side state Ψ^L, relevant boundary B_L(Q), absorber/receiver A_L, response trace τ_L, and readable consequence Y_L.</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 typed pipeline Ψ^L→B_L(Q)→A_L→τ_L→Y_L with declared readability threshold and provenance.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Admit A1 only when relevant coupling produces a boundary-readable consequence or a registered unresolved crossing.</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Boundary, receiver, coupling, aperture, baseline, threshold, noise model, and response registration.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Boundary receipt, source/receiver distinction, response trace, threshold account, and unresolved causes.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Coupling without readable response is not A1; a response may be registered while its hidden cause remains unresolved.</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Branch realization from Boundary-Readable Trace v1.0.1; not a universal physical theorem.</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Boundary relevance, threshold, noise, latent support, no-coupling shortcut, and cause/response separation.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Does not prove universal absorber physics, final cause, or that the BRT pipeline is the spine.</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Hidden cause, unregistered response, latent support, calibration, and receiver adequacy.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aperture/baseline/coupling/receiver or contrary evidence reopens the A1 classification.</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Boundary-Readable Trace and Absorber-Informed Closure v1.0.1; CLEF v1.0.</w:t>
            </w:r>
          </w:p>
        </w:tc>
      </w:tr>
    </w:tbl>
    <w:p>
      <w:pPr>
        <w:pStyle w:val="Heading2"/>
        <w:keepNext/>
        <w:keepLines/>
        <w:rPr/>
      </w:pPr>
      <w:bookmarkStart w:id="21" w:name="m-a2-store---append-only-trace-store"/>
      <w:r>
        <w:rPr/>
        <w:t>M-A2-STORE - Append-only trace store</w:t>
      </w:r>
      <w:bookmarkEnd w:id="21"/>
    </w:p>
    <w:p>
      <w:pPr>
        <w:pStyle w:val="Normal"/>
        <w:keepNext/>
        <w:keepLines/>
        <w:rPr>
          <w:b/>
          <w:bCs/>
        </w:rPr>
      </w:pPr>
      <w:r>
        <w:rPr>
          <w:b/>
          <w:bCs/>
        </w:rPr>
        <w:t>A2 - recoverable consequence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A2 - recoverable consequence</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Store T, valid A1 readable-event receipt e with supplied witness, address policy addr, protected field set P, update relation append, recovery semantics, and any route/action binding needed by the claim.</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Persist(T,e)=T’ with lookup(T’,addr(e))=Some(e) and protected prior lookups unchanged.</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e and issue an immutable recovery receipt with root, address, hash/identity, and version. An A0-only receipt is not valid input.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Freshness or explicit reconciliation, lookup semantics, protected fields, and storage-version rules.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All protected entries, A1 provenance, route-sensitive or action-bit binding where claimed, residual state, and lifecycle receipts. An endpoint receipt is not automatically a path receipt.</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Deleting the new entry/receipt recovers T; a mutable overwrite store fails the core realization.</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Core minimal realization; physical and cryptographic durability are branch claims.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Fresh append, lookup, prior-lookup preservation, action-bit/route binding, endpoint-versus-path separation, A0-only rejection, collision, mutation, compaction/restore, protected-field, and A15 noncoercion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Successful lookup supplies recoverable A2 evidence, not CLOSED_IN_SCOPE, continuous existence, source identity, access permission, exact physical permanence, or transport identity.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Medium, erasure, access control, collisions, compression fidelity, and recovery guarantees.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Lifecycle change or failed lookup appends a trace-review event and preserves the historical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Driscoll et al. [S2]; Green et al. [S7]; PAL v1.6 A2 and O06.</w:t>
            </w:r>
          </w:p>
        </w:tc>
      </w:tr>
    </w:tbl>
    <w:p>
      <w:pPr>
        <w:pStyle w:val="Heading2"/>
        <w:keepNext/>
        <w:keepLines/>
        <w:rPr/>
      </w:pPr>
      <w:bookmarkStart w:id="22" w:name="m-a2-brt---boundary-readable-correlation"/>
      <w:r>
        <w:rPr/>
        <w:t>M-A2-BRT - Boundary-readable correlation trace</w:t>
      </w:r>
      <w:bookmarkEnd w:id="22"/>
    </w:p>
    <w:p>
      <w:pPr>
        <w:pStyle w:val="Normal"/>
        <w:keepNext/>
        <w:keepLines/>
        <w:rPr>
          <w:b/>
          <w:bCs/>
        </w:rPr>
      </w:pPr>
      <w:r>
        <w:rPr>
          <w:b/>
          <w:bCs/>
        </w:rPr>
        <w:t>A2 branch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A2 branch realization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 valid A1 boundary-readable event and a recoverable correlation, record, or response trace τ_L.</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TraceReceipt(e,τ_L,recovery_test,scope,provenance).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Treat a single irreversible event as persistent only insofar as its consequence remains recoverable under the declared test.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Recovery criterion, medium, observer/readout, scope, noise, and version.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The A1 crossing, τ_L, calibration, and failed/uncertain recovery states.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An event with no recoverable consequence fails this realization even if it occurred.</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Branch realization; does not equate recoverability with continuous duration.</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Recovery under declared aperture, false-positive/negative, medium change, and threshold change.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universal memory, permanent record, or observer-independent duration claim.</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Latent correlations, inaccessible records, decay, and interpretation.</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Failed recovery or changed test reopens A2 status while preserving the occurrence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Boundary-Readable Trace v1.0.1; PAL v2.2 A2.</w:t>
            </w:r>
          </w:p>
        </w:tc>
      </w:tr>
    </w:tbl>
    <w:p>
      <w:pPr>
        <w:pStyle w:val="Heading2"/>
        <w:keepNext/>
        <w:keepLines/>
        <w:rPr/>
      </w:pPr>
      <w:bookmarkStart w:id="23" w:name="m-a3-graph---typed-directed-multigraph"/>
      <w:r>
        <w:rPr/>
        <w:t>M-A3-GRAPH - Typed directed multigraph</w:t>
      </w:r>
      <w:bookmarkEnd w:id="23"/>
    </w:p>
    <w:p>
      <w:pPr>
        <w:pStyle w:val="Normal"/>
        <w:keepNext/>
        <w:keepLines/>
        <w:rPr>
          <w:b/>
          <w:bCs/>
        </w:rPr>
      </w:pPr>
      <w:r>
        <w:rPr>
          <w:b/>
          <w:bCs/>
        </w:rPr>
        <w:t>A3 - retained relation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A3 - retained relation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Vertices V as A2 receipts; typed edges E with source, target, RelationKind, EvidenceKind, scope, provenance, and an optional fixed finite roster for complete-graph fixtures.</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 typed directed multigraph; literal composable edge lists form free paths with empty identities.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an edge receipt after endpoint and evidence checks.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Resolvable endpoint types, relation/evidence registries, and no silent cross-kind coercion.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Endpoint receipts, edge order, evidence lineage, and literal paths.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Removing the edge recovers the predecessor receipts; co-occurrence alone does not construct an edge.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Core realization; graph identity does not define A3.</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Endpoint resolution, evidence-kind isolation, provenance, self-edge policy, path associativity, edge deletion, and fixed-roster K_n coverage with roster mutation.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causation, current coupling, consent, semantics, or ethical authority. Preserving an edge or relation does not preserve or identify its source vertex.</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Mechanism, strength, temporal validity, path quotient, and competing edge types.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Evidence or endpoint change invalidates only dependent edge/path receipts and routes them to review.</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Free-path constructions [S33]; provenance semirings [S7]; PAL v1.6 A3 and O07.</w:t>
            </w:r>
          </w:p>
        </w:tc>
      </w:tr>
    </w:tbl>
    <w:p>
      <w:pPr>
        <w:pStyle w:val="Heading2"/>
        <w:keepNext/>
        <w:keepLines/>
        <w:rPr/>
      </w:pPr>
      <w:bookmarkStart w:id="24" w:name="m-a4-debt---ordered-debt-transport"/>
      <w:r>
        <w:rPr/>
        <w:t>M-A4-DEBT - Ordered-debt transport</w:t>
      </w:r>
      <w:bookmarkEnd w:id="24"/>
    </w:p>
    <w:p>
      <w:pPr>
        <w:pStyle w:val="Normal"/>
        <w:keepNext/>
        <w:keepLines/>
        <w:rPr>
          <w:b/>
          <w:bCs/>
        </w:rPr>
      </w:pPr>
      <w:r>
        <w:rPr>
          <w:b/>
          <w:bCs/>
        </w:rPr>
        <w:t>A4 / SOOP</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A4 / SOOP</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A3 path p, partial transports τ_e, protected observation d, and ordered commutative monoid (C,⊕,0,≤).</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Path transport τ_p=τ_en∘…∘τ_e1 and path debt c(p)=c(e1)⊕…⊕c(en).</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Compose transports on matching domains and issue a budgeted identity receipt.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 declared ordered debt or cost structure, protected observations, edge-wise bounds, and composition law. Ordered commutative monoids are optional additive realizations; PAL does not require every cut cost to be numeric, additive, fungible, or comparable.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Literal route, order, transports, observations, bounds, and each debt contribution.</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An A3 path without transport/budget remains a predecessor countermodel.</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Parametric realization; concrete bounds must be proved per model.</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Domain match, order sensitivity, debt monotonicity, zero/positive debt, budget crossing, and forget-to-A3.</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reversibility, zero loss, global identity, metric geometry, cause, truth, permission, consent, standing, or authority follows from the debt or cost algebra.</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Concrete observations/bounds, recovery, invertibility, and path equivalence.</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changed route, map, law, budget, tolerance, or observation reopens the SOOP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Lawvere [S3]; Fritz [S29]; PAL v1.6 A4 and O08.</w:t>
            </w:r>
          </w:p>
        </w:tc>
      </w:tr>
    </w:tbl>
    <w:p>
      <w:pPr>
        <w:pStyle w:val="Heading2"/>
        <w:keepNext/>
        <w:keepLines/>
        <w:rPr/>
      </w:pPr>
      <w:bookmarkStart w:id="25" w:name="m-a5-dep---nonconstant-feedback-dependen"/>
      <w:r>
        <w:rPr/>
        <w:t>M-A5-DEP - Nonconstant feedback dependence</w:t>
      </w:r>
      <w:bookmarkEnd w:id="25"/>
    </w:p>
    <w:p>
      <w:pPr>
        <w:pStyle w:val="Normal"/>
        <w:keepNext/>
        <w:keepLines/>
        <w:rPr>
          <w:b/>
          <w:bCs/>
        </w:rPr>
      </w:pPr>
      <w:r>
        <w:rPr>
          <w:b/>
          <w:bCs/>
        </w:rPr>
        <w:t>A5 / SORE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A5 / SORE</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Update F(x,u,y), admitted domain Adm, retained output y with lineage, and comparison equality.</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Dep_y(F) iff some admitted x,u,y≠y’ satisfy F(x,u,y)≠F(x,u,y’).</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Attach a dependence certificate linking a retained output to a later successor.</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Admitted domain, equality, output lineage, update law, and selected dependence semantics.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Compared inputs, successors, lineage, and semantics.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y-independent F0 is a predecessor countermodel and cannot satisfy the certificate on the admitted domain.</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Minimum extensional realization; causal readings require additional structure.</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Witness pair, unused-argument negative, reachability distinction, lineage, noise, and forget-to-A4.</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intervention causality, reachable influence, stability, intent, or agency.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Reachability, stochasticity, interventions, thresholds, and causal interpretation.</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F/domain/lineage/semantics invalidates the certificate and reopens A5.</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Joyal, Street, and Verity [S4] as optional feedback structure; PAL v1.6 A5 and O09.</w:t>
            </w:r>
          </w:p>
        </w:tc>
      </w:tr>
    </w:tbl>
    <w:p>
      <w:pPr>
        <w:pStyle w:val="Heading2"/>
        <w:keepNext/>
        <w:keepLines/>
        <w:rPr/>
      </w:pPr>
      <w:bookmarkStart w:id="26" w:name="m-a6-modes---mode-tagged-viability-and-s"/>
      <w:r>
        <w:rPr/>
        <w:t>M-A6-MODES - Mode-tagged viability and stability</w:t>
      </w:r>
      <w:bookmarkEnd w:id="26"/>
    </w:p>
    <w:p>
      <w:pPr>
        <w:pStyle w:val="Normal"/>
        <w:keepNext/>
        <w:keepLines/>
        <w:rPr>
          <w:b/>
          <w:bCs/>
        </w:rPr>
      </w:pPr>
      <w:r>
        <w:rPr>
          <w:b/>
          <w:bCs/>
        </w:rPr>
        <w:t>A6 / SOSA</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A6 / SOSA</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Dynamics D, inhabited region K, mode tag m, perturbation class P, horizon H, tolerance ε, and proof π_m.</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SOSA(D,K,m,P,H,ε,π_m), with separate constructors for invariant, viable, robust, Lyapunov, structural, or named modes.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π_m only against the rules of m and issue a scope-limited certificate.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Inhabited K, typed dynamics, selected mode, scope, perturbations, horizon, and tolerance.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Mode, dynamics, K, proof, feedback dependencies, and boundary receipts.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A5 feedback without any mode proof is a predecessor countermodel. No constructor coerces one mode into another.</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Mode-split core; each proof is model-specific.</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Nonempty K, proof check, mode mismatch, horizon/tolerance mutation, perturbation change, and forget-to-A5.</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eternal stability, cross-mode inheritance, life, consciousness, goodness, or standing.</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Cross-mode bridges, open systems, stochastic behavior, physical meaning, and adequacy.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parameter or boundary-evidence change reopens only the affected mode certificate.</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Aubin and Cellina [S10]; Sanfelice, Goebel, and Teel [S15]; PAL v1.6 A6/O10.</w:t>
            </w:r>
          </w:p>
        </w:tc>
      </w:tr>
    </w:tbl>
    <w:p>
      <w:pPr>
        <w:pStyle w:val="Heading2"/>
        <w:keepNext/>
        <w:keepLines/>
        <w:rPr/>
      </w:pPr>
      <w:bookmarkStart w:id="27" w:name="m-a7-twoledger---occurrenceaccess-two-le"/>
      <w:r>
        <w:rPr/>
        <w:t>M-A7-TWOLEDGER - Occurrence/access two-ledger architecture</w:t>
      </w:r>
      <w:bookmarkEnd w:id="27"/>
    </w:p>
    <w:p>
      <w:pPr>
        <w:pStyle w:val="Normal"/>
        <w:keepNext/>
        <w:keepLines/>
        <w:rPr>
          <w:b/>
          <w:bCs/>
        </w:rPr>
      </w:pPr>
      <w:r>
        <w:rPr>
          <w:b/>
          <w:bCs/>
        </w:rPr>
        <w:t>A7 - routing and refresh</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A7 - routing and refresh</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Immutable occurrence ledger K, mutable/versioned access ledger R, root IDs, parent links, protected queries Q, route operation op, and burden β.</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Route7(K,R,op,w)=(K,R’,receipt) with K unchanged and every access item linked to a root occurrence.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Retain, Compress, Carry, Disperse, Copy, Move, or Refresh under a typed reconstruction rule.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Operation semantics, root/parent policy, reconstruction or protected-query proof, and burden model.</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Occurrence map, roots, parents, route receipts, compression/refresh certificates, and burdens.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A6 organization with no access ledger is a predecessor countermodel; routing adds no new occurrence by default.</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Parametric architecture; implementation durability and permissions are branch-local.</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K immutability, root conservation, copy/move distinction, query reconstruction, refresh provenance, and burden mutation.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route-to-effect law, access authorization, lattice structure, or new occurrence by copying.</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Reconstruction, burden physics, access control, and algebra of routes.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Failed reconstruction, root mismatch, ambiguous op, or changed burden reopens the route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Persistent stores [S2]; provenance [S7]; PAL v1.6 A7 and O11-O12.</w:t>
            </w:r>
          </w:p>
        </w:tc>
      </w:tr>
    </w:tbl>
    <w:p>
      <w:pPr>
        <w:pStyle w:val="Heading2"/>
        <w:keepNext/>
        <w:keepLines/>
        <w:rPr/>
      </w:pPr>
      <w:bookmarkStart w:id="28" w:name="m-a8-effect---conditional-route-to-effec"/>
      <w:r>
        <w:rPr/>
        <w:t>M-A8-EFFECT - Conditional route-to-effect classification</w:t>
      </w:r>
      <w:bookmarkEnd w:id="28"/>
    </w:p>
    <w:p>
      <w:pPr>
        <w:pStyle w:val="Normal"/>
        <w:keepNext/>
        <w:keepLines/>
        <w:rPr>
          <w:b/>
          <w:bCs/>
        </w:rPr>
      </w:pPr>
      <w:r>
        <w:rPr>
          <w:b/>
          <w:bCs/>
        </w:rPr>
        <w:t>A8 / SIA-SPLAT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A8 / SIA-SPLAT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Route receipt r, effect map μ:r→Interval(G), viability margin v, update U, thresholds/hysteresis H, units, and horizon.</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Classify(U(v,μ(r)),H) in {maintenance, intensification, attrition, contact, mixed, UNRESOLVED}, with optional SIA/SPLAT labels.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Update the declared margin and issue a response receipt with interval and threshold lineage.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A supplied effect law, significance rule, calibrated thresholds, units, horizon, and no root double counting.</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A7 route/root, original effect interval, margin history, thresholds, and unresolved cases.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Identical route ledgers can admit opposite μ; therefore A7 alone does not determine A8.</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branch family plus a core negative bridge theorem.</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Opposite-map countermodel, threshold/hysteresis, units, interval overlap, mixed response, and root deduplication.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universal effect law, life/agency/consent/standing, or moral interpretation.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Effect mechanism, empirical calibration, causal significance, coverage, and mixed cases.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μ, thresholds, evidence, horizon, units, or roots reopens response classification.</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v1.6 A8 and O12/O21; CLEF v1.0 for calibration realizations.</w:t>
            </w:r>
          </w:p>
        </w:tc>
      </w:tr>
    </w:tbl>
    <w:p>
      <w:pPr>
        <w:pStyle w:val="Heading2"/>
        <w:keepNext/>
        <w:keepLines/>
        <w:rPr/>
      </w:pPr>
      <w:bookmarkStart w:id="29" w:name="m-a9-quot---task-right-congruence-quotie"/>
      <w:r>
        <w:rPr/>
        <w:t>M-A9-QUOT - Task right-congruence quotient</w:t>
      </w:r>
      <w:bookmarkEnd w:id="29"/>
    </w:p>
    <w:p>
      <w:pPr>
        <w:pStyle w:val="Normal"/>
        <w:keepNext/>
        <w:keepLines/>
        <w:rPr>
          <w:b/>
          <w:bCs/>
        </w:rPr>
      </w:pPr>
      <w:r>
        <w:rPr>
          <w:b/>
          <w:bCs/>
        </w:rPr>
        <w:t>A9 / χ</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A9 / χ</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Histories H, continuations Z, task observation Q, concatenation, and decoder/realization maps.</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h≡_Q h’ iff for every continuation z, Q(hz)=Q(h’z); χ_Q=H/≡_Q.</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Quotient histories by future task equivalence and retain the class realization/dependency map.</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Deterministic task semantics, continuation closure, equivalence decidability where claimed, and nontrivial usefulness.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Task version, aperture, source histories through dependencies, reachable-image decoder, any separately proved totalization and decoder class, and discarded distinctions. Cross-route: M-INTERFACE-FIBER.</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A8 histories without quotient/sufficiency are a predecessor model; a one-class quotient must still prove nontrivial work if usefulness is claimed.</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Myhill-Nerode realization; minimality only under its theorem assumptions.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Equivalence laws, right congruence, reachable decoder, totalization and decoder-class separation, task mutation, nontrivial work, aperture stability, and forget-to-A8.</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global center, physical location, consciousness, execution authority, standing, or Ω ownership.</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Task choice, probabilistic/nonstationary alternatives, finite usefulness, and aperture drift.</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task/continuation/equivalence/decoder/aperture reopens χ and every dependent comparison.</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Nerode [S8]; Littman, Sutton, and Singh [S9]; PAL v1.6 A9/O13.</w:t>
            </w:r>
          </w:p>
        </w:tc>
      </w:tr>
    </w:tbl>
    <w:p>
      <w:pPr>
        <w:pStyle w:val="Heading2"/>
        <w:keepNext/>
        <w:keepLines/>
        <w:rPr/>
      </w:pPr>
      <w:bookmarkStart w:id="30" w:name="m-a9-psr---predictive-state-sufficient-r"/>
      <w:r>
        <w:rPr/>
        <w:t>M-A9-PSR - Predictive-state sufficient representation</w:t>
      </w:r>
      <w:bookmarkEnd w:id="30"/>
    </w:p>
    <w:p>
      <w:pPr>
        <w:pStyle w:val="Normal"/>
        <w:keepNext/>
        <w:keepLines/>
        <w:rPr>
          <w:b/>
          <w:bCs/>
        </w:rPr>
      </w:pPr>
      <w:r>
        <w:rPr>
          <w:b/>
          <w:bCs/>
        </w:rPr>
        <w:t>A9 probabilistic branch</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A9 probabilistic branch</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History h, future tests T, predictive vector p(T|h), task aperture, update and decoder.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 sufficient predictive state whose equality is defined relative to declared future tests and tolerance.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Map histories to task-relative predictive states and retain uncertainty/calibration receipts.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Probabilistic semantics, test family, calibration, stationarity conditions where used, and tolerance.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History dependency, test aperture, uncertainty, reachable-image decoder, any separately proved totalization and decoder class, and versions. Cross-route: M-INTERFACE-FIBER.</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Adds probabilistic structure beyond M-A9-QUOT and cannot be silently substituted for it.</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Alternative branch realization.</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Sufficiency, calibration, tolerance, aperture mutation, nonstationarity, reachable/total decoder separation, and decoder-class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observer, agency, global prediction, or standing.</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Model misspecification, untested futures, nonstationarity, and identifiability.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Calibration or aperture failure reopens the center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Littman, Sutton, and Singh [S9]; PAL O13.</w:t>
            </w:r>
          </w:p>
        </w:tc>
      </w:tr>
    </w:tbl>
    <w:p>
      <w:pPr>
        <w:pStyle w:val="Heading2"/>
        <w:keepNext/>
        <w:keepLines/>
        <w:rPr/>
      </w:pPr>
      <w:bookmarkStart w:id="31" w:name="m-a10-partial---partial-frame-comparison"/>
      <w:r>
        <w:rPr/>
        <w:t>M-A10-PARTIAL - Partial-frame comparison</w:t>
      </w:r>
      <w:bookmarkEnd w:id="31"/>
    </w:p>
    <w:p>
      <w:pPr>
        <w:pStyle w:val="Normal"/>
        <w:keepNext/>
        <w:keepLines/>
        <w:rPr>
          <w:b/>
          <w:bCs/>
        </w:rPr>
      </w:pPr>
      <w:r>
        <w:rPr>
          <w:b/>
          <w:bCs/>
        </w:rPr>
        <w:t>A10 - comparison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A10 - comparison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Centers χ_i, χ_j; frames F_i,F_j; partial maps or common span B; comparator cmp_B; operation order; tie band ε.</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Compare_B(χ_i,χ_j) in {&lt;,≈,&gt;,INCOMPARABLE,UNRESOLVED} only where transports are defined.</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Transport without merging and append a comparison receipt.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Current center certificates, typed frame maps, common domain, comparator, order, and tie tolerance.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Both centers, dependencies, frame maps, transport order, and comparison rationale.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Centers can remain incomparable; no total comparator is derivable from A9 alone.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Parametric minimal frame realization.</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Undefined map, noncommuting order, tie band, frame mutation, symmetry/asymmetry as declared, and no-merge.</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global total order, moral ranking, shared identity, or universal translation.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Undefined maps, frame adequacy, noncommutativity, and global claims.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frame/map/comparator/order/tolerance/center change reopens comparison.</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Category/groupoid language as optional support; PAL v1.6 A10/O14.</w:t>
            </w:r>
          </w:p>
        </w:tc>
      </w:tr>
    </w:tbl>
    <w:p>
      <w:pPr>
        <w:pStyle w:val="Heading2"/>
        <w:keepNext/>
        <w:keepLines/>
        <w:rPr/>
      </w:pPr>
      <w:bookmarkStart w:id="32" w:name="m-a11-cpl---constitutively-coupled-field"/>
      <w:r>
        <w:rPr/>
        <w:t>M-A11-CPL - Constitutively coupled field</w:t>
      </w:r>
      <w:bookmarkEnd w:id="32"/>
    </w:p>
    <w:p>
      <w:pPr>
        <w:pStyle w:val="Normal"/>
        <w:keepNext/>
        <w:keepLines/>
        <w:rPr>
          <w:b/>
          <w:bCs/>
        </w:rPr>
      </w:pPr>
      <w:r>
        <w:rPr>
          <w:b/>
          <w:bCs/>
        </w:rPr>
        <w:t>A11 coupling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A11 coupling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Graph G, local fibers F_v, transports τ_e, coupling maps Γ_e, provenance, and nontriviality proof.</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F11=(G,{F_v},{τ_e},{Γ_e},Prov) with at least one Γ_e nonconstant on the admitted domain.</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Attach coupling and path-indexed transport receipts to current centers.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Typed graph/fibers, domain-compatible transports, coupling law, provenance, and nonconstant witness.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Centers, addresses, edges, transports, path order, debt, coupling witnesses,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tree may be coupled with no competing paths; coupling therefore does not imply path sensitivity.</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One coequal A11 admission family.</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Nonconstant coupling, domain match, tree countermodel, path order, delete-coupling, and no-jointness coercion.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automatic jointness, entanglement, Bell nonlocality, causal influence, robustness, consent, or authority.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Concrete dynamics, path equivalence, smoothness, physical interpretation, and robustness.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coupling/transport/path/domain/provenance reopens the coupling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Hansen and Ghrist [S14]; PAL v1.6 A11/O15/O44.</w:t>
            </w:r>
          </w:p>
        </w:tc>
      </w:tr>
    </w:tbl>
    <w:p>
      <w:pPr>
        <w:pStyle w:val="Heading2"/>
        <w:keepNext/>
        <w:keepLines/>
        <w:rPr/>
      </w:pPr>
      <w:bookmarkStart w:id="33" w:name="m-a11-jnt---doctrine-relative-jointness-"/>
      <w:r>
        <w:rPr/>
        <w:t>M-A11-JNT - Doctrine-relative jointness with carried flexibility</w:t>
      </w:r>
      <w:bookmarkEnd w:id="33"/>
    </w:p>
    <w:p>
      <w:pPr>
        <w:pStyle w:val="Normal"/>
        <w:keepNext/>
        <w:keepLines/>
        <w:rPr>
          <w:b/>
          <w:bCs/>
        </w:rPr>
      </w:pPr>
      <w:r>
        <w:rPr>
          <w:b/>
          <w:bCs/>
        </w:rPr>
        <w:t>A11 jointness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A11 jointness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Local types L_i, joint type J, composition doctrine D, separable class Sep_D, tolerance ε, permitted motions P, invariants I, and checker.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JointCert_D(j,ε,P,I) certifying jointness/nonseparability under D while listing allowed flexibility and reopening limits.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the doctrine-relative certificate and append the jointness/flexibility account.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Declared doctrine, state types, separable class, tolerance, completeness/decidability limits, and sound checker.</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Local/joint states, doctrine, decomposition evidence, permitted motions, invariants, tolerances, and dependencies.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jointness certificate need not supply a coupling map; coupling and jointness are coequal but noncoercive.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Second coequal A11 admission family; physical claims require a physical doctrine.</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Soundness, known separable/nonseparable fixtures, motion within/outside P, invariant preservation, tolerance mutation, and no-coupling coercion.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automatic physical entanglement, Bell violation, causal influence, consent, or moral status.</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Doctrine completeness, undecidable cases, physical interpretation, free-process preservation, and unused flexibility.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D, Sep_D, ε, P, I, state scope, or evidence reopens the jointness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Werner [S25]; Horodecki et al. [S26]; Bell [S27]; Coecke, Fritz, and Spekkens [S28]; PAL O43-O46.</w:t>
            </w:r>
          </w:p>
        </w:tc>
      </w:tr>
    </w:tbl>
    <w:p>
      <w:pPr>
        <w:pStyle w:val="Heading2"/>
        <w:keepNext/>
        <w:keepLines/>
        <w:rPr/>
      </w:pPr>
      <w:bookmarkStart w:id="34" w:name="m-a12-linear---single-lineage-linear-tok"/>
      <w:r>
        <w:rPr/>
        <w:t>M-A12-LINEAR - Single-lineage linear token automaton</w:t>
      </w:r>
      <w:bookmarkEnd w:id="34"/>
    </w:p>
    <w:p>
      <w:pPr>
        <w:pStyle w:val="Normal"/>
        <w:keepNext/>
        <w:keepLines/>
        <w:rPr>
          <w:b/>
          <w:bCs/>
        </w:rPr>
      </w:pPr>
      <w:r>
        <w:rPr>
          <w:b/>
          <w:bCs/>
        </w:rPr>
        <w:t>A12 - safe re-entry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A12 - safe re-entry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Lineage ℓ, live token Live(ℓ,p), checkpoints, atomic Step, replay cache, stale rule, and terminal receipts.</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For each ℓ, live_count(ℓ)+terminal_count(ℓ)≤1 across atomic transitions. M-A12-CAPSULE inherits this law; checkpoint equality does not prove or supply token authority.</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Consume one live token and emit one successor or one terminal outcome.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Sequential atomicity, unique lineage/token IDs, mutually exclusive outcomes, and replay policy.</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Route history, checkpoints, attempts, predecessor links, and terminal status.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An A11 route with no token discipline is a predecessor countermodel.</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Sequential core realization; concurrency is an implementation branch.</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Conservation, duplicate token, stale replay, checkpoint mismatch, capsule-without-token-authority rejection, exclusive terminal, and forget-to-A11.</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concurrency, crash recovery, distributed consensus, idempotent external effects, or branch authority.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Durability, concurrency, crashes, external effects, and lawful branching.</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conservation or checkpoint failure reopens the route and preserves all attempts.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Girard [S5]; Petri [S6]; Honda et al. [S41]; PAL v1.6 A12/O16.</w:t>
            </w:r>
          </w:p>
        </w:tc>
      </w:tr>
    </w:tbl>
    <w:p>
      <w:pPr>
        <w:pStyle w:val="Heading2"/>
        <w:keepNext/>
        <w:keepLines/>
        <w:rPr/>
      </w:pPr>
      <w:bookmarkStart w:id="35" w:name="m-a13-rank---well-founded-rank-cadence"/>
      <w:r>
        <w:rPr/>
        <w:t>M-A13-RANK - Well-founded rank cadence</w:t>
      </w:r>
      <w:bookmarkEnd w:id="35"/>
    </w:p>
    <w:p>
      <w:pPr>
        <w:pStyle w:val="Normal"/>
        <w:keepNext/>
        <w:keepLines/>
        <w:rPr>
          <w:b/>
          <w:bCs/>
        </w:rPr>
      </w:pPr>
      <w:r>
        <w:rPr>
          <w:b/>
          <w:bCs/>
        </w:rPr>
        <w:t>A13 rank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A13 rank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A12 nonterminal states S, well-founded order ≺ on R, and rank ρ:S→R.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Every nonterminal return s→s’ satisfies ρ(s’)≺ρ(s).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attempts and a checked rank decrease on productive transitions until terminal or invalidation. Administrative heartbeat steps do not satisfy descent.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Well-founded order, total rank on admitted nonterminal states, and sound step classification.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Attempts, ranks, comparisons, failures, and terminal receipts.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An unranked self-loop is a predecessor countermodel; strict descent excludes infinite nonterminal runs.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Termination-style cadence, not physical time.</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Well-foundedness, productive-step strict decrease, administrative-heartbeat nonprogress, equal/increasing negative fixtures, terminal exemption, and rank mutation.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positive tick cost, physical duration, scheduler fairness, or liveness without termination.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Cost, clock time, rank choice, and branching schedules.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nondecrease or changed rank/order reopens the cadence certificate.</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Lean/Mathlib well-founded machinery [S16-S18,S36]; PAL v1.6 A13/O17/O23.</w:t>
            </w:r>
          </w:p>
        </w:tc>
      </w:tr>
    </w:tbl>
    <w:p>
      <w:pPr>
        <w:pStyle w:val="Heading2"/>
        <w:keepNext/>
        <w:keepLines/>
        <w:rPr/>
      </w:pPr>
      <w:bookmarkStart w:id="36" w:name="m-a13-live---fair-liveness-cadence"/>
      <w:r>
        <w:rPr/>
        <w:t>M-A13-LIVE - Fair-liveness cadence</w:t>
      </w:r>
      <w:bookmarkEnd w:id="36"/>
    </w:p>
    <w:p>
      <w:pPr>
        <w:pStyle w:val="Normal"/>
        <w:keepNext/>
        <w:keepLines/>
        <w:rPr>
          <w:b/>
          <w:bCs/>
        </w:rPr>
      </w:pPr>
      <w:r>
        <w:rPr>
          <w:b/>
          <w:bCs/>
        </w:rPr>
        <w:t>A13 liveness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A13 liveness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Transition system, temporal acceptance condition φ, scheduler model, and fairness assumption Fair.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LiveCadence(φ,Fair) checked relative to the declared temporal semantics.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Track productive recurrence and issue liveness status under the named fairness basis. Administrative heartbeat steps do not satisfy acceptance by themselves.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Explicit temporal logic, schedule, fairness, acceptance, and observation horizon.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Attempts, schedule/fairness assumptions, temporal evidence, failures, and stop rules.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Fairness is not free; without it the same loop may fail liveness.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Liveness-style cadence; does not imply termination.</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Fair/unfair schedules, productive acceptance, heartbeat-only negative fixture, stuttering policy, horizon change, and no-termination coercion.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guaranteed fairness, physical time, positive cost, or termination.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Scheduler reality, finite observation, physical timing, and cost.</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Fairness/schedule/acceptance change reopens the liveness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Manna and Pnueli [S11]; PAL v1.6 A13/O17.</w:t>
            </w:r>
          </w:p>
        </w:tc>
      </w:tr>
    </w:tbl>
    <w:p>
      <w:pPr>
        <w:pStyle w:val="Heading2"/>
        <w:keepNext/>
        <w:keepLines/>
        <w:rPr/>
      </w:pPr>
      <w:bookmarkStart w:id="37" w:name="m-a14-slack---scalar-or-interval-slack"/>
      <w:r>
        <w:rPr/>
        <w:t>M-A14-SLACK - Scalar or interval slack</w:t>
      </w:r>
      <w:bookmarkEnd w:id="37"/>
    </w:p>
    <w:p>
      <w:pPr>
        <w:pStyle w:val="Normal"/>
        <w:keepNext/>
        <w:keepLines/>
        <w:rPr>
          <w:b/>
          <w:bCs/>
        </w:rPr>
      </w:pPr>
      <w:r>
        <w:rPr>
          <w:b/>
          <w:bCs/>
        </w:rPr>
        <w:t>A14 - quantitative slack</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A14 - quantitative slack</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State x, predeclared constraint c, ordered codomain with units, zero boundary, tolerance ε, uncertainty interval [c_lo,c_hi], and optional grant-epoch budget B with cumulative consumption c_k.</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Given a constraint interval [c_lo,c_hi], define slack interval [s_lo,s_hi]=[-c_hi,-c_lo] and ε≥0. FEASIBLE iff s_lo&gt;ε; VIOLATED iff s_hi&lt;-ε; CONTACT iff -ε≤s_lo and s_hi≤ε; otherwise UNRESOLVED. For exact c(x), s(x)=-c(x). In the budget branch, s_k=B-c_k; nondecreasing c_k makes s_k nonincreasing within one grant epoch.</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Evaluate the fixed constraint and issue an interval-aware slack receipt.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Constraint fixed before observation, units, order, evaluator, uncertainty, and tolerance.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A6 boundary, A13 route, original constraint, interval, units, tolerance, grant epoch, resource ledger, and sensitivity evidence. Work stutter may consume slack.</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cadence with no quantitative constraint is a predecessor countermodel; a gradient requires added differentiability.</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Scalar/interval minimum; vector and gradient extensions are branches.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Known feasible/contact/violated fixtures including equality at ±ε; cross-regime interval -&gt; UNRESOLVED; monotone-consumption budget fixture; stutter-with-resource-use; top-up-as-new-epoch; units, post-hoc constraint, tolerance mutation, and no-gradient default.</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ethical permission, value judgment, free scalarization, or mandatory gradient.</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Vector aggregation, nonsmooth sensitivity, partial observation, norms, and gradient laws.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constraint/unit/tolerance/interval/evaluator/route change reopens the assessment. A top-up opens a new receipted grant epoch; it does not reset spent budget.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Rockafellar [S30] for convex-analysis branches; CLEF v1.0; PAL v1.6 A14/O18.</w:t>
            </w:r>
          </w:p>
        </w:tc>
      </w:tr>
    </w:tbl>
    <w:p>
      <w:pPr>
        <w:pStyle w:val="Heading2"/>
        <w:keepNext/>
        <w:keepLines/>
        <w:rPr/>
      </w:pPr>
      <w:bookmarkStart w:id="38" w:name="m-a15-check---proof-checker-relative-clo"/>
      <w:r>
        <w:rPr/>
        <w:t>M-A15-CHECK - Proof-checker-relative closure</w:t>
      </w:r>
      <w:bookmarkEnd w:id="38"/>
    </w:p>
    <w:p>
      <w:pPr>
        <w:pStyle w:val="Normal"/>
        <w:keepNext/>
        <w:keepLines/>
        <w:rPr>
          <w:b/>
          <w:bCs/>
        </w:rPr>
      </w:pPr>
      <w:r>
        <w:rPr>
          <w:b/>
          <w:bCs/>
        </w:rPr>
        <w:t>A15 receipt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A15 receipt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Claim q, typed logic L, checker C, proof p, versioned dependency graph Dep, scope, tolerance, authority, and invalidation rule.</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CloseCheck(q,p,Dep)→Receipt(status,scope,versions,authority,residual,reopen), where status is one of the four PAL statuses.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p and dependencies; issue CLOSED_IN_SCOPE only for the declared fragment; otherwise preserve OPEN or UNRESOLVED.</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Checker soundness is bounded to L/version; dependencies are complete for the claim class; conflicts/cycles have typed handling.</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Proof, checker/version, dependencies, contrary evidence, scope, tolerance, residual, and prior receipts.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A14 account without closure receipt is a predecessor model; a valid receipt adds no authority beyond its fields.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Relative formal closure only.</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Valid/invalid proof, stale dependency, conflict, cycle, incomplete slice, tolerance change, interface-factorization/checkpoint/compactification noncoercion, A2-only closure rejection, occurrence/source separation, global-first rejection, and PAL_COMPLETE rejection.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Interface factorization, checkpoint equality, and compactification closure do not become A15 receipts without a declared checker, scope, evidence, authority, residual, and reopen profile. No universal completeness, reality/Ω/PAL closure, ultimate-source closure, global primacy, ethics, authorization, or future-version closure follows. Closing one occurrence claim does not close O04/O25.</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Outside logic, dependencies, scope, evidence, tolerance, authority, and undecidable fragment.</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material delta appends REOPENED(q,delta) with the former receipt and preserved trace.</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Martin-Löf [S19]; Doyle [S13]; Lean/Mathlib [S16-S18]; PAL v1.6 A15/O19/O47-O50.</w:t>
            </w:r>
          </w:p>
        </w:tc>
      </w:tr>
    </w:tbl>
    <w:p>
      <w:pPr>
        <w:pStyle w:val="Heading2"/>
        <w:keepNext/>
        <w:keepLines/>
        <w:rPr/>
      </w:pPr>
      <w:bookmarkStart w:id="39" w:name="m-a15-route---route-relative-invariant-c"/>
      <w:r>
        <w:rPr/>
        <w:t>M-A15-ROUTE - Route-relative invariant closure</w:t>
      </w:r>
      <w:bookmarkEnd w:id="39"/>
    </w:p>
    <w:p>
      <w:pPr>
        <w:pStyle w:val="Normal"/>
        <w:keepNext/>
        <w:keepLines/>
        <w:rPr>
          <w:b/>
          <w:bCs/>
        </w:rPr>
      </w:pPr>
      <w:r>
        <w:rPr>
          <w:b/>
          <w:bCs/>
        </w:rPr>
        <w:t>A15 receipt family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A15 receipt family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Transition system (S,→), current state s, admissible transition/budget profile B, invariant I, break condition Bad, and dependencies.</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s∈I; every B-admissible transition preserves I; I∩Bad=∅ within the declared horizon/scope.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the route invariant and issue a route-scoped receipt with residual transitions and reopening triggers.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Typed transitions, complete admitted budget profile, invariant checker, horizon, and break predicate.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Current state, route history, transitions, budgets, invariant, excluded states, checker limits, and former receipts.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Proof-checker closure and route closure are separately typed; neither coerces into the other.</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Relative route closure only.</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Initial containment, transition preservation, bad-state exclusion, omitted transition, budget mutation, horizon change, interface/checkpoint/compactification noncoercion, and no-checker coercion.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closure of unmodeled transitions, future profiles, PAL, Ω, reality, ethics, or authorization. Interface factorization, checkpoint equality, and compactification closure require the full A15 receipt profile before any A15 status is issued.</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Unmodeled transitions, changed budgets, outside horizon, model inadequacy, and external authority.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new admissible transition, budget, state, evidence, or break condition appends REOPENED with history intact.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Hybrid systems [S15]; temporal logic [S11]; PAL v1.6 A15/O19/O47-O50.</w:t>
            </w:r>
          </w:p>
        </w:tc>
      </w:tr>
    </w:tbl>
    <w:p>
      <w:pPr>
        <w:pStyle w:val="Heading1"/>
        <w:keepNext/>
        <w:keepLines/>
        <w:rPr/>
      </w:pPr>
      <w:bookmarkStart w:id="40" w:name="first-cut-realization-family"/>
      <w:r>
        <w:rPr/>
        <w:t>6. First-cut realization family</w:t>
      </w:r>
      <w:bookmarkEnd w:id="40"/>
    </w:p>
    <w:p>
      <w:pPr>
        <w:pStyle w:val="Normal"/>
        <w:keepNext/>
        <w:keepLines/>
        <w:rPr>
          <w:b/>
          <w:bCs/>
        </w:rPr>
      </w:pPr>
      <w:r>
        <w:rPr>
          <w:b/>
          <w:bCs/>
        </w:rPr>
        <w:t>These cards are plural, bounded realizations of SC-19. They do not add a primitive source object, identify Ω, close D-FIRST-OCCURRENCE, or make the Attack Run 0002 implementation canonical.</w:t>
      </w:r>
    </w:p>
    <w:p>
      <w:pPr>
        <w:pStyle w:val="BodyText"/>
        <w:rPr/>
      </w:pPr>
      <w:r>
        <w:rPr/>
        <w:t>Attack Run 0002 evidence: Lean 4 v4.32.1; Mathlib input v4.32.1, resolved revision 520045ab14e26149ee970e2e617ca04b09bde5d6; proposal head 5a9afad9243905b88444138486154f534e45ebcc; tested synthetic merge cbce1130b2e059f2d1e8e594e365ee07320291f9; merged evidence commit 144b08973fde16ebeabefc78166691afc861abec; CI run 31319145212. The run reported 3 PROVED and 5 COUNTERMODEL results, each with an empty Lean axiom receipt. Explicit hypotheses, structure fields, supplied data, and interpretation choices remain part of the assumption account.</w:t>
      </w:r>
    </w:p>
    <w:p>
      <w:pPr>
        <w:pStyle w:val="Heading2"/>
        <w:keepNext/>
        <w:keepLines/>
        <w:rPr/>
      </w:pPr>
      <w:bookmarkStart w:id="41" w:name="m-a0-scoped-first---scoped-firstness-wit"/>
      <w:r>
        <w:rPr/>
        <w:t>M-A0-SCOPED-FIRST - Scoped firstness without global promotion</w:t>
      </w:r>
      <w:bookmarkEnd w:id="4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A0 account order; SC-19.1 and SC-19.4.</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Events E, declared comparison scope K⊆E, supplied strict relation ≺, admitted cut a, and evidence a∈K.</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First_K(a) iff a∈K and no x∈K satisfies x≺a. For account order, the first admitted cut occupies the first cut position in the receipt sequence.</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minimality only under the supplied scope and relation. A stronger firstness claim requires a new scope, relation, and evidence package.</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Scope membership, relation semantics, comparison evidence, and version are supplied. Temporal, ontic, causal, and global meanings are not inferred from sequence position.</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Cut receipt, ledger position, scope, relation, evidence, excluded events, incomparable cases, and authority ceiling.</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Countermodel: E={p,a}, K={a}, and p≺a. Then First_K(a) is true while First_E(a) is false.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PREDICATE plus COUNTERMODEL; elementary scoped-order reasoning.</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Account-first fixture, expanded-scope countermodel, changed-order/scope, incomparable event, and no automatic A10 receipt.</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temporal, ontic, causal, or global primacy; no total order or universal comparison.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Excluded events, order adequacy, unknown comparators, incomparability, and evidence provenance.</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Changed scope, relation, evidence, or account version reopens the receipt. If canonical A10 is invoked, route through SC-13, M-A10-PARTIAL, and O14.</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SC-01, SC-19.1, SC-19.4, D16, D19; Attack Run 0002 AR2-06 as nonauthoritative implementation evidence.</w:t>
            </w:r>
          </w:p>
        </w:tc>
      </w:tr>
    </w:tbl>
    <w:p>
      <w:pPr>
        <w:pStyle w:val="Heading2"/>
        <w:keepNext/>
        <w:keepLines/>
        <w:rPr/>
      </w:pPr>
      <w:bookmarkStart w:id="42" w:name="m-source-fiber---cut-only-source-underde"/>
      <w:r>
        <w:rPr/>
        <w:t>M-SOURCE-FIBER - Cut-only source underdetermination</w:t>
      </w:r>
      <w:bookmarkEnd w:id="4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A0 source ceiling; SC-19.3 and SC-19.6.</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Model-supplied candidate-source type S, cut type C, result type R, source map σ:S→C, accessible cut c, and cut-only downstream map f:C→R.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s₁ ~σ s₂ iff σ(s₁)=σ(s₂); Fibσ(c)={s∈S : σ(s)=c}. Equal cuts imply f(σ(s₁))=f(σ(s₂)) for every cut-only f. This is a specialization of M-INTERFACE-FIBER.</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Form a scoped source fiber and check downstream congruence. A discriminating witness that crosses the interface changes the input beyond cut-only.</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S, C, σ, equality, interface scope, and any discriminating witness are explicit model data. S is not Ω and is not assumed exhaustive.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Cut identity, source-map version, interface aperture, modeled candidates, excluded candidates, and witness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Noninjective countermodel: S=Bool, C=Unit, σ constant. Injective swap model: S=C=Bool, σ=id. Source existence still requires an inhabited fiber or supplied witness.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THEOREM plus paired COUNTERMODEL and swap model.</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Downstream congruence, constant map, injective branch, richer interface, empty/inhabited fiber, and source-map/aperture mutation.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 cut-only inference ceiling only: neither noninjectivity nor a vacuous empty fiber establishes an actual source. No actual-source identification, universal source multiplicity, exhaustive ontology, or Ω surrogate follows.</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Model adequacy, unrepresented sources, fiber inhabitance, injectivity, discriminating evidence, and whether the interface is truly cut-only.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new witness, richer interface, changed source map, or changed source universe reopens the result. Ultimate source returns to O04; witness nonmanufacture returns to O25.</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M-A0-CUT, SC-19.3, SC-19.6, O04/O25; Attack Run 0002 AR2-01/02 as nonauthoritative evidence.</w:t>
            </w:r>
          </w:p>
        </w:tc>
      </w:tr>
    </w:tbl>
    <w:p>
      <w:pPr>
        <w:pStyle w:val="Heading3"/>
        <w:keepNext/>
        <w:keepLines/>
        <w:rPr/>
      </w:pPr>
      <w:bookmarkStart w:id="43" w:name="optional-quantitative-branch"/>
      <w:r>
        <w:rPr/>
        <w:t>Optional quantitative branch</w:t>
      </w:r>
      <w:bookmarkEnd w:id="43"/>
    </w:p>
    <w:p>
      <w:pPr>
        <w:pStyle w:val="Normal"/>
        <w:keepNext/>
        <w:keepLines/>
        <w:rPr/>
      </w:pPr>
      <w:r>
        <w:rPr/>
        <w:t>In a separately supplied probabilistic model where S→C→R is a Markov route and the relevant mutual informations are defined, the data-processing inequality gives I(S;R)≤I(S;C). This statistical strengthening requires declared probability, kernel, measurability, and finiteness assumptions. It neither proves actual source multiplicity nor describes Ω.</w:t>
      </w:r>
    </w:p>
    <w:p>
      <w:pPr>
        <w:pStyle w:val="Heading2"/>
        <w:keepNext/>
        <w:keepLines/>
        <w:rPr/>
      </w:pPr>
      <w:bookmarkStart w:id="44" w:name="m-a2-history---recoverable-occurrence-wi"/>
      <w:r>
        <w:rPr/>
        <w:t>M-A2-HISTORY - Recoverable occurrence without current activity</w:t>
      </w:r>
      <w:bookmarkEnd w:id="4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A1/A2 occurrence history; SC-19.3.</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Ordered event index T, distinction d, valid A1 event receipt at τ, append-only A2 store H, recovery predicate, and declared scope.</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Occurred_H(d,t) iff some τ≤t has A1Event(d,τ) and Recoverable_H(d,τ). Under monotone order and a protected store, Occurred_H(d,t) and t≤u imply Occurred_H(d,u).</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Consume valid A1 evidence and a successful A2 recovery test; emit history evidence, not an A15 closure receipt.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Event order, supplied A1 evidence, recovery semantics, append-only protection, scope, store version, and lookup success.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A1 boundary/orientation, original event receipt, recovery address, store version, scope, and failed recovery states.</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Activity may be true only at index 0 and false at index 1 while a protected receipt remains recoverable. An A0-only model has no valid constructor input.</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BRANCH realization with monotonicity theorem and countermodel.</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Valid A1/A2 route, A0-only rejection, occurrence/activity separation, monotonicity, failed lookup/mutation, and A15 noncoercion.</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CLOSED_IN_SCOPE, continuous existence, immortality, retrocausation, earliest global occurrence, or ultimate source.</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Unobserved activity, order adequacy, trace decay, recovery fidelity, earliest-event evidence, and source identity.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Recovery failure or changed order, scope, or store appends review without deleting the prior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M-A2-STORE; persistent structures [S2]; temporal semantics [S11]; Attack Run 0002 AR2-03/05.</w:t>
            </w:r>
          </w:p>
        </w:tc>
      </w:tr>
    </w:tbl>
    <w:p>
      <w:pPr>
        <w:pStyle w:val="Heading2"/>
        <w:keepNext/>
        <w:keepLines/>
        <w:rPr/>
      </w:pPr>
      <w:bookmarkStart w:id="45" w:name="m-inquiry-append---append-only-inquiry-a"/>
      <w:r>
        <w:rPr/>
        <w:t>M-INQUIRY-APPEND - Append-only inquiry and recovery evidence</w:t>
      </w:r>
      <w:bookmarkEnd w:id="4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Further-cut inquiry and protected history; SC-19.5, SC-19.7, and SC-19.8.</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Finite receipt history H, stable IDs, supplied inquiry-event witness w_q, inquiry cost κ_q, scope and ceiling, plus a tagged inquiry or recovery event referencing an earlier receipt.</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append(H,e)=H++[e], with protected-prefix theorem take(|H|,append(H,e))=H. Recovery evidence references an earlier receipt rather than replacing it.</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one supplied event. The witness is input; it is not synthesized from the question, generated output, or certificate grammar.</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Immutable or version-protected records, stable IDs, supplied witness, typed cost, scope, append order, and a no-hidden-update API.</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Every prior receipt and its cost, witness basis, authority snapshot, residual, and reopening handle remain exactly preserved.</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terminal one-step model satisfies the rule without an infinite causal chain. An opaque-inquirer model carries no ontology/consciousness certificate. Overwrite implementations fail.</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CONSTRUCTOR, preservation THEOREM, and bounded COUNTERMODEL.</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Missing witness/cost, protected-prefix equality, exact earlier projections, one-step terminal model, self-certification, retroactive authority, and reopen-by-append.</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inquirer ontology or consciousness, original-source witness, global priority, actual infinite regress, or guarantee for arbitrary mutation-capable systems.</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Witness provenance, inquiry semantics, admissibility of another inquiry, actual causal structure, durability, and source identity.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Witness invalidation or changed scope/cost appends reopening and never edits the earlier receipt. Source questions route to O04; nonmanufacture/revocation to O25.</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L01, L04, L05, L08; persistent structures [S2]; provenance [S7]; Attack Run 0002 AR2-07/08.</w:t>
            </w:r>
          </w:p>
        </w:tc>
      </w:tr>
    </w:tbl>
    <w:p>
      <w:pPr>
        <w:pStyle w:val="Heading1"/>
        <w:keepNext/>
        <w:keepLines/>
        <w:rPr/>
      </w:pPr>
      <w:bookmarkStart w:id="46" w:name="branch-routing"/>
      <w:r>
        <w:rPr/>
        <w:t>7. Branch routing</w:t>
      </w:r>
      <w:bookmarkEnd w:id="4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371"/>
        <w:gridCol w:w="1222"/>
        <w:gridCol w:w="6767"/>
      </w:tblGrid>
      <w:tr>
        <w:trPr>
          <w:tblHeader w:val="true"/>
        </w:trPr>
        <w:tc>
          <w:tcPr>
            <w:tcW w:w="1371" w:type="dxa"/>
            <w:tcBorders/>
            <w:vAlign w:val="top"/>
            <w:shd w:fill="DCE6F1"/>
          </w:tcPr>
          <w:p>
            <w:pPr>
              <w:pStyle w:val="Normal"/>
              <w:spacing w:before="0" w:after="40" w:line="240" w:lineRule="auto"/>
              <w:rPr>
                <w:b/>
                <w:bCs/>
              </w:rPr>
            </w:pPr>
            <w:r>
              <w:rPr>
                <w:b/>
                <w:bCs/>
                <w:color w:val="1F4D78"/>
                <w:sz w:val="18"/>
              </w:rPr>
              <w:t>Source/branch</w:t>
            </w:r>
          </w:p>
        </w:tc>
        <w:tc>
          <w:tcPr>
            <w:tcW w:w="1222" w:type="dxa"/>
            <w:tcBorders/>
            <w:vAlign w:val="top"/>
            <w:shd w:fill="DCE6F1"/>
          </w:tcPr>
          <w:p>
            <w:pPr>
              <w:pStyle w:val="Normal"/>
              <w:spacing w:before="0" w:after="40" w:line="240" w:lineRule="auto"/>
              <w:rPr>
                <w:b/>
                <w:bCs/>
              </w:rPr>
            </w:pPr>
            <w:r>
              <w:rPr>
                <w:b/>
                <w:bCs/>
                <w:color w:val="1F4D78"/>
                <w:sz w:val="18"/>
              </w:rPr>
              <w:t>Atlas use</w:t>
            </w:r>
          </w:p>
        </w:tc>
        <w:tc>
          <w:tcPr>
            <w:tcW w:w="6767" w:type="dxa"/>
            <w:tcBorders/>
            <w:vAlign w:val="top"/>
            <w:shd w:fill="DCE6F1"/>
          </w:tcPr>
          <w:p>
            <w:pPr>
              <w:pStyle w:val="Normal"/>
              <w:spacing w:before="0" w:after="40" w:line="240" w:lineRule="auto"/>
              <w:rPr>
                <w:b/>
                <w:bCs/>
              </w:rPr>
            </w:pPr>
            <w:r>
              <w:rPr>
                <w:b/>
                <w:bCs/>
                <w:color w:val="1F4D78"/>
                <w:sz w:val="18"/>
              </w:rPr>
              <w:t>Required adapter</w:t>
            </w:r>
          </w:p>
        </w:tc>
      </w:tr>
      <w:tr>
        <w:trPr/>
        <w:tc>
          <w:tcPr>
            <w:tcW w:w="1371" w:type="dxa"/>
            <w:tcBorders/>
            <w:vAlign w:val="top"/>
          </w:tcPr>
          <w:p>
            <w:pPr>
              <w:pStyle w:val="Normal"/>
              <w:spacing w:before="0" w:after="40" w:line="240" w:lineRule="auto"/>
              <w:rPr>
                <w:b/>
                <w:bCs/>
              </w:rPr>
            </w:pPr>
            <w:r>
              <w:rPr>
                <w:b/>
                <w:bCs/>
                <w:sz w:val="18"/>
              </w:rPr>
              <w:t>A0 Boundary Kernel</w:t>
            </w:r>
          </w:p>
        </w:tc>
        <w:tc>
          <w:tcPr>
            <w:tcW w:w="1222" w:type="dxa"/>
            <w:tcBorders/>
            <w:vAlign w:val="top"/>
          </w:tcPr>
          <w:p>
            <w:pPr>
              <w:pStyle w:val="Normal"/>
              <w:widowControl/>
              <w:bidi w:val="0"/>
              <w:spacing w:lineRule="auto" w:line="240" w:before="0" w:after="40"/>
              <w:jc w:val="start"/>
              <w:rPr/>
            </w:pPr>
            <w:r>
              <w:rPr>
                <w:sz w:val="18"/>
              </w:rPr>
              <w:t>A0/A2/A7 software receipts</w:t>
            </w:r>
          </w:p>
        </w:tc>
        <w:tc>
          <w:tcPr>
            <w:tcW w:w="6767" w:type="dxa"/>
            <w:tcBorders/>
            <w:vAlign w:val="top"/>
          </w:tcPr>
          <w:p>
            <w:pPr>
              <w:pStyle w:val="Normal"/>
              <w:widowControl/>
              <w:bidi w:val="0"/>
              <w:spacing w:lineRule="auto" w:line="240" w:before="0" w:after="40"/>
              <w:jc w:val="start"/>
              <w:rPr/>
            </w:pPr>
            <w:r>
              <w:rPr>
                <w:sz w:val="18"/>
              </w:rPr>
              <w:t>Requires a current v2.3 adapter: Ω is not A0; cut, reflection, residue, and trace are separately typed.</w:t>
            </w:r>
          </w:p>
        </w:tc>
      </w:tr>
      <w:tr>
        <w:trPr/>
        <w:tc>
          <w:tcPr>
            <w:tcW w:w="1371" w:type="dxa"/>
            <w:tcBorders/>
            <w:vAlign w:val="top"/>
            <w:shd w:fill="F7F9FB"/>
          </w:tcPr>
          <w:p>
            <w:pPr>
              <w:pStyle w:val="Normal"/>
              <w:spacing w:before="0" w:after="40" w:line="240" w:lineRule="auto"/>
              <w:rPr>
                <w:b/>
                <w:bCs/>
              </w:rPr>
            </w:pPr>
            <w:r>
              <w:rPr>
                <w:b/>
                <w:bCs/>
                <w:sz w:val="18"/>
              </w:rPr>
              <w:t>Boundary-Readable Trace</w:t>
            </w:r>
          </w:p>
        </w:tc>
        <w:tc>
          <w:tcPr>
            <w:tcW w:w="1222" w:type="dxa"/>
            <w:tcBorders/>
            <w:vAlign w:val="top"/>
            <w:shd w:fill="F7F9FB"/>
          </w:tcPr>
          <w:p>
            <w:pPr>
              <w:pStyle w:val="Normal"/>
              <w:widowControl/>
              <w:bidi w:val="0"/>
              <w:spacing w:lineRule="auto" w:line="240" w:before="0" w:after="40"/>
              <w:jc w:val="start"/>
              <w:rPr/>
            </w:pPr>
            <w:r>
              <w:rPr>
                <w:sz w:val="18"/>
              </w:rPr>
              <w:t>A1/A2/A15 branch</w:t>
            </w:r>
          </w:p>
        </w:tc>
        <w:tc>
          <w:tcPr>
            <w:tcW w:w="6767" w:type="dxa"/>
            <w:tcBorders/>
            <w:vAlign w:val="top"/>
            <w:shd w:fill="F7F9FB"/>
          </w:tcPr>
          <w:p>
            <w:pPr>
              <w:pStyle w:val="Normal"/>
              <w:widowControl/>
              <w:bidi w:val="0"/>
              <w:spacing w:lineRule="auto" w:line="240" w:before="0" w:after="40"/>
              <w:jc w:val="start"/>
              <w:rPr/>
            </w:pPr>
            <w:r>
              <w:rPr>
                <w:sz w:val="18"/>
              </w:rPr>
              <w:t>Replace any Ω-to-expression constructor with supplied model data; keep boundary/response/trace thresholds local.</w:t>
            </w:r>
          </w:p>
        </w:tc>
      </w:tr>
      <w:tr>
        <w:trPr/>
        <w:tc>
          <w:tcPr>
            <w:tcW w:w="1371" w:type="dxa"/>
            <w:tcBorders/>
            <w:vAlign w:val="top"/>
          </w:tcPr>
          <w:p>
            <w:pPr>
              <w:pStyle w:val="Normal"/>
              <w:spacing w:before="0" w:after="40" w:line="240" w:lineRule="auto"/>
              <w:rPr>
                <w:b/>
                <w:bCs/>
              </w:rPr>
            </w:pPr>
            <w:r>
              <w:rPr>
                <w:b/>
                <w:bCs/>
                <w:sz w:val="18"/>
              </w:rPr>
              <w:t>CLEF</w:t>
            </w:r>
          </w:p>
        </w:tc>
        <w:tc>
          <w:tcPr>
            <w:tcW w:w="1222" w:type="dxa"/>
            <w:tcBorders/>
            <w:vAlign w:val="top"/>
          </w:tcPr>
          <w:p>
            <w:pPr>
              <w:pStyle w:val="Normal"/>
              <w:widowControl/>
              <w:bidi w:val="0"/>
              <w:spacing w:lineRule="auto" w:line="240" w:before="0" w:after="40"/>
              <w:jc w:val="start"/>
              <w:rPr/>
            </w:pPr>
            <w:r>
              <w:rPr>
                <w:sz w:val="18"/>
              </w:rPr>
              <w:t>A1/A8/A14 calibration</w:t>
            </w:r>
          </w:p>
        </w:tc>
        <w:tc>
          <w:tcPr>
            <w:tcW w:w="6767" w:type="dxa"/>
            <w:tcBorders/>
            <w:vAlign w:val="top"/>
          </w:tcPr>
          <w:p>
            <w:pPr>
              <w:pStyle w:val="Normal"/>
              <w:widowControl/>
              <w:bidi w:val="0"/>
              <w:spacing w:lineRule="auto" w:line="240" w:before="0" w:after="40"/>
              <w:jc w:val="start"/>
              <w:rPr/>
            </w:pPr>
            <w:r>
              <w:rPr>
                <w:sz w:val="18"/>
              </w:rPr>
              <w:t>Declare aperture, baseline, noise, cost, uncertainty, and stopping rules.</w:t>
            </w:r>
          </w:p>
        </w:tc>
      </w:tr>
      <w:tr>
        <w:trPr/>
        <w:tc>
          <w:tcPr>
            <w:tcW w:w="1371" w:type="dxa"/>
            <w:tcBorders/>
            <w:vAlign w:val="top"/>
            <w:shd w:fill="F7F9FB"/>
          </w:tcPr>
          <w:p>
            <w:pPr>
              <w:pStyle w:val="Normal"/>
              <w:spacing w:before="0" w:after="40" w:line="240" w:lineRule="auto"/>
              <w:rPr>
                <w:b/>
                <w:bCs/>
              </w:rPr>
            </w:pPr>
            <w:r>
              <w:rPr>
                <w:b/>
                <w:bCs/>
                <w:sz w:val="18"/>
              </w:rPr>
              <w:t>SEED</w:t>
            </w:r>
          </w:p>
        </w:tc>
        <w:tc>
          <w:tcPr>
            <w:tcW w:w="1222" w:type="dxa"/>
            <w:tcBorders/>
            <w:vAlign w:val="top"/>
            <w:shd w:fill="F7F9FB"/>
          </w:tcPr>
          <w:p>
            <w:pPr>
              <w:pStyle w:val="Normal"/>
              <w:widowControl/>
              <w:bidi w:val="0"/>
              <w:spacing w:lineRule="auto" w:line="240" w:before="0" w:after="40"/>
              <w:jc w:val="start"/>
              <w:rPr/>
            </w:pPr>
            <w:r>
              <w:rPr>
                <w:sz w:val="18"/>
              </w:rPr>
              <w:t>Formal extension</w:t>
            </w:r>
          </w:p>
        </w:tc>
        <w:tc>
          <w:tcPr>
            <w:tcW w:w="6767" w:type="dxa"/>
            <w:tcBorders/>
            <w:vAlign w:val="top"/>
            <w:shd w:fill="F7F9FB"/>
          </w:tcPr>
          <w:p>
            <w:pPr>
              <w:pStyle w:val="Normal"/>
              <w:widowControl/>
              <w:bidi w:val="0"/>
              <w:spacing w:lineRule="auto" w:line="240" w:before="0" w:after="40"/>
              <w:jc w:val="start"/>
              <w:rPr/>
            </w:pPr>
            <w:r>
              <w:rPr>
                <w:sz w:val="18"/>
              </w:rPr>
              <w:t>Attach through one or more realization cards; supply delete/swap tests and return handles.</w:t>
            </w:r>
          </w:p>
        </w:tc>
      </w:tr>
      <w:tr>
        <w:trPr/>
        <w:tc>
          <w:tcPr>
            <w:tcW w:w="1371" w:type="dxa"/>
            <w:tcBorders/>
            <w:vAlign w:val="top"/>
          </w:tcPr>
          <w:p>
            <w:pPr>
              <w:pStyle w:val="Normal"/>
              <w:spacing w:before="0" w:after="40" w:line="240" w:lineRule="auto"/>
              <w:rPr>
                <w:b/>
                <w:bCs/>
              </w:rPr>
            </w:pPr>
            <w:r>
              <w:rPr>
                <w:b/>
                <w:bCs/>
                <w:sz w:val="18"/>
              </w:rPr>
              <w:t>PECAN / PPP / P3LA</w:t>
            </w:r>
          </w:p>
        </w:tc>
        <w:tc>
          <w:tcPr>
            <w:tcW w:w="1222" w:type="dxa"/>
            <w:tcBorders/>
            <w:vAlign w:val="top"/>
          </w:tcPr>
          <w:p>
            <w:pPr>
              <w:pStyle w:val="Normal"/>
              <w:widowControl/>
              <w:bidi w:val="0"/>
              <w:spacing w:lineRule="auto" w:line="240" w:before="0" w:after="40"/>
              <w:jc w:val="start"/>
              <w:rPr/>
            </w:pPr>
            <w:r>
              <w:rPr>
                <w:sz w:val="18"/>
              </w:rPr>
              <w:t>Protocol and verification</w:t>
            </w:r>
          </w:p>
        </w:tc>
        <w:tc>
          <w:tcPr>
            <w:tcW w:w="6767" w:type="dxa"/>
            <w:tcBorders/>
            <w:vAlign w:val="top"/>
          </w:tcPr>
          <w:p>
            <w:pPr>
              <w:pStyle w:val="Normal"/>
              <w:widowControl/>
              <w:bidi w:val="0"/>
              <w:spacing w:lineRule="auto" w:line="240" w:before="0" w:after="40"/>
              <w:jc w:val="start"/>
              <w:rPr/>
            </w:pPr>
            <w:r>
              <w:rPr>
                <w:sz w:val="18"/>
              </w:rPr>
              <w:t>Map crossings, packets, repair, and authority tokens to typed A3/A7/A10/A12/A15 receipts.</w:t>
            </w:r>
          </w:p>
        </w:tc>
      </w:tr>
      <w:tr>
        <w:trPr/>
        <w:tc>
          <w:tcPr>
            <w:tcW w:w="1371" w:type="dxa"/>
            <w:tcBorders/>
            <w:vAlign w:val="top"/>
            <w:shd w:fill="F7F9FB"/>
          </w:tcPr>
          <w:p>
            <w:pPr>
              <w:pStyle w:val="Normal"/>
              <w:spacing w:before="0" w:after="40" w:line="240" w:lineRule="auto"/>
              <w:rPr>
                <w:b/>
                <w:bCs/>
              </w:rPr>
            </w:pPr>
            <w:r>
              <w:rPr>
                <w:b/>
                <w:bCs/>
                <w:sz w:val="18"/>
              </w:rPr>
              <w:t>PEA</w:t>
            </w:r>
          </w:p>
        </w:tc>
        <w:tc>
          <w:tcPr>
            <w:tcW w:w="1222" w:type="dxa"/>
            <w:tcBorders/>
            <w:vAlign w:val="top"/>
            <w:shd w:fill="F7F9FB"/>
          </w:tcPr>
          <w:p>
            <w:pPr>
              <w:pStyle w:val="Normal"/>
              <w:widowControl/>
              <w:bidi w:val="0"/>
              <w:spacing w:lineRule="auto" w:line="240" w:before="0" w:after="40"/>
              <w:jc w:val="start"/>
              <w:rPr/>
            </w:pPr>
            <w:r>
              <w:rPr>
                <w:sz w:val="18"/>
              </w:rPr>
              <w:t>Ethical review</w:t>
            </w:r>
          </w:p>
        </w:tc>
        <w:tc>
          <w:tcPr>
            <w:tcW w:w="6767" w:type="dxa"/>
            <w:tcBorders/>
            <w:vAlign w:val="top"/>
            <w:shd w:fill="F7F9FB"/>
          </w:tcPr>
          <w:p>
            <w:pPr>
              <w:pStyle w:val="Normal"/>
              <w:widowControl/>
              <w:bidi w:val="0"/>
              <w:spacing w:lineRule="auto" w:line="240" w:before="0" w:after="40"/>
              <w:jc w:val="start"/>
              <w:rPr/>
            </w:pPr>
            <w:r>
              <w:rPr>
                <w:sz w:val="18"/>
              </w:rPr>
              <w:t>Independent authority; may consume PAL receipts as evidence but does not redefine or inherit structural closure.</w:t>
            </w:r>
          </w:p>
        </w:tc>
      </w:tr>
      <w:tr>
        <w:trPr/>
        <w:tc>
          <w:tcPr>
            <w:tcW w:w="1371" w:type="dxa"/>
            <w:tcBorders/>
            <w:vAlign w:val="top"/>
          </w:tcPr>
          <w:p>
            <w:pPr>
              <w:pStyle w:val="Normal"/>
              <w:spacing w:before="0" w:after="40" w:line="240" w:lineRule="auto"/>
              <w:rPr>
                <w:b/>
                <w:bCs/>
              </w:rPr>
            </w:pPr>
            <w:r>
              <w:rPr>
                <w:b/>
                <w:bCs/>
                <w:sz w:val="18"/>
              </w:rPr>
              <w:t>Spherical Closure / Context Is the Model</w:t>
            </w:r>
          </w:p>
        </w:tc>
        <w:tc>
          <w:tcPr>
            <w:tcW w:w="1222" w:type="dxa"/>
            <w:tcBorders/>
            <w:vAlign w:val="top"/>
          </w:tcPr>
          <w:p>
            <w:pPr>
              <w:pStyle w:val="Normal"/>
              <w:widowControl/>
              <w:bidi w:val="0"/>
              <w:spacing w:lineRule="auto" w:line="240" w:before="0" w:after="40"/>
              <w:jc w:val="start"/>
              <w:rPr/>
            </w:pPr>
            <w:r>
              <w:rPr>
                <w:sz w:val="18"/>
              </w:rPr>
              <w:t>Closure laboratories</w:t>
            </w:r>
          </w:p>
        </w:tc>
        <w:tc>
          <w:tcPr>
            <w:tcW w:w="6767" w:type="dxa"/>
            <w:tcBorders/>
            <w:vAlign w:val="top"/>
          </w:tcPr>
          <w:p>
            <w:pPr>
              <w:pStyle w:val="Normal"/>
              <w:widowControl/>
              <w:bidi w:val="0"/>
              <w:spacing w:lineRule="auto" w:line="240" w:before="0" w:after="40"/>
              <w:jc w:val="start"/>
              <w:rPr/>
            </w:pPr>
            <w:r>
              <w:rPr>
                <w:sz w:val="18"/>
              </w:rPr>
              <w:t>Use only for scoped model/route claims; preserve outside-model residual and reopen conditions.</w:t>
            </w:r>
          </w:p>
        </w:tc>
      </w:tr>
      <w:tr>
        <w:trPr/>
        <w:tc>
          <w:tcPr>
            <w:tcW w:w="1371" w:type="dxa"/>
            <w:tcBorders/>
            <w:vAlign w:val="top"/>
            <w:shd w:fill="F7F9FB"/>
          </w:tcPr>
          <w:p>
            <w:pPr>
              <w:pStyle w:val="Normal"/>
              <w:spacing w:before="0" w:after="40" w:line="240" w:lineRule="auto"/>
              <w:rPr>
                <w:b/>
                <w:bCs/>
              </w:rPr>
            </w:pPr>
            <w:r>
              <w:rPr>
                <w:b/>
                <w:bCs/>
                <w:sz w:val="18"/>
              </w:rPr>
              <w:t>Measuring Ω-Shadow</w:t>
            </w:r>
          </w:p>
        </w:tc>
        <w:tc>
          <w:tcPr>
            <w:tcW w:w="1222" w:type="dxa"/>
            <w:tcBorders/>
            <w:vAlign w:val="top"/>
            <w:shd w:fill="F7F9FB"/>
          </w:tcPr>
          <w:p>
            <w:pPr>
              <w:pStyle w:val="Normal"/>
              <w:widowControl/>
              <w:bidi w:val="0"/>
              <w:spacing w:lineRule="auto" w:line="240" w:before="0" w:after="40"/>
              <w:jc w:val="start"/>
              <w:rPr/>
            </w:pPr>
            <w:r>
              <w:rPr>
                <w:sz w:val="18"/>
              </w:rPr>
              <w:t>Historical commentary</w:t>
            </w:r>
          </w:p>
        </w:tc>
        <w:tc>
          <w:tcPr>
            <w:tcW w:w="6767" w:type="dxa"/>
            <w:tcBorders/>
            <w:vAlign w:val="top"/>
            <w:shd w:fill="F7F9FB"/>
          </w:tcPr>
          <w:p>
            <w:pPr>
              <w:pStyle w:val="Normal"/>
              <w:widowControl/>
              <w:bidi w:val="0"/>
              <w:spacing w:lineRule="auto" w:line="240" w:before="0" w:after="40"/>
              <w:jc w:val="start"/>
              <w:rPr/>
            </w:pPr>
            <w:r>
              <w:rPr>
                <w:sz w:val="18"/>
              </w:rPr>
              <w:t>Keep Ω≠Ω* and reflection language; reject nearest-trace, prompt/memory/output, and layer-local Ω identities.</w:t>
            </w:r>
          </w:p>
        </w:tc>
      </w:tr>
      <w:tr>
        <w:trPr/>
        <w:tc>
          <w:tcPr>
            <w:tcW w:w="1371" w:type="dxa"/>
            <w:tcBorders/>
            <w:vAlign w:val="top"/>
          </w:tcPr>
          <w:p>
            <w:pPr>
              <w:pStyle w:val="Normal"/>
              <w:spacing w:before="0" w:after="40" w:line="240" w:lineRule="auto"/>
              <w:rPr>
                <w:b/>
                <w:bCs/>
              </w:rPr>
            </w:pPr>
            <w:r>
              <w:rPr>
                <w:b/>
                <w:bCs/>
                <w:sz w:val="18"/>
              </w:rPr>
              <w:t>PAL-Lean-Audit</w:t>
            </w:r>
          </w:p>
        </w:tc>
        <w:tc>
          <w:tcPr>
            <w:tcW w:w="1222" w:type="dxa"/>
            <w:tcBorders/>
            <w:vAlign w:val="top"/>
          </w:tcPr>
          <w:p>
            <w:pPr>
              <w:pStyle w:val="Normal"/>
              <w:widowControl/>
              <w:bidi w:val="0"/>
              <w:spacing w:lineRule="auto" w:line="240" w:before="0" w:after="40"/>
              <w:jc w:val="start"/>
              <w:rPr/>
            </w:pPr>
            <w:r>
              <w:rPr>
                <w:sz w:val="18"/>
              </w:rPr>
              <w:t>Implementation and adversarial evidence</w:t>
            </w:r>
          </w:p>
        </w:tc>
        <w:tc>
          <w:tcPr>
            <w:tcW w:w="6767" w:type="dxa"/>
            <w:tcBorders/>
            <w:vAlign w:val="top"/>
          </w:tcPr>
          <w:p>
            <w:pPr>
              <w:pStyle w:val="Normal"/>
              <w:widowControl/>
              <w:bidi w:val="0"/>
              <w:spacing w:lineRule="auto" w:line="240" w:before="0" w:after="40"/>
              <w:jc w:val="start"/>
              <w:rPr/>
            </w:pPr>
            <w:r>
              <w:rPr>
                <w:sz w:val="18"/>
              </w:rPr>
              <w:t>Record exact commit, Lean/Mathlib versions, explicit hypotheses, global axioms, interpretation rules, ceilings, and countermodels. A successful proof checks only its declared realization and carries no PAL adoption authority.</w:t>
            </w:r>
          </w:p>
        </w:tc>
      </w:tr>
      <w:tr>
        <w:trPr/>
        <w:tc>
          <w:tcPr>
            <w:tcW w:w="1371" w:type="dxa"/>
            <w:tcBorders/>
            <w:vAlign w:val="top"/>
            <w:shd w:fill="F7F9FB"/>
          </w:tcPr>
          <w:p>
            <w:pPr>
              <w:pStyle w:val="Normal"/>
              <w:spacing w:before="0" w:after="40" w:line="240" w:lineRule="auto"/>
              <w:rPr>
                <w:b/>
                <w:bCs/>
              </w:rPr>
            </w:pPr>
            <w:r>
              <w:rPr>
                <w:b/>
                <w:bCs/>
                <w:sz w:val="18"/>
              </w:rPr>
              <w:t>APCI / Compactification Costs</w:t>
            </w:r>
          </w:p>
        </w:tc>
        <w:tc>
          <w:tcPr>
            <w:tcW w:w="1222" w:type="dxa"/>
            <w:tcBorders/>
            <w:vAlign w:val="top"/>
            <w:shd w:fill="F7F9FB"/>
          </w:tcPr>
          <w:p>
            <w:pPr>
              <w:pStyle w:val="Normal"/>
              <w:widowControl/>
              <w:bidi w:val="0"/>
              <w:spacing w:lineRule="auto" w:line="240" w:before="0" w:after="40"/>
              <w:jc w:val="start"/>
              <w:rPr/>
            </w:pPr>
            <w:r>
              <w:rPr>
                <w:sz w:val="18"/>
              </w:rPr>
              <w:t>Interface/fiber and typed-loss cards</w:t>
            </w:r>
          </w:p>
        </w:tc>
        <w:tc>
          <w:tcPr>
            <w:tcW w:w="6767" w:type="dxa"/>
            <w:tcBorders/>
            <w:vAlign w:val="top"/>
            <w:shd w:fill="F7F9FB"/>
          </w:tcPr>
          <w:p>
            <w:pPr>
              <w:pStyle w:val="Normal"/>
              <w:widowControl/>
              <w:bidi w:val="0"/>
              <w:spacing w:lineRule="auto" w:line="240" w:before="0" w:after="40"/>
              <w:jc w:val="start"/>
              <w:rPr/>
            </w:pPr>
            <w:r>
              <w:rPr>
                <w:sz w:val="18"/>
              </w:rPr>
              <w:t>Route through M-INTERFACE-FIBER; keep source existence, reachable decoding, totalization, decoder class, compactification, and A15 closure separate.</w:t>
            </w:r>
          </w:p>
        </w:tc>
      </w:tr>
      <w:tr>
        <w:trPr/>
        <w:tc>
          <w:tcPr>
            <w:tcW w:w="1371" w:type="dxa"/>
            <w:tcBorders/>
            <w:vAlign w:val="top"/>
          </w:tcPr>
          <w:p>
            <w:pPr>
              <w:pStyle w:val="Normal"/>
              <w:spacing w:before="0" w:after="40" w:line="240" w:lineRule="auto"/>
              <w:rPr>
                <w:b/>
                <w:bCs/>
              </w:rPr>
            </w:pPr>
            <w:r>
              <w:rPr>
                <w:b/>
                <w:bCs/>
                <w:sz w:val="18"/>
              </w:rPr>
              <w:t>Abstract Loops</w:t>
            </w:r>
          </w:p>
        </w:tc>
        <w:tc>
          <w:tcPr>
            <w:tcW w:w="1222" w:type="dxa"/>
            <w:tcBorders/>
            <w:vAlign w:val="top"/>
          </w:tcPr>
          <w:p>
            <w:pPr>
              <w:pStyle w:val="Normal"/>
              <w:widowControl/>
              <w:bidi w:val="0"/>
              <w:spacing w:lineRule="auto" w:line="240" w:before="0" w:after="40"/>
              <w:jc w:val="start"/>
              <w:rPr/>
            </w:pPr>
            <w:r>
              <w:rPr>
                <w:sz w:val="18"/>
              </w:rPr>
              <w:t>Return/export and joint-trace cards</w:t>
            </w:r>
          </w:p>
        </w:tc>
        <w:tc>
          <w:tcPr>
            <w:tcW w:w="6767" w:type="dxa"/>
            <w:tcBorders/>
            <w:vAlign w:val="top"/>
          </w:tcPr>
          <w:p>
            <w:pPr>
              <w:pStyle w:val="Normal"/>
              <w:widowControl/>
              <w:bidi w:val="0"/>
              <w:spacing w:lineRule="auto" w:line="240" w:before="0" w:after="40"/>
              <w:jc w:val="start"/>
              <w:rPr/>
            </w:pPr>
            <w:r>
              <w:rPr>
                <w:sz w:val="18"/>
              </w:rPr>
              <w:t>Route through M-RETURN-PROJ and F-ABSTRACT-JOINT; endpoint return, projection equality, hidden motion, export, and causal interpretation remain distinct.</w:t>
            </w:r>
          </w:p>
        </w:tc>
      </w:tr>
      <w:tr>
        <w:trPr/>
        <w:tc>
          <w:tcPr>
            <w:tcW w:w="1371" w:type="dxa"/>
            <w:tcBorders/>
            <w:vAlign w:val="top"/>
            <w:shd w:fill="F7F9FB"/>
          </w:tcPr>
          <w:p>
            <w:pPr>
              <w:pStyle w:val="Normal"/>
              <w:spacing w:before="0" w:after="40" w:line="240" w:lineRule="auto"/>
              <w:rPr>
                <w:b/>
                <w:bCs/>
              </w:rPr>
            </w:pPr>
            <w:r>
              <w:rPr>
                <w:b/>
                <w:bCs/>
                <w:sz w:val="18"/>
              </w:rPr>
              <w:t>SCT / Fung sweep</w:t>
            </w:r>
          </w:p>
        </w:tc>
        <w:tc>
          <w:tcPr>
            <w:tcW w:w="1222" w:type="dxa"/>
            <w:tcBorders/>
            <w:vAlign w:val="top"/>
            <w:shd w:fill="F7F9FB"/>
          </w:tcPr>
          <w:p>
            <w:pPr>
              <w:pStyle w:val="Normal"/>
              <w:widowControl/>
              <w:bidi w:val="0"/>
              <w:spacing w:lineRule="auto" w:line="240" w:before="0" w:after="40"/>
              <w:jc w:val="start"/>
              <w:rPr/>
            </w:pPr>
            <w:r>
              <w:rPr>
                <w:sz w:val="18"/>
              </w:rPr>
              <w:t>A1/A2/A12/A13/A14 fixtures</w:t>
            </w:r>
          </w:p>
        </w:tc>
        <w:tc>
          <w:tcPr>
            <w:tcW w:w="6767" w:type="dxa"/>
            <w:tcBorders/>
            <w:vAlign w:val="top"/>
            <w:shd w:fill="F7F9FB"/>
          </w:tcPr>
          <w:p>
            <w:pPr>
              <w:pStyle w:val="Normal"/>
              <w:widowControl/>
              <w:bidi w:val="0"/>
              <w:spacing w:lineRule="auto" w:line="240" w:before="0" w:after="40"/>
              <w:jc w:val="start"/>
              <w:rPr/>
            </w:pPr>
            <w:r>
              <w:rPr>
                <w:sz w:val="18"/>
              </w:rPr>
              <w:t>Preserve roster, order, resolution, schedule, action trace, checkpoint, resource, and authority scopes; no unqualified minimum, maximum, or progress claim.</w:t>
            </w:r>
          </w:p>
        </w:tc>
      </w:tr>
      <w:tr>
        <w:trPr/>
        <w:tc>
          <w:tcPr>
            <w:tcW w:w="1371" w:type="dxa"/>
            <w:tcBorders/>
            <w:vAlign w:val="top"/>
          </w:tcPr>
          <w:p>
            <w:pPr>
              <w:pStyle w:val="Normal"/>
              <w:spacing w:before="0" w:after="40" w:line="240" w:lineRule="auto"/>
              <w:rPr>
                <w:b/>
                <w:bCs/>
              </w:rPr>
            </w:pPr>
            <w:r>
              <w:rPr>
                <w:b/>
                <w:bCs/>
                <w:sz w:val="18"/>
              </w:rPr>
              <w:t>GOLD</w:t>
            </w:r>
          </w:p>
        </w:tc>
        <w:tc>
          <w:tcPr>
            <w:tcW w:w="1222" w:type="dxa"/>
            <w:tcBorders/>
            <w:vAlign w:val="top"/>
          </w:tcPr>
          <w:p>
            <w:pPr>
              <w:pStyle w:val="Normal"/>
              <w:widowControl/>
              <w:bidi w:val="0"/>
              <w:spacing w:lineRule="auto" w:line="240" w:before="0" w:after="40"/>
              <w:jc w:val="start"/>
              <w:rPr/>
            </w:pPr>
            <w:r>
              <w:rPr>
                <w:sz w:val="18"/>
              </w:rPr>
              <w:t>Primitive-floor composite plate/fixtures</w:t>
            </w:r>
          </w:p>
        </w:tc>
        <w:tc>
          <w:tcPr>
            <w:tcW w:w="6767" w:type="dxa"/>
            <w:tcBorders/>
            <w:vAlign w:val="top"/>
          </w:tcPr>
          <w:p>
            <w:pPr>
              <w:pStyle w:val="Normal"/>
              <w:widowControl/>
              <w:bidi w:val="0"/>
              <w:spacing w:lineRule="auto" w:line="240" w:before="0" w:after="40"/>
              <w:jc w:val="start"/>
              <w:rPr/>
            </w:pPr>
            <w:r>
              <w:rPr>
                <w:sz w:val="18"/>
              </w:rPr>
              <w:t>Route only through PF-GOLD-LENS and named fixture rows; no lens, coordinate, or golden angle defines a primitive.</w:t>
            </w:r>
          </w:p>
        </w:tc>
      </w:tr>
      <w:tr>
        <w:trPr/>
        <w:tc>
          <w:tcPr>
            <w:tcW w:w="1371" w:type="dxa"/>
            <w:tcBorders/>
            <w:vAlign w:val="top"/>
            <w:shd w:fill="F7F9FB"/>
          </w:tcPr>
          <w:p>
            <w:pPr>
              <w:pStyle w:val="Normal"/>
              <w:spacing w:before="0" w:after="40" w:line="240" w:lineRule="auto"/>
              <w:rPr>
                <w:b/>
                <w:bCs/>
              </w:rPr>
            </w:pPr>
            <w:r>
              <w:rPr>
                <w:b/>
                <w:bCs/>
                <w:sz w:val="18"/>
              </w:rPr>
              <w:t>GPPR</w:t>
            </w:r>
          </w:p>
        </w:tc>
        <w:tc>
          <w:tcPr>
            <w:tcW w:w="1222" w:type="dxa"/>
            <w:tcBorders/>
            <w:vAlign w:val="top"/>
            <w:shd w:fill="F7F9FB"/>
          </w:tcPr>
          <w:p>
            <w:pPr>
              <w:pStyle w:val="Normal"/>
              <w:widowControl/>
              <w:bidi w:val="0"/>
              <w:spacing w:lineRule="auto" w:line="240" w:before="0" w:after="40"/>
              <w:jc w:val="start"/>
              <w:rPr/>
            </w:pPr>
            <w:r>
              <w:rPr>
                <w:sz w:val="18"/>
              </w:rPr>
              <w:t>O22 encoding branch</w:t>
            </w:r>
          </w:p>
        </w:tc>
        <w:tc>
          <w:tcPr>
            <w:tcW w:w="6767" w:type="dxa"/>
            <w:tcBorders/>
            <w:vAlign w:val="top"/>
            <w:shd w:fill="F7F9FB"/>
          </w:tcPr>
          <w:p>
            <w:pPr>
              <w:pStyle w:val="Normal"/>
              <w:widowControl/>
              <w:bidi w:val="0"/>
              <w:spacing w:lineRule="auto" w:line="240" w:before="0" w:after="40"/>
              <w:jc w:val="start"/>
              <w:rPr/>
            </w:pPr>
            <w:r>
              <w:rPr>
                <w:sz w:val="18"/>
              </w:rPr>
              <w:t>Preserve exact prime-valuation injectivity and endpoint/history separation; no factoring, secrecy, finite-bit, total-order, or measured-advantage claim.</w:t>
            </w:r>
          </w:p>
        </w:tc>
      </w:tr>
      <w:tr>
        <w:trPr/>
        <w:tc>
          <w:tcPr>
            <w:tcW w:w="1371" w:type="dxa"/>
            <w:tcBorders/>
            <w:vAlign w:val="top"/>
          </w:tcPr>
          <w:p>
            <w:pPr>
              <w:pStyle w:val="Normal"/>
              <w:spacing w:before="0" w:after="40" w:line="240" w:lineRule="auto"/>
              <w:rPr>
                <w:b/>
                <w:bCs/>
              </w:rPr>
            </w:pPr>
            <w:r>
              <w:rPr>
                <w:b/>
                <w:bCs/>
                <w:sz w:val="18"/>
              </w:rPr>
              <w:t>RAINBOW</w:t>
            </w:r>
          </w:p>
        </w:tc>
        <w:tc>
          <w:tcPr>
            <w:tcW w:w="1222" w:type="dxa"/>
            <w:tcBorders/>
            <w:vAlign w:val="top"/>
          </w:tcPr>
          <w:p>
            <w:pPr>
              <w:pStyle w:val="Normal"/>
              <w:widowControl/>
              <w:bidi w:val="0"/>
              <w:spacing w:lineRule="auto" w:line="240" w:before="0" w:after="40"/>
              <w:jc w:val="start"/>
              <w:rPr/>
            </w:pPr>
            <w:r>
              <w:rPr>
                <w:sz w:val="18"/>
              </w:rPr>
              <w:t>Decorated arithmetic/geometry section</w:t>
            </w:r>
          </w:p>
        </w:tc>
        <w:tc>
          <w:tcPr>
            <w:tcW w:w="6767" w:type="dxa"/>
            <w:tcBorders/>
            <w:vAlign w:val="top"/>
          </w:tcPr>
          <w:p>
            <w:pPr>
              <w:pStyle w:val="Normal"/>
              <w:widowControl/>
              <w:bidi w:val="0"/>
              <w:spacing w:lineRule="auto" w:line="240" w:before="0" w:after="40"/>
              <w:jc w:val="start"/>
              <w:rPr/>
            </w:pPr>
            <w:r>
              <w:rPr>
                <w:sz w:val="18"/>
              </w:rPr>
              <w:t>Route through M-RNBW-SHELL/FRAME/WEAVE/AMPLITUDE; established arithmetic, PAL construction, visualization, and open interpretation remain separate.</w:t>
            </w:r>
          </w:p>
        </w:tc>
      </w:tr>
    </w:tbl>
    <w:p>
      <w:pPr>
        <w:pStyle w:val="Heading1"/>
        <w:keepNext/>
        <w:keepLines/>
        <w:rPr/>
      </w:pPr>
      <w:bookmarkStart w:id="47" w:name="preserved-pal-v2.2-realization-additions"/>
      <w:r>
        <w:rPr/>
        <w:t>8. Preserved PAL v2.2 realization additions</w:t>
      </w:r>
      <w:bookmarkEnd w:id="47"/>
    </w:p>
    <w:p>
      <w:pPr>
        <w:pStyle w:val="Normal"/>
        <w:keepNext/>
        <w:keepLines/>
        <w:rPr/>
      </w:pPr>
      <w:r>
        <w:rPr/>
        <w:t>These cards are removable mathematical realizations. They neither define PAL primitives nor carry RH, sentience, reality, or metaphysical authority.</w:t>
      </w:r>
    </w:p>
    <w:p>
      <w:pPr>
        <w:pStyle w:val="Heading2"/>
        <w:keepNext/>
        <w:keepLines/>
        <w:rPr/>
      </w:pPr>
      <w:bookmarkStart w:id="48" w:name="uniform-and-dynamic-claim-signature"/>
      <w:r>
        <w:rPr/>
        <w:t>Uniform and dynamic claim signature</w:t>
      </w:r>
      <w:bookmarkEnd w:id="48"/>
    </w:p>
    <w:p>
      <w:pPr>
        <w:pStyle w:val="Normal"/>
        <w:keepNext/>
        <w:keepLines/>
        <w:rPr/>
      </w:pPr>
      <w:r>
        <w:rPr/>
        <w:t>Every dynamic or all-horizon realization must state its quantifiers in order. The claim forall n exists epsilon_n &gt; 0 does not imply exists epsilon &gt; 0 forall n. Cross-time or cross-mesh comparison additionally requires a declared transport into one common frame; pointwise safety in changing coordinates is not a uniform invariant.</w:t>
      </w:r>
    </w:p>
    <w:p>
      <w:pPr>
        <w:pStyle w:val="Heading2"/>
        <w:keepNext/>
        <w:keepLines/>
        <w:rPr/>
      </w:pPr>
      <w:bookmarkStart w:id="49" w:name="m-one-underdet---ordinary-1-and-model-ch"/>
      <w:r>
        <w:rPr/>
        <w:t>M-ONE-UNDERDET - Ordinary 1 and model-choice underdetermination</w:t>
      </w:r>
      <w:bookmarkEnd w:id="4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PAL role</w:t>
            </w:r>
          </w:p>
        </w:tc>
        <w:tc>
          <w:tcPr>
            <w:tcW w:w="6739" w:type="dxa"/>
            <w:tcBorders/>
            <w:vAlign w:val="top"/>
          </w:tcPr>
          <w:p>
            <w:pPr>
              <w:pStyle w:val="Normal"/>
              <w:widowControl/>
              <w:bidi w:val="0"/>
              <w:spacing w:lineRule="auto" w:line="240" w:before="0" w:after="40"/>
              <w:jc w:val="start"/>
              <w:rPr/>
            </w:pPr>
            <w:r>
              <w:rPr>
                <w:sz w:val="19"/>
              </w:rPr>
              <w:t>A bounded model-choice realization of a distinction between ordinary arithmetic classification and formal underdetermination.</w:t>
            </w:r>
          </w:p>
        </w:tc>
      </w:tr>
      <w:tr>
        <w:trPr/>
        <w:tc>
          <w:tcPr>
            <w:tcW w:w="2621" w:type="dxa"/>
            <w:tcBorders/>
            <w:vAlign w:val="top"/>
            <w:shd w:fill="F7F9FB"/>
          </w:tcPr>
          <w:p>
            <w:pPr>
              <w:pStyle w:val="Normal"/>
              <w:widowControl/>
              <w:bidi w:val="0"/>
              <w:spacing w:lineRule="auto" w:line="240" w:before="0" w:after="40"/>
              <w:jc w:val="start"/>
              <w:rPr/>
            </w:pPr>
            <w:r>
              <w:rPr>
                <w:sz w:val="19"/>
              </w:rPr>
              <w:t>Objects and assumptions</w:t>
            </w:r>
          </w:p>
        </w:tc>
        <w:tc>
          <w:tcPr>
            <w:tcW w:w="6739" w:type="dxa"/>
            <w:tcBorders/>
            <w:vAlign w:val="top"/>
            <w:shd w:fill="F7F9FB"/>
          </w:tcPr>
          <w:p>
            <w:pPr>
              <w:pStyle w:val="Normal"/>
              <w:widowControl/>
              <w:bidi w:val="0"/>
              <w:spacing w:lineRule="auto" w:line="240" w:before="0" w:after="40"/>
              <w:jc w:val="start"/>
              <w:rPr/>
            </w:pPr>
            <w:r>
              <w:rPr>
                <w:sz w:val="19"/>
              </w:rPr>
              <w:t>In ordinary natural-number arithmetic, 1 is the multiplicative identity, a unit, and not prime. ‘Proto-prime’ is permitted only as an explicitly nonstandard historical or structural label. In a weaker first-order monoid theory with an otherwise unconstrained unary predicate P, there is a model with P(1) and a model with not P(1).</w:t>
            </w:r>
          </w:p>
        </w:tc>
      </w:tr>
      <w:tr>
        <w:trPr/>
        <w:tc>
          <w:tcPr>
            <w:tcW w:w="2621" w:type="dxa"/>
            <w:tcBorders/>
            <w:vAlign w:val="top"/>
          </w:tcPr>
          <w:p>
            <w:pPr>
              <w:pStyle w:val="Normal"/>
              <w:widowControl/>
              <w:bidi w:val="0"/>
              <w:spacing w:lineRule="auto" w:line="240" w:before="0" w:after="40"/>
              <w:jc w:val="start"/>
              <w:rPr/>
            </w:pPr>
            <w:r>
              <w:rPr>
                <w:sz w:val="19"/>
              </w:rPr>
              <w:t>Exact claim</w:t>
            </w:r>
          </w:p>
        </w:tc>
        <w:tc>
          <w:tcPr>
            <w:tcW w:w="6739" w:type="dxa"/>
            <w:tcBorders/>
            <w:vAlign w:val="top"/>
          </w:tcPr>
          <w:p>
            <w:pPr>
              <w:pStyle w:val="Normal"/>
              <w:widowControl/>
              <w:bidi w:val="0"/>
              <w:spacing w:lineRule="auto" w:line="240" w:before="0" w:after="40"/>
              <w:jc w:val="start"/>
              <w:rPr/>
            </w:pPr>
            <w:r>
              <w:rPr>
                <w:sz w:val="19"/>
              </w:rPr>
              <w:t>The weak theory proves neither P(1) nor not P(1). Each admitted model still decides its own proposition; the theory-level underdetermination is not an object that changes value on demand.</w:t>
            </w:r>
          </w:p>
        </w:tc>
      </w:tr>
      <w:tr>
        <w:trPr/>
        <w:tc>
          <w:tcPr>
            <w:tcW w:w="2621" w:type="dxa"/>
            <w:tcBorders/>
            <w:vAlign w:val="top"/>
            <w:shd w:fill="F7F9FB"/>
          </w:tcPr>
          <w:p>
            <w:pPr>
              <w:pStyle w:val="Normal"/>
              <w:widowControl/>
              <w:bidi w:val="0"/>
              <w:spacing w:lineRule="auto" w:line="240" w:before="0" w:after="40"/>
              <w:jc w:val="start"/>
              <w:rPr/>
            </w:pPr>
            <w:r>
              <w:rPr>
                <w:sz w:val="19"/>
              </w:rPr>
              <w:t>Countermodel / falsifier</w:t>
            </w:r>
          </w:p>
        </w:tc>
        <w:tc>
          <w:tcPr>
            <w:tcW w:w="6739" w:type="dxa"/>
            <w:tcBorders/>
            <w:vAlign w:val="top"/>
            <w:shd w:fill="F7F9FB"/>
          </w:tcPr>
          <w:p>
            <w:pPr>
              <w:pStyle w:val="Normal"/>
              <w:widowControl/>
              <w:bidi w:val="0"/>
              <w:spacing w:lineRule="auto" w:line="240" w:before="0" w:after="40"/>
              <w:jc w:val="start"/>
              <w:rPr/>
            </w:pPr>
            <w:r>
              <w:rPr>
                <w:sz w:val="19"/>
              </w:rPr>
              <w:t>Adding the ordinary definition Prime(n) iff n&gt;1 and its only positive divisors are 1 and n fixes not Prime(1). Calling the same fixed predicate both true and false is nonconformant.</w:t>
            </w:r>
          </w:p>
        </w:tc>
      </w:tr>
      <w:tr>
        <w:trPr/>
        <w:tc>
          <w:tcPr>
            <w:tcW w:w="2621" w:type="dxa"/>
            <w:tcBorders/>
            <w:vAlign w:val="top"/>
          </w:tcPr>
          <w:p>
            <w:pPr>
              <w:pStyle w:val="Normal"/>
              <w:widowControl/>
              <w:bidi w:val="0"/>
              <w:spacing w:lineRule="auto" w:line="240" w:before="0" w:after="40"/>
              <w:jc w:val="start"/>
              <w:rPr/>
            </w:pPr>
            <w:r>
              <w:rPr>
                <w:sz w:val="19"/>
              </w:rPr>
              <w:t>Return-to-PAL handle</w:t>
            </w:r>
          </w:p>
        </w:tc>
        <w:tc>
          <w:tcPr>
            <w:tcW w:w="6739" w:type="dxa"/>
            <w:tcBorders/>
            <w:vAlign w:val="top"/>
          </w:tcPr>
          <w:p>
            <w:pPr>
              <w:pStyle w:val="Normal"/>
              <w:widowControl/>
              <w:bidi w:val="0"/>
              <w:spacing w:lineRule="auto" w:line="240" w:before="0" w:after="40"/>
              <w:jc w:val="start"/>
              <w:rPr/>
            </w:pPr>
            <w:r>
              <w:rPr>
                <w:sz w:val="19"/>
              </w:rPr>
              <w:t>Formal underdetermination is a residue inside a supplied formal account. It is not Ω, a pre-thought object, or a claim about consciousness, reality, sentience, or an absolute first witness.</w:t>
            </w:r>
          </w:p>
        </w:tc>
      </w:tr>
    </w:tbl>
    <w:p>
      <w:pPr>
        <w:pStyle w:val="Heading2"/>
        <w:keepNext/>
        <w:keepLines/>
        <w:rPr/>
      </w:pPr>
      <w:bookmarkStart w:id="50" w:name="m-gen-cover---generator-image-and-covera"/>
      <w:r>
        <w:rPr/>
        <w:t>M-GEN-COVER - Generator image and coverage firewall</w:t>
      </w:r>
      <w:bookmarkEnd w:id="5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PAL role</w:t>
            </w:r>
          </w:p>
        </w:tc>
        <w:tc>
          <w:tcPr>
            <w:tcW w:w="6739" w:type="dxa"/>
            <w:tcBorders/>
            <w:vAlign w:val="top"/>
          </w:tcPr>
          <w:p>
            <w:pPr>
              <w:pStyle w:val="Normal"/>
              <w:widowControl/>
              <w:bidi w:val="0"/>
              <w:spacing w:lineRule="auto" w:line="240" w:before="0" w:after="40"/>
              <w:jc w:val="start"/>
              <w:rPr/>
            </w:pPr>
            <w:r>
              <w:rPr>
                <w:sz w:val="19"/>
              </w:rPr>
              <w:t>A6/A15 realization distinguishing what one generator produced from what the declared domain permits.</w:t>
            </w:r>
          </w:p>
        </w:tc>
      </w:tr>
      <w:tr>
        <w:trPr/>
        <w:tc>
          <w:tcPr>
            <w:tcW w:w="2621" w:type="dxa"/>
            <w:tcBorders/>
            <w:vAlign w:val="top"/>
            <w:shd w:fill="F7F9FB"/>
          </w:tcPr>
          <w:p>
            <w:pPr>
              <w:pStyle w:val="Normal"/>
              <w:widowControl/>
              <w:bidi w:val="0"/>
              <w:spacing w:lineRule="auto" w:line="240" w:before="0" w:after="40"/>
              <w:jc w:val="start"/>
              <w:rPr/>
            </w:pPr>
            <w:r>
              <w:rPr>
                <w:sz w:val="19"/>
              </w:rPr>
              <w:t>Objects and assumptions</w:t>
            </w:r>
          </w:p>
        </w:tc>
        <w:tc>
          <w:tcPr>
            <w:tcW w:w="6739" w:type="dxa"/>
            <w:tcBorders/>
            <w:vAlign w:val="top"/>
            <w:shd w:fill="F7F9FB"/>
          </w:tcPr>
          <w:p>
            <w:pPr>
              <w:pStyle w:val="Normal"/>
              <w:widowControl/>
              <w:bidi w:val="0"/>
              <w:spacing w:lineRule="auto" w:line="240" w:before="0" w:after="40"/>
              <w:jc w:val="start"/>
              <w:rPr/>
            </w:pPr>
            <w:r>
              <w:rPr>
                <w:sz w:val="19"/>
              </w:rPr>
              <w:t>A fully specified generator G, complete admitted run space I* including input, seed, schedule, termination policy, and generator version, image Im(G|I*), and declared possibility domain U.</w:t>
            </w:r>
          </w:p>
        </w:tc>
      </w:tr>
      <w:tr>
        <w:trPr/>
        <w:tc>
          <w:tcPr>
            <w:tcW w:w="2621" w:type="dxa"/>
            <w:tcBorders/>
            <w:vAlign w:val="top"/>
          </w:tcPr>
          <w:p>
            <w:pPr>
              <w:pStyle w:val="Normal"/>
              <w:widowControl/>
              <w:bidi w:val="0"/>
              <w:spacing w:lineRule="auto" w:line="240" w:before="0" w:after="40"/>
              <w:jc w:val="start"/>
              <w:rPr/>
            </w:pPr>
            <w:r>
              <w:rPr>
                <w:sz w:val="19"/>
              </w:rPr>
              <w:t>Exact claim</w:t>
            </w:r>
          </w:p>
        </w:tc>
        <w:tc>
          <w:tcPr>
            <w:tcW w:w="6739" w:type="dxa"/>
            <w:tcBorders/>
            <w:vAlign w:val="top"/>
          </w:tcPr>
          <w:p>
            <w:pPr>
              <w:pStyle w:val="Normal"/>
              <w:widowControl/>
              <w:bidi w:val="0"/>
              <w:spacing w:lineRule="auto" w:line="240" w:before="0" w:after="40"/>
              <w:jc w:val="start"/>
              <w:rPr/>
            </w:pPr>
            <w:r>
              <w:rPr>
                <w:sz w:val="19"/>
              </w:rPr>
              <w:t>Complete generator coverage is earned only by a witness that I* is complete for the declared generator semantics and Im(G|I*)=U. Enumerating outputs alone does not establish complete run-space coverage.</w:t>
            </w:r>
          </w:p>
        </w:tc>
      </w:tr>
      <w:tr>
        <w:trPr/>
        <w:tc>
          <w:tcPr>
            <w:tcW w:w="2621" w:type="dxa"/>
            <w:tcBorders/>
            <w:vAlign w:val="top"/>
            <w:shd w:fill="F7F9FB"/>
          </w:tcPr>
          <w:p>
            <w:pPr>
              <w:pStyle w:val="Normal"/>
              <w:widowControl/>
              <w:bidi w:val="0"/>
              <w:spacing w:lineRule="auto" w:line="240" w:before="0" w:after="40"/>
              <w:jc w:val="start"/>
              <w:rPr/>
            </w:pPr>
            <w:r>
              <w:rPr>
                <w:sz w:val="19"/>
              </w:rPr>
              <w:t>Countermodel / falsifier</w:t>
            </w:r>
          </w:p>
        </w:tc>
        <w:tc>
          <w:tcPr>
            <w:tcW w:w="6739" w:type="dxa"/>
            <w:tcBorders/>
            <w:vAlign w:val="top"/>
            <w:shd w:fill="F7F9FB"/>
          </w:tcPr>
          <w:p>
            <w:pPr>
              <w:pStyle w:val="Normal"/>
              <w:widowControl/>
              <w:bidi w:val="0"/>
              <w:spacing w:lineRule="auto" w:line="240" w:before="0" w:after="40"/>
              <w:jc w:val="start"/>
              <w:rPr/>
            </w:pPr>
            <w:r>
              <w:rPr>
                <w:sz w:val="19"/>
              </w:rPr>
              <w:t>A missing seed or schedule, an incomplete input family, an unbound generator version, or the inference NOT_GENERATED implies IMPOSSIBLE fails. U is not Ω.</w:t>
            </w:r>
          </w:p>
        </w:tc>
      </w:tr>
      <w:tr>
        <w:trPr/>
        <w:tc>
          <w:tcPr>
            <w:tcW w:w="2621" w:type="dxa"/>
            <w:tcBorders/>
            <w:vAlign w:val="top"/>
          </w:tcPr>
          <w:p>
            <w:pPr>
              <w:pStyle w:val="Normal"/>
              <w:widowControl/>
              <w:bidi w:val="0"/>
              <w:spacing w:lineRule="auto" w:line="240" w:before="0" w:after="40"/>
              <w:jc w:val="start"/>
              <w:rPr/>
            </w:pPr>
            <w:r>
              <w:rPr>
                <w:sz w:val="19"/>
              </w:rPr>
              <w:t>Evidence ceiling</w:t>
            </w:r>
          </w:p>
        </w:tc>
        <w:tc>
          <w:tcPr>
            <w:tcW w:w="6739" w:type="dxa"/>
            <w:tcBorders/>
            <w:vAlign w:val="top"/>
          </w:tcPr>
          <w:p>
            <w:pPr>
              <w:pStyle w:val="Normal"/>
              <w:widowControl/>
              <w:bidi w:val="0"/>
              <w:spacing w:lineRule="auto" w:line="240" w:before="0" w:after="40"/>
              <w:jc w:val="start"/>
              <w:rPr/>
            </w:pPr>
            <w:r>
              <w:rPr>
                <w:sz w:val="19"/>
              </w:rPr>
              <w:t>The bounded v2.2 fixture binds finite input, seed, and schedule spaces; it closes U0 and leaves enlarged U1 OPEN. It is not a theorem about every generator.</w:t>
            </w:r>
          </w:p>
        </w:tc>
      </w:tr>
    </w:tbl>
    <w:p>
      <w:pPr>
        <w:pStyle w:val="Heading2"/>
        <w:keepNext/>
        <w:keepLines/>
        <w:rPr/>
      </w:pPr>
      <w:bookmarkStart w:id="51" w:name="m-comp-nohide---completion-compression-a"/>
      <w:r>
        <w:rPr/>
        <w:t>M-COMP-NOHIDE - Completion, compression, and dynamic no-hiding</w:t>
      </w:r>
      <w:bookmarkEnd w:id="5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v2.2 account</w:t>
            </w:r>
          </w:p>
        </w:tc>
      </w:tr>
      <w:tr>
        <w:trPr/>
        <w:tc>
          <w:tcPr>
            <w:tcW w:w="2621" w:type="dxa"/>
            <w:tcBorders/>
            <w:vAlign w:val="top"/>
          </w:tcPr>
          <w:p>
            <w:pPr>
              <w:pStyle w:val="Normal"/>
              <w:widowControl/>
              <w:bidi w:val="0"/>
              <w:spacing w:lineRule="auto" w:line="240" w:before="0" w:after="40"/>
              <w:jc w:val="start"/>
              <w:rPr/>
            </w:pPr>
            <w:r>
              <w:rPr>
                <w:sz w:val="19"/>
              </w:rPr>
              <w:t>PAL role</w:t>
            </w:r>
          </w:p>
        </w:tc>
        <w:tc>
          <w:tcPr>
            <w:tcW w:w="6739" w:type="dxa"/>
            <w:tcBorders/>
            <w:vAlign w:val="top"/>
          </w:tcPr>
          <w:p>
            <w:pPr>
              <w:pStyle w:val="Normal"/>
              <w:widowControl/>
              <w:bidi w:val="0"/>
              <w:spacing w:lineRule="auto" w:line="240" w:before="0" w:after="40"/>
              <w:jc w:val="start"/>
              <w:rPr/>
            </w:pPr>
            <w:r>
              <w:rPr>
                <w:sz w:val="19"/>
              </w:rPr>
              <w:t>A6/A11/A15 realization separating finite injectivity from a uniform completion guarantee.</w:t>
            </w:r>
          </w:p>
        </w:tc>
      </w:tr>
      <w:tr>
        <w:trPr/>
        <w:tc>
          <w:tcPr>
            <w:tcW w:w="2621" w:type="dxa"/>
            <w:tcBorders/>
            <w:vAlign w:val="top"/>
            <w:shd w:fill="F7F9FB"/>
          </w:tcPr>
          <w:p>
            <w:pPr>
              <w:pStyle w:val="Normal"/>
              <w:widowControl/>
              <w:bidi w:val="0"/>
              <w:spacing w:lineRule="auto" w:line="240" w:before="0" w:after="40"/>
              <w:jc w:val="start"/>
              <w:rPr/>
            </w:pPr>
            <w:r>
              <w:rPr>
                <w:sz w:val="19"/>
              </w:rPr>
              <w:t>Objects and assumptions</w:t>
            </w:r>
          </w:p>
        </w:tc>
        <w:tc>
          <w:tcPr>
            <w:tcW w:w="6739" w:type="dxa"/>
            <w:tcBorders/>
            <w:vAlign w:val="top"/>
            <w:shd w:fill="F7F9FB"/>
          </w:tcPr>
          <w:p>
            <w:pPr>
              <w:pStyle w:val="Normal"/>
              <w:widowControl/>
              <w:bidi w:val="0"/>
              <w:spacing w:lineRule="auto" w:line="240" w:before="0" w:after="40"/>
              <w:jc w:val="start"/>
              <w:rPr/>
            </w:pPr>
            <w:r>
              <w:rPr>
                <w:sz w:val="19"/>
              </w:rPr>
              <w:t>Nested subspaces H_n whose union is dense, orthogonal projections P_n, positive operators S, and where used a map T compared through the compression of T*T.</w:t>
            </w:r>
          </w:p>
        </w:tc>
      </w:tr>
      <w:tr>
        <w:trPr/>
        <w:tc>
          <w:tcPr>
            <w:tcW w:w="2621" w:type="dxa"/>
            <w:tcBorders/>
            <w:vAlign w:val="top"/>
          </w:tcPr>
          <w:p>
            <w:pPr>
              <w:pStyle w:val="Normal"/>
              <w:widowControl/>
              <w:bidi w:val="0"/>
              <w:spacing w:lineRule="auto" w:line="240" w:before="0" w:after="40"/>
              <w:jc w:val="start"/>
              <w:rPr/>
            </w:pPr>
            <w:r>
              <w:rPr>
                <w:sz w:val="19"/>
              </w:rPr>
              <w:t>Exact claim</w:t>
            </w:r>
          </w:p>
        </w:tc>
        <w:tc>
          <w:tcPr>
            <w:tcW w:w="6739" w:type="dxa"/>
            <w:tcBorders/>
            <w:vAlign w:val="top"/>
          </w:tcPr>
          <w:p>
            <w:pPr>
              <w:pStyle w:val="Normal"/>
              <w:widowControl/>
              <w:bidi w:val="0"/>
              <w:spacing w:lineRule="auto" w:line="240" w:before="0" w:after="40"/>
              <w:jc w:val="start"/>
              <w:rPr/>
            </w:pPr>
            <w:r>
              <w:rPr>
                <w:sz w:val="19"/>
              </w:rPr>
              <w:t>The finite form floor is a_n(S)=inf{&lt;Sx,x&gt;: x in H_n, ||x||=1}, equivalently the minimum eigenvalue of P_n S|H_n. A uniform seal requires inf_n a_n(S)&gt;0 in one declared common frame.</w:t>
            </w:r>
          </w:p>
        </w:tc>
      </w:tr>
      <w:tr>
        <w:trPr/>
        <w:tc>
          <w:tcPr>
            <w:tcW w:w="2621" w:type="dxa"/>
            <w:tcBorders/>
            <w:vAlign w:val="top"/>
            <w:shd w:fill="F7F9FB"/>
          </w:tcPr>
          <w:p>
            <w:pPr>
              <w:pStyle w:val="Normal"/>
              <w:widowControl/>
              <w:bidi w:val="0"/>
              <w:spacing w:lineRule="auto" w:line="240" w:before="0" w:after="40"/>
              <w:jc w:val="start"/>
              <w:rPr/>
            </w:pPr>
            <w:r>
              <w:rPr>
                <w:sz w:val="19"/>
              </w:rPr>
              <w:t>Exact fixtures</w:t>
            </w:r>
          </w:p>
        </w:tc>
        <w:tc>
          <w:tcPr>
            <w:tcW w:w="6739" w:type="dxa"/>
            <w:tcBorders/>
            <w:vAlign w:val="top"/>
            <w:shd w:fill="F7F9FB"/>
          </w:tcPr>
          <w:p>
            <w:pPr>
              <w:pStyle w:val="Normal"/>
              <w:widowControl/>
              <w:bidi w:val="0"/>
              <w:spacing w:lineRule="auto" w:line="240" w:before="0" w:after="40"/>
              <w:jc w:val="start"/>
              <w:rPr/>
            </w:pPr>
            <w:r>
              <w:rPr>
                <w:sz w:val="19"/>
              </w:rPr>
              <w:t>An exact-kernel completion and an injective approximate-kernel completion can share every finite floor 4^{-n}; finite data do not identify the completion. A separate construction has uniform floor at least 1/4. A dynamic family may be invertible at each step yet converge in operator norm to a map with a kernel.</w:t>
            </w:r>
          </w:p>
        </w:tc>
      </w:tr>
      <w:tr>
        <w:trPr/>
        <w:tc>
          <w:tcPr>
            <w:tcW w:w="2621" w:type="dxa"/>
            <w:tcBorders/>
            <w:vAlign w:val="top"/>
          </w:tcPr>
          <w:p>
            <w:pPr>
              <w:pStyle w:val="Normal"/>
              <w:widowControl/>
              <w:bidi w:val="0"/>
              <w:spacing w:lineRule="auto" w:line="240" w:before="0" w:after="40"/>
              <w:jc w:val="start"/>
              <w:rPr/>
            </w:pPr>
            <w:r>
              <w:rPr>
                <w:sz w:val="19"/>
              </w:rPr>
              <w:t>Transport guard</w:t>
            </w:r>
          </w:p>
        </w:tc>
        <w:tc>
          <w:tcPr>
            <w:tcW w:w="6739" w:type="dxa"/>
            <w:tcBorders/>
            <w:vAlign w:val="top"/>
          </w:tcPr>
          <w:p>
            <w:pPr>
              <w:pStyle w:val="Normal"/>
              <w:widowControl/>
              <w:bidi w:val="0"/>
              <w:spacing w:lineRule="auto" w:line="240" w:before="0" w:after="40"/>
              <w:jc w:val="start"/>
              <w:rPr/>
            </w:pPr>
            <w:r>
              <w:rPr>
                <w:sz w:val="19"/>
              </w:rPr>
              <w:t>A fixed-state observation window and a transported moving-state window are different claims. The transport map, state identity, and common norm must be declared before comparing them.</w:t>
            </w:r>
          </w:p>
        </w:tc>
      </w:tr>
      <w:tr>
        <w:trPr/>
        <w:tc>
          <w:tcPr>
            <w:tcW w:w="2621" w:type="dxa"/>
            <w:tcBorders/>
            <w:vAlign w:val="top"/>
            <w:shd w:fill="F7F9FB"/>
          </w:tcPr>
          <w:p>
            <w:pPr>
              <w:pStyle w:val="Normal"/>
              <w:widowControl/>
              <w:bidi w:val="0"/>
              <w:spacing w:lineRule="auto" w:line="240" w:before="0" w:after="40"/>
              <w:jc w:val="start"/>
              <w:rPr/>
            </w:pPr>
            <w:r>
              <w:rPr>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These are exact counterfixtures and branch contracts only. They prove no RL/RH claim and no universal dynamic-frame theorem.</w:t>
            </w:r>
          </w:p>
        </w:tc>
      </w:tr>
    </w:tbl>
    <w:p>
      <w:pPr>
        <w:pStyle w:val="Heading1"/>
        <w:keepNext/>
        <w:keepLines/>
        <w:rPr/>
      </w:pPr>
      <w:bookmarkStart w:id="52" w:name="pal-v2.3-realization-additions"/>
      <w:r>
        <w:rPr/>
        <w:t>9. PAL v2.3 realization additions</w:t>
      </w:r>
      <w:bookmarkEnd w:id="52"/>
    </w:p>
    <w:p>
      <w:pPr>
        <w:pStyle w:val="Normal"/>
        <w:keepNext/>
        <w:keepLines/>
        <w:rPr/>
      </w:pPr>
      <w:r>
        <w:rPr/>
        <w:t>The six cards in this section are additive and removable. Each depends on supplied objects and witnesses, satisfies the common contract and conditional extension profile, and returns to the preserved v2.2 Atlas when deleted. None is a PAL primitive or a constructor from Ω.</w:t>
      </w:r>
    </w:p>
    <w:p>
      <w:pPr>
        <w:pStyle w:val="Heading2"/>
        <w:keepNext/>
        <w:keepLines/>
        <w:rPr/>
      </w:pPr>
      <w:bookmarkStart w:id="53" w:name="m-a1-qsplit-resolution-qualified-asymmet"/>
      <w:r>
        <w:rPr/>
        <w:t>M-A1-QSPLIT — Resolution-qualified asymmetric split</w:t>
      </w:r>
      <w:bookmarkEnd w:id="53"/>
    </w:p>
    <w:p>
      <w:pPr>
        <w:pStyle w:val="Normal"/>
        <w:keepNext/>
        <w:keepLines/>
        <w:rPr>
          <w:b/>
          <w:bCs/>
        </w:rPr>
      </w:pPr>
      <w:r>
        <w:rPr>
          <w:b/>
          <w:bCs/>
        </w:rPr>
        <w:t>A1 readable asymmetry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A1 readable oriented distinction under a declared quantitative realization.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Inherited A0/Ω*/θ receipts; a total P and step q with P≥q&gt;0; units; ordered carrier; admissible difference set Δ; resolution δ; tolerance ε; and supplied alignment witness Align_q to the inherited opaque roles and θ orientation.</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P₊=(P+q)/2, P₋=(P−q)/2. Then P₊+P₋=P, P₊−P₋=q, and the relative difference is q/P. For fixed q, q/P→0 as P→∞ while the absolute difference remains q.</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Admit (P₊,P₋) as an A1 readout only after units, resolution, admissible values, tolerance, and Align_q are checked.</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Ordered arithmetic supporting halves, P≥q&gt;0, declared scale and units, supplied alignment, and paid measurement/representation precision. The positive reals have no least positive element.</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Total P, absolute difference q, units, cut identity, inherited orientation, scale, resolution, tolerance, provenance, and any unrepresented remainder.</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Without Align_q the pair is only arithmetic. Deleting the quantitative carrier/readout recovers inherited A0/Ω*/θ without A1. If both parts must lie in qℤ≥0 and P=kq, difference q is admissible for odd k; for even k the least unequal q-grid difference is 2q.</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constructor plus elementary lemma; eligible for CLOSED_IN_SCOPE only through a distinct A15 ClosureReceipt for the declared carrier and parameters.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P=q boundary case; odd/even q-grid parity; scale and unit mutation; missing/mismatched alignment; positive-real ε/2 counterfixture;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construction of A0, definition of θ, universal quantum, least positive real asymmetry, physical law, source witness, or vanishing of the absolute difference.</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Why this carrier, q, scale, resolution, alignment, and tolerance; alternative decompositions and unread distinctions.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 in P, q, units, scale, admissible set, resolution, tolerance, cut, orientation, or alignment reopens the readout and preserves its predecessor receipts.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Single-Cut Transport Lemma v0.2 [V9]. The 3 September 2012 journal expression is a private historical antecedent to the question, not a public priority or proof claim.</w:t>
            </w:r>
          </w:p>
        </w:tc>
      </w:tr>
    </w:tbl>
    <w:p>
      <w:pPr>
        <w:pStyle w:val="Normal"/>
        <w:rPr/>
      </w:pPr>
      <w:r>
        <w:rPr>
          <w:b/>
          <w:bCs/>
        </w:rPr>
        <w:t>Conditional extension profile.</w:t>
      </w:r>
      <w:r>
        <w:rPr/>
        <w:t xml:space="preserve"> Carrier/model envelope: the declared ordered arithmetic carrier together with inherited A0/Ω*/θ receipts. Scale, resolution, admissible differences, and tolerance: units, P, q, Δ, δ, and ε are supplied; exact algebra uses zero arithmetic tolerance. Boundary role/domain/scope: inherited account-relative CUT only; no geometric boundary is introduced. Orientation/coefficient system: inherited opaque θ orientation is connected only by Align_q; coefficients 1/2 and the carrier arithmetic are declared. Quantifiers: local in supplied P,q; asymptotic only in P at fixed q; q-grid parity only on its stated discrete domain. Map/projector/fibers/reachable image: the split map sends (P,q) to (P₊,P₋); no information-loss fiber claim is made, so fibers are reasoned N/A; its reachable image is the set of admissible aligned pairs. Detector/requested answer: the A1 readout asks whether the ordered difference q is readable at the supplied resolution. Reachable decoder/totalization and decoder class: N/A because this card asserts a readout, not interface recovery. Separations: arithmetic endpoints, their relation, any drawn path, A1 receipt, work/audit/grant/resource/external-terminal state, and authority remain noncoercive. Claim labels: algebra and parity are exact lemmas; listed cases are finite fixtures; geometric language is interpretation; PAL placement and Align_q are v2.3 synthesis. Residual/reopening: the Residual and Return-to-PAL rows above control every change in carrier, scale, q, resolution, alignment, witness, or ceiling.</w:t>
      </w:r>
    </w:p>
    <w:p>
      <w:pPr>
        <w:pStyle w:val="Heading2"/>
        <w:keepNext/>
        <w:keepLines/>
        <w:rPr/>
      </w:pPr>
      <w:bookmarkStart w:id="54" w:name="m-interface-fiber-reachable-image-factor"/>
      <w:r>
        <w:rPr/>
        <w:t>M-INTERFACE-FIBER — Reachable-image factorization and lost distinctions</w:t>
      </w:r>
      <w:bookmarkEnd w:id="54"/>
    </w:p>
    <w:p>
      <w:pPr>
        <w:pStyle w:val="Normal"/>
        <w:keepNext/>
        <w:keepLines/>
        <w:rPr>
          <w:b/>
          <w:bCs/>
        </w:rPr>
      </w:pPr>
      <w:r>
        <w:rPr>
          <w:b/>
          <w:bCs/>
        </w:rPr>
        <w:t>Typed interface realization across A1/A2/A9/A15 as declared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 generic INTERFACE card for certifying whether a trace retains the distinctions required by a named question.</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Sets/types W,T,Q; trace map τ:W→T; requested answer q:W→Q; reachable image R=τ(W); optional auxiliary label s:W→S; and declared decoder class.</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L(τ,q)={(w,w′) : τ(w)=τ(w′) and q(w)≠q(w′)}. Exactly when L(τ,q)=∅, q factors uniquely as d_R∘τ through a decoder d_R:R→Q. Extension of d_R to all T is a separate totalization claim.</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Compute or prove the lost-distinction relation and issue a reachable-image factorization or obstruction receipt. Postprocessing cannot repair an existing collision. With K(s)={(w,w′):s(w)=s(w′)}, L((τ,s),q)=L(τ,q)∩K(s).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Equality and map laws; explicit W,T,Q,τ,q; finite enumeration only where claimed; any topology, measure, computation, privacy, permission, or authority structure separately supplied.</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Original witnesses, collisions, reachable image, detector/question, auxiliary labels, lost distinctions, decoder domain/class, totalization status,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deterministic restatement s=h∘τ removes no collision. For q′=g∘q, L(τ,q′)⊆L(τ,q). Under finite hypotheses, any s making (τ,s) sufficient needs at least max_{t∈R} card(q(τ⁻¹(t))) distinguishable labels.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Set-theoretic factorization theorem with refinement and coarsening lemmas; stronger decoder classes are separate claims.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Collision/no-collision; deterministic restatement; strict refinement; question coarsening; finite label bound; empty W, empty R, nonempty T and empty Q totalization controls; joint-trace XOR fixture;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At most deterministic set-theoretic factorization unless strengthened. No automatic continuity, measurability, smoothness, computability, efficient inversion, causal recovery, source existence, identity, privacy, permission, consent, standing, jurisdiction, or authority.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Unreachable T, decoder extension, non-set-theoretic regularity, actual source existence, implementation cost, hidden collisions, and question adequacy.</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change to W,T,Q,τ,q,s, reachable image, detector, decoder class, or authority reopens only the dependent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APCI v1.0.0 [V5] for reachable factorization; Compactification Costs v0.2 [V8] for boundary/refinement/coarsening seams; Abstract Loops v1.0 [V6] for joint traces.</w:t>
            </w:r>
          </w:p>
        </w:tc>
      </w:tr>
    </w:tbl>
    <w:p>
      <w:pPr>
        <w:pStyle w:val="Normal"/>
        <w:rPr/>
      </w:pPr>
      <w:r>
        <w:rPr/>
        <w:t>For joint traces, K(⟨τ_A,τ_B⟩)=K(τ_A)∩K(τ_B). XOR supplies a strict joint-sufficiency fixture: either single coordinate is insufficient while their pair is sufficient. This proves neither causal interaction nor generation.</w:t>
      </w:r>
    </w:p>
    <w:p>
      <w:pPr>
        <w:pStyle w:val="BodyText"/>
        <w:rPr/>
      </w:pPr>
      <w:r>
        <w:rPr>
          <w:b/>
          <w:bCs/>
        </w:rPr>
        <w:t>Conditional extension profile.</w:t>
      </w:r>
      <w:r>
        <w:rPr/>
        <w:t xml:space="preserve"> Carrier/model envelope: W with interface codomain T and requested-answer codomain Q. Scale, resolution, admissible differences, and tolerance: reasoned N/A for the set-theoretic theorem; any metric, approximate equality, or tolerance used by an implementation must be supplied separately. Boundary role/domain/scope: INTERFACE from W into T under the declared τ, never silently CUT, and only on the stated W. Orientation/coefficient system: N/A absent separately supplied structure. Quantifiers: exact over all w,w′∈W; executable fixtures are explicitly finite. Map/projector/fibers/reachable image: τ, q, K(τ), L(τ,q), and R=τ(W) are explicit. Detector/requested answer: τ is the detector/interface trace and q is exactly the answer being preserved. Reachable decoder/totalization: d_R:R→Q is distinguished from any extension d_T:T→Q. Decoder class: set-theoretic by default; continuous, measurable, smooth, computable, efficient, causal, privacy-preserving, permitted, and authorized classes require their own witnesses. Separations: endpoint, path, relation, receipt, work, audit, grant, resource, external-terminal result, source existence, and authority remain distinct. Claim labels: reachable factorization is a prior exact theorem; finite collision/refinement tables are fixtures; loss language is interpretation; boundary routing and class registry are v2.3 synthesis. Residual/reopening: the Residual and Return-to-PAL rows control changes to any map, domain, fiber, label, decoder, witness, or ceiling.</w:t>
      </w:r>
    </w:p>
    <w:p>
      <w:pPr>
        <w:pStyle w:val="Heading2"/>
        <w:keepNext/>
        <w:keepLines/>
        <w:rPr/>
      </w:pPr>
      <w:bookmarkStart w:id="55" w:name="m-return-proj-return-projection-hidden-m"/>
      <w:r>
        <w:rPr/>
        <w:t>M-RETURN-PROJ — Return, projection, hidden motion, and export</w:t>
      </w:r>
      <w:bookmarkEnd w:id="55"/>
    </w:p>
    <w:p>
      <w:pPr>
        <w:pStyle w:val="Normal"/>
        <w:keepNext/>
        <w:keepLines/>
        <w:rPr>
          <w:b/>
          <w:bCs/>
        </w:rPr>
      </w:pPr>
      <w:r>
        <w:rPr>
          <w:b/>
          <w:bCs/>
        </w:rPr>
        <w:t>Typed return/export realization across A5/A12/A13/A15 as declared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Distinguish exact return, projected work stutter, hidden motion, direct residual, and exported receipt.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State space X; transition/return H:X→X; work projection π:X→W; export E:X→C⊥, equivalently Ĥ(x)=(H(x),E(x)); and, when input/output readouts differ, both codomains plus a comparison adapter.</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Separately typed predicates for H(x)=x; π(Hx)=π(x); H(x)≠x with projected equality; direct readable residual; collapse under π; H^k(x)=x; and E(x)≠⊥.</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Issue only the return/stutter/export receipt actually witnessed. A quiet heartbeat may preserve work while appending audit state; it records its own observation only.</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Declared state coordinates, projector/comparison law, export semantics, observation time, and mutation coverage. Exact interval claims require protected state or complete intervening receipts.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Carrier state, work projection, audit entry, hidden coordinates, direct residual, exported receipt, resource delta, grant/authority state, external terminal result, and route history.</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Projected equality is weaker than total equality. A model with fixed work and changed audit/resource state is a strict predecessor counterfixture to total-state stutter.</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Typed predicate family. Abstract Loops supplies the return/export axes; the heartbeat application is new PAL v2.3 synthesis.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Exact fixed point; projected stutter with hidden motion; direct residual; collapse; periodic return; exported residual; heartbeat with audit/resource delta; sparse-observation mutation;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liveness, progress, success, identity through time, consciousness, physical recurrence, permission, authority, or A15 closure from equality or return alone.</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Unobserved intervals, hidden state, resource use, external effects, projector adequacy, and export semantics.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state-space, map, projection, comparison, export, interval, resource, grant, or authority change reopens the corresponding typed claim.</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Abstract Loops v1.0 [V6]; SCT v0.2 [V9] for the work-stutter heartbeat application; PAL v2.3 projection discipline.</w:t>
            </w:r>
          </w:p>
        </w:tc>
      </w:tr>
    </w:tbl>
    <w:p>
      <w:pPr>
        <w:pStyle w:val="Normal"/>
        <w:rPr/>
      </w:pPr>
      <w:r>
        <w:rPr>
          <w:b/>
          <w:bCs/>
        </w:rPr>
        <w:t>Conditional extension profile.</w:t>
      </w:r>
      <w:r>
        <w:rPr/>
        <w:t xml:space="preserve"> Carrier/model envelope: X with work codomain W and export codomain C⊥. Scale, resolution, admissible differences, and tolerance: N/A for exact equality; any approximate return/readout must supply them. Boundary role/domain/scope: N/A for return alone; an exported readout uses INTERFACE on the declared domain and does not become CUT. Orientation/coefficient system: N/A unless separately supplied. Quantifiers: one supplied state, one transition, or a declared finite period unless separately strengthened. Map/projector/fibers/reachable image: H, π, E, the fibers of π, and the relevant images H(X), π(X), and E(X) are declared where used. Detector/requested answer: equality is tested in the named total or projected state space; export asks only for its typed receipt. Reachable decoder/totalization: N/A unless inverse recovery is separately claimed. Decoder class: exact set-theoretic equality is the base case; computable or approximate comparison requires a supplied implementation and tolerance. Separations: endpoint, path, relation, receipt, work, audit, grant, resource, external-terminal result, and authority are noncoercive. Claim labels: fixed-point and projected-stutter implications are exact; examples are finite fixtures; recurrence language is interpretation; heartbeat/export routing is v2.3 synthesis. Residual/reopening: the Residual and Return-to-PAL rows control changes in state, projection, export, comparison, heartbeat, evidence, or ceiling.</w:t>
      </w:r>
    </w:p>
    <w:p>
      <w:pPr>
        <w:pStyle w:val="Heading2"/>
        <w:keepNext/>
        <w:keepLines/>
        <w:rPr/>
      </w:pPr>
      <w:bookmarkStart w:id="56" w:name="m-a2-trace-lift-action-bit-lift-and-reco"/>
      <w:r>
        <w:rPr/>
        <w:t>M-A2-TRACE-LIFT — Action-bit lift and recoverable trace</w:t>
      </w:r>
      <w:bookmarkEnd w:id="56"/>
    </w:p>
    <w:p>
      <w:pPr>
        <w:pStyle w:val="Normal"/>
        <w:keepNext/>
        <w:keepLines/>
        <w:rPr>
          <w:b/>
          <w:bCs/>
        </w:rPr>
      </w:pPr>
      <w:r>
        <w:rPr>
          <w:b/>
          <w:bCs/>
        </w:rPr>
        <w:t>A2 trace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A2 recoverable consequence from a locally sufficient action receipt.</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Finite coordinate state x, known pair (i,j), compare-exchange U_ij that swaps exactly when x_i&lt;x_j, action bit c_ij(x)=1[x_i&lt;x_j], known finite schedule where used, and an A2 store.</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U_ij alone is noninjective. The lift x↦(U_ij(x),c_ij(x)) is injective: its left inverse leaves the output unchanged when c=0 and swaps coordinates i,j back when c=1.</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Bind each action bit to its input step, pair, schedule position, and output; retain and recover the sequence before admitting an A2 realization.</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Exact comparator and swap semantics, coordinate identity, known schedule for run reversal, immutable binding, addressability, storage, and successful recovery.</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Output state, action bit, compared pair, schedule cursor, predecessor link, store address/version, and recovery evidence.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Without the bit, strict pairs (a,b) and (b,a) can share one sorted output. The one-bit lower bound is local to this declared two-point fiber, not a whole-run optimum.</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Algebraic injective lift plus conditional A2 constructor. A transient bit proves no persistence.</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Two-point collision; explicit left inverse; equality case; multi-step reverse replay under known schedule; missing/wrong bit; wrong pair/cursor; retention and recovery failure;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global logarithmic minimality, practical sorting superiority, schedule independence, physical reversibility, or A2 persistence without actual storage and recovery.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Storage cost, corrupted bits, unknown schedule, comparator mismatch, concurrent actions, and external side effects.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binding, schedule, comparator, store, address, or recovery failure reopens the trace lift while retaining all valid earlier receipts.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SCT v0.2 [V9]; M-A2-STORE.</w:t>
            </w:r>
          </w:p>
        </w:tc>
      </w:tr>
    </w:tbl>
    <w:p>
      <w:pPr>
        <w:pStyle w:val="Normal"/>
        <w:rPr/>
      </w:pPr>
      <w:r>
        <w:rPr>
          <w:b/>
          <w:bCs/>
        </w:rPr>
        <w:t>Conditional extension profile.</w:t>
      </w:r>
      <w:r>
        <w:rPr/>
        <w:t xml:space="preserve"> Carrier/model envelope: the declared finite coordinate state and one named compare-exchange site. Scale, resolution, admissible differences, and tolerance: metric scale is N/A; action alphabet {0,1}, exact comparator, and zero equality tolerance are supplied. Boundary role/domain/scope: N/A because no boundary is used. Orientation/coefficient system: the ordered comparator and site orientation are declared; numeric coefficients are N/A. Quantifiers: exact for one update on all pairs in the declared two-point fiber; multi-step reversal is only for a supplied finite schedule. Map/projector/fibers/reachable image: U_ij, the lifted map (U_ij,c_ij), their collision fibers, and lifted reachable image are explicit. Detector/requested answer: c_ij records which preimage branch occurred, and the requested answer is the prior coordinate pair. Reachable decoder/totalization: the left inverse is defined on the lifted reachable image; no arbitrary-log or schedule-independent totalization follows. Decoder class: exact finite set-theoretic, and executable only for the checked fixture/implementation. Separations: endpoint, path, relation, bound action receipt, work, audit, grant, resource, external-terminal result, store, and authority remain distinct. Claim labels: injectivity and one-bit local necessity are exact; reverse runs are finite fixtures; “trace” is interpretation until retained; PAL A2 placement is v2.3 synthesis. Residual/reopening: the Residual and Return-to-PAL rows control rule, site, alphabet, store, schedule, inverse, witness, and ceiling changes.</w:t>
      </w:r>
    </w:p>
    <w:p>
      <w:pPr>
        <w:pStyle w:val="Heading2"/>
        <w:keepNext/>
        <w:keepLines/>
        <w:rPr/>
      </w:pPr>
      <w:bookmarkStart w:id="57" w:name="m-a12-capsule-exact-checkpoint-capsule-a"/>
      <w:r>
        <w:rPr/>
        <w:t>M-A12-CAPSULE — Exact checkpoint capsule and re-entry</w:t>
      </w:r>
      <w:bookmarkEnd w:id="57"/>
    </w:p>
    <w:p>
      <w:pPr>
        <w:pStyle w:val="Normal"/>
        <w:keepNext/>
        <w:keepLines/>
        <w:rPr>
          <w:b/>
          <w:bCs/>
        </w:rPr>
      </w:pPr>
      <w:r>
        <w:rPr>
          <w:b/>
          <w:bCs/>
        </w:rPr>
        <w:t>A12 transport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Exact work-state checkpoint and safe re-entry under existing A12 lineage authority.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Work state S_work; capsule C_work; freeze f:S_work→C_work; thaw r:C_work→S_work; cursor, comparator, schedule, code/dependency/environment identities; invariant; grant; resource ledger; authority boundary; audit state; residual; trace anchor; and deterministic suffix.</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r∘f=id on declared work state. Under the same deterministic suffix, exact thaw yields the same terminal work state as uninterrupted execution. No equality of non-work coordinates follows.</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Freeze with complete bindings, protect work state or receipt every material intervening mutation, revalidate all non-work coordinates, then thaw under one inherited live token.</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Exact serialization semantics, bound versions/environment, deterministic suffix, protected state or complete mutation receipts, and separately valid A12 token authority.</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Work state, cursor, schedule, comparator, code/dependencies/environment, invariant, grant epoch, resource consumption, authority ceiling, audit, residual, trace chain, and external-effect boundary.</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bare formula, digest, or work snapshot is not a thawable capsule. M-A12-CAPSULE inherits live_count+terminal_count≤1; it does not prove or manufacture token authority.</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retraction theorem on work state plus transport constructor under A12.</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Round trip; protected/unprotected interval; complete/incomplete mutation receipts; cursor/comparator/schedule/code/dependency/environment mismatch; grant expiry; resource delta; missing token; deterministic suffix; external-effect inequality;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recovery of spent resources, expired grants, erased authority, missing evidence, audit identity, external effects, or external success.</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Uncaptured environment, nondeterminism, concurrent mutation, stale dependencies, external effects, durability, and reauthorization.</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Any material mismatch rejects continuity, appends a TRANSPORT_VALIDITY break receipt, preserves history, and routes the claim to A15 review.</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SCT v0.2 [V9]; M-A12-LINEAR; PAL v2.3 CHECKPOINT_FREEZE, CHECKPOINT_THAW, and REENTRY profiles.</w:t>
            </w:r>
          </w:p>
        </w:tc>
      </w:tr>
    </w:tbl>
    <w:p>
      <w:pPr>
        <w:pStyle w:val="Normal"/>
        <w:rPr/>
      </w:pPr>
      <w:r>
        <w:rPr>
          <w:b/>
          <w:bCs/>
        </w:rPr>
        <w:t>Conditional extension profile.</w:t>
      </w:r>
      <w:r>
        <w:rPr/>
        <w:t xml:space="preserve"> Carrier/model envelope: declared work-state space S_work, capsule space C_work, and separately typed non-work coordinates. Scale, resolution, admissible differences, and tolerance: exact thaw uses equality with zero tolerance under the frozen serialization/digest profile; any approximate migration requires a new adapter. Boundary role/domain/scope: TRANSPORT_VALIDITY for the named capsule, environment, and suffix only. Orientation/coefficient system: reasoned N/A. Quantifiers: r∘f=id for all declared work states in scope; artifact and suffix executions remain finite. Map/projector/fibers/reachable image: freeze f, thaw r, work projection, fibers of f, and reachable image f(S_work) are explicit. Detector/requested answer: field/digest comparison asks whether exact work-state re-entry is licensed. Reachable decoder/totalization: r is required on f(S_work); decoding arbitrary capsules is not claimed. Decoder class: exact set-theoretic or computable serialization only where the implementation is supplied and verified. Separations: endpoint, path, relation, receipt, work, audit, grant, resource, external-terminal effect, and authority remain distinct; thaw equality covers work only. Claim labels: the left-inverse/suffix statement is exact conditional mathematics; capsule runs are finite fixtures; continuity language is interpretation; PAL re-entry routing is v2.3 synthesis. Residual/reopening: the Residual and Return-to-PAL rows control every field, identity, mismatch, suffix, grant, resource, witness, or ceiling change.</w:t>
      </w:r>
    </w:p>
    <w:p>
      <w:pPr>
        <w:pStyle w:val="Heading2"/>
        <w:keepNext/>
        <w:keepLines/>
        <w:rPr/>
      </w:pPr>
      <w:bookmarkStart w:id="58" w:name="m-a13-stutter-stutter-refined-certified-"/>
      <w:r>
        <w:rPr/>
        <w:t>M-A13-STUTTER — Stutter-refined certified cadence</w:t>
      </w:r>
      <w:bookmarkEnd w:id="58"/>
    </w:p>
    <w:p>
      <w:pPr>
        <w:pStyle w:val="Normal"/>
        <w:keepNext/>
        <w:keepLines/>
        <w:rPr>
          <w:b/>
          <w:bCs/>
        </w:rPr>
      </w:pPr>
      <w:r>
        <w:rPr>
          <w:b/>
          <w:bCs/>
        </w:rPr>
        <w:t>A13 cadence realization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Refine certified cadence by separating administrative recurrence from productive recurrence.</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States S; work projection π; progress coordinate g; administrative relation →₀ preserving π; productive relation →₁ changing the declared progress coordinate; rank or fairness/liveness evidence; and heartbeat namespace.</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Macrostep ⇒ = →₀* ; →₁ ; →₀*. Existing A13 rank descent or declared fairness/acceptance is checked over productive recurrence, not heartbeat count.</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Classify each transition before cadence credit. Controller-side suspension heartbeats are distinct from source-declared exogenous pulse alignment in The Context Sets a Rhythm.</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Sound transition classification, stable work/progress projections, declared schedule and rank/fairness semantics, observation horizon, and complete receipts where interval mutation-freedom is claimed.</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Work state, progress coordinate, administrative and productive steps, wake/suspend receipts, scheduler assumptions, resource deltas, failures, and terminal or branch outcome.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A heartbeat-only loop is a predecessor countermodel. Sparse observation neither proves worker liveness nor excludes hidden mutation between observations.</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cadence refinement; STAGNATED and QUIESCENT_UNDER_COMPARATOR remain branch outcomes, not PAL statuses.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Administrative-only loop; one productive macrostep; rank descent only on →₁; fair/unfair acceptance; sparse hidden mutation; namespace collision; resource-consuming stutter;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Elapsed time, heartbeat count, receipt count, wakeups, or administrative recurrence does not prove progress, termination, correctness, success, liveness, consciousness, or permission.</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Hidden work, scheduler reality, finite observation, rank adequacy, resource cost, and external terminal state.</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Projection, classifier, schedule, rank, fairness, acceptance, namespace, resource, or hidden-mutation change reopens cadence without deleting earlier receipts.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SCT v0.2 [V9]; Lamport [S43] for neighboring stutter terminology; The Context Sets a Rhythm v0.1 [V7] only at its source-declared exogenous-pulse role.</w:t>
            </w:r>
          </w:p>
        </w:tc>
      </w:tr>
    </w:tbl>
    <w:p>
      <w:pPr>
        <w:pStyle w:val="Normal"/>
        <w:rPr/>
      </w:pPr>
      <w:r>
        <w:rPr>
          <w:b/>
          <w:bCs/>
        </w:rPr>
        <w:t>Conditional extension profile.</w:t>
      </w:r>
      <w:r>
        <w:rPr/>
        <w:t xml:space="preserve"> Carrier/model envelope: the declared transition state with work, progress, audit, grant, resource, and terminal coordinates. Scale, resolution, admissible differences, and tolerance: the work-stutter and progress classifiers supply their coordinate domains, admissible changes, resolution, and tolerance; absent quantitative coordinates these are exact predicates. Boundary role/domain/scope: N/A for cadence alone; checkpoint/re-entry, if invoked, uses its separate TRANSPORT_VALIDITY reference. Orientation/coefficient system: N/A unless a separately typed alignment readout is imported. Quantifiers: one macrostep or a finite trace; infinite recurrence requires named fairness/liveness semantics. Map/projector/fibers/reachable image: →₀, →₁, ⇒, work/progress projectors, their fibers, and the reachable transition relation are explicit. Detector/requested answer: the controller heartbeat observes its named predicate; the requested answers “work changed?” and “progress changed?” remain separate. Reachable decoder/totalization: N/A because heartbeat is not a recovery decoder. Decoder class: N/A absent a separately supplied state-reconstruction claim. Separations: endpoint, path, relation, receipt, work, audit, grant, resource, external-terminal result, and authority are noncoercive. Claim labels: macrostep algebra is exact; scheduler traces are finite fixtures; cadence/progress wording is interpretation; heartbeat namespacing is v2.3 synthesis. Residual/reopening: the Residual and Return-to-PAL rows control changes in transition class, projection, observation gap, fairness, witness, or ceiling.</w:t>
      </w:r>
    </w:p>
    <w:p>
      <w:pPr>
        <w:pStyle w:val="Heading2"/>
        <w:keepNext/>
        <w:keepLines/>
        <w:rPr/>
      </w:pPr>
      <w:bookmarkStart w:id="59" w:name="pf-gold-lens-composite-primitive-floor-r"/>
      <w:r>
        <w:rPr/>
        <w:t>PF-GOLD-LENS — Composite primitive-floor realization plate</w:t>
      </w:r>
      <w:bookmarkEnd w:id="59"/>
    </w:p>
    <w:p>
      <w:pPr>
        <w:pStyle w:val="Normal"/>
        <w:keepNext/>
        <w:keepLines/>
        <w:rPr/>
      </w:pPr>
      <w:r>
        <w:rPr/>
        <w:t>PF-GOLD-LENS is a removable cross-card fixture, not a realization card and not a primitive derivation.</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Supplied feature</w:t>
            </w:r>
          </w:p>
        </w:tc>
        <w:tc>
          <w:tcPr>
            <w:tcW w:w="3120" w:type="dxa"/>
            <w:tcBorders/>
            <w:vAlign w:val="top"/>
            <w:shd w:fill="DCE6F1"/>
          </w:tcPr>
          <w:p>
            <w:pPr>
              <w:pStyle w:val="Normal"/>
              <w:spacing w:before="0" w:after="40" w:line="240" w:lineRule="auto"/>
              <w:rPr>
                <w:b/>
                <w:bCs/>
              </w:rPr>
            </w:pPr>
            <w:r>
              <w:rPr>
                <w:b/>
                <w:bCs/>
                <w:color w:val="1F4D78"/>
                <w:sz w:val="18"/>
              </w:rPr>
              <w:t>Eligible route</w:t>
            </w:r>
          </w:p>
        </w:tc>
        <w:tc>
          <w:tcPr>
            <w:tcW w:w="3120" w:type="dxa"/>
            <w:tcBorders/>
            <w:vAlign w:val="top"/>
            <w:shd w:fill="DCE6F1"/>
          </w:tcPr>
          <w:p>
            <w:pPr>
              <w:pStyle w:val="Normal"/>
              <w:spacing w:before="0" w:after="40" w:line="240" w:lineRule="auto"/>
              <w:rPr>
                <w:b/>
                <w:bCs/>
              </w:rPr>
            </w:pPr>
            <w:r>
              <w:rPr>
                <w:b/>
                <w:bCs/>
                <w:color w:val="1F4D78"/>
                <w:sz w:val="18"/>
              </w:rPr>
              <w:t>Required witness and ceiling</w:t>
            </w:r>
          </w:p>
        </w:tc>
      </w:tr>
      <w:tr>
        <w:trPr/>
        <w:tc>
          <w:tcPr>
            <w:tcW w:w="3120" w:type="dxa"/>
            <w:tcBorders/>
            <w:vAlign w:val="top"/>
          </w:tcPr>
          <w:p>
            <w:pPr>
              <w:pStyle w:val="Normal"/>
              <w:widowControl/>
              <w:bidi w:val="0"/>
              <w:spacing w:lineRule="auto" w:line="240" w:before="0" w:after="40"/>
              <w:jc w:val="start"/>
              <w:rPr/>
            </w:pPr>
            <w:r>
              <w:rPr>
                <w:sz w:val="18"/>
              </w:rPr>
              <w:t>Exact GOLD lens or related finite carrier</w:t>
            </w:r>
          </w:p>
        </w:tc>
        <w:tc>
          <w:tcPr>
            <w:tcW w:w="3120" w:type="dxa"/>
            <w:tcBorders/>
            <w:vAlign w:val="top"/>
          </w:tcPr>
          <w:p>
            <w:pPr>
              <w:pStyle w:val="Normal"/>
              <w:widowControl/>
              <w:bidi w:val="0"/>
              <w:spacing w:lineRule="auto" w:line="240" w:before="0" w:after="40"/>
              <w:jc w:val="start"/>
              <w:rPr/>
            </w:pPr>
            <w:r>
              <w:rPr>
                <w:sz w:val="18"/>
              </w:rPr>
              <w:t>M0</w:t>
            </w:r>
          </w:p>
        </w:tc>
        <w:tc>
          <w:tcPr>
            <w:tcW w:w="3120" w:type="dxa"/>
            <w:tcBorders/>
            <w:vAlign w:val="top"/>
          </w:tcPr>
          <w:p>
            <w:pPr>
              <w:pStyle w:val="Normal"/>
              <w:widowControl/>
              <w:bidi w:val="0"/>
              <w:spacing w:lineRule="auto" w:line="240" w:before="0" w:after="40"/>
              <w:jc w:val="start"/>
              <w:rPr/>
            </w:pPr>
            <w:r>
              <w:rPr>
                <w:sz w:val="18"/>
              </w:rPr>
              <w:t>Supplies a model envelope only; no Ω identity and no canonical carrier.</w:t>
            </w:r>
          </w:p>
        </w:tc>
      </w:tr>
      <w:tr>
        <w:trPr/>
        <w:tc>
          <w:tcPr>
            <w:tcW w:w="3120" w:type="dxa"/>
            <w:tcBorders/>
            <w:vAlign w:val="top"/>
            <w:shd w:fill="F7F9FB"/>
          </w:tcPr>
          <w:p>
            <w:pPr>
              <w:pStyle w:val="Normal"/>
              <w:widowControl/>
              <w:bidi w:val="0"/>
              <w:spacing w:lineRule="auto" w:line="240" w:before="0" w:after="40"/>
              <w:jc w:val="start"/>
              <w:rPr/>
            </w:pPr>
            <w:r>
              <w:rPr>
                <w:sz w:val="18"/>
              </w:rPr>
              <w:t>Chord or opaque pair-role designation</w:t>
            </w:r>
          </w:p>
        </w:tc>
        <w:tc>
          <w:tcPr>
            <w:tcW w:w="3120" w:type="dxa"/>
            <w:tcBorders/>
            <w:vAlign w:val="top"/>
            <w:shd w:fill="F7F9FB"/>
          </w:tcPr>
          <w:p>
            <w:pPr>
              <w:pStyle w:val="Normal"/>
              <w:widowControl/>
              <w:bidi w:val="0"/>
              <w:spacing w:lineRule="auto" w:line="240" w:before="0" w:after="40"/>
              <w:jc w:val="start"/>
              <w:rPr/>
            </w:pPr>
            <w:r>
              <w:rPr>
                <w:sz w:val="18"/>
              </w:rPr>
              <w:t>A0 / M-A0-CUT</w:t>
            </w:r>
          </w:p>
        </w:tc>
        <w:tc>
          <w:tcPr>
            <w:tcW w:w="3120" w:type="dxa"/>
            <w:tcBorders/>
            <w:vAlign w:val="top"/>
            <w:shd w:fill="F7F9FB"/>
          </w:tcPr>
          <w:p>
            <w:pPr>
              <w:pStyle w:val="Normal"/>
              <w:widowControl/>
              <w:bidi w:val="0"/>
              <w:spacing w:lineRule="auto" w:line="240" w:before="0" w:after="40"/>
              <w:jc w:val="start"/>
              <w:rPr/>
            </w:pPr>
            <w:r>
              <w:rPr>
                <w:sz w:val="18"/>
              </w:rPr>
              <w:t>Requires a supplied CUT witness; geometry does not manufacture the cut.</w:t>
            </w:r>
          </w:p>
        </w:tc>
      </w:tr>
      <w:tr>
        <w:trPr/>
        <w:tc>
          <w:tcPr>
            <w:tcW w:w="3120" w:type="dxa"/>
            <w:tcBorders/>
            <w:vAlign w:val="top"/>
          </w:tcPr>
          <w:p>
            <w:pPr>
              <w:pStyle w:val="Normal"/>
              <w:widowControl/>
              <w:bidi w:val="0"/>
              <w:spacing w:lineRule="auto" w:line="240" w:before="0" w:after="40"/>
              <w:jc w:val="start"/>
              <w:rPr/>
            </w:pPr>
            <w:r>
              <w:rPr>
                <w:sz w:val="18"/>
              </w:rPr>
              <w:t>Cut-indexed arc exchange or involution</w:t>
            </w:r>
          </w:p>
        </w:tc>
        <w:tc>
          <w:tcPr>
            <w:tcW w:w="3120" w:type="dxa"/>
            <w:tcBorders/>
            <w:vAlign w:val="top"/>
          </w:tcPr>
          <w:p>
            <w:pPr>
              <w:pStyle w:val="Normal"/>
              <w:widowControl/>
              <w:bidi w:val="0"/>
              <w:spacing w:lineRule="auto" w:line="240" w:before="0" w:after="40"/>
              <w:jc w:val="start"/>
              <w:rPr/>
            </w:pPr>
            <w:r>
              <w:rPr>
                <w:sz w:val="18"/>
              </w:rPr>
              <w:t>Ω* / M-ΩSTAR</w:t>
            </w:r>
          </w:p>
        </w:tc>
        <w:tc>
          <w:tcPr>
            <w:tcW w:w="3120" w:type="dxa"/>
            <w:tcBorders/>
            <w:vAlign w:val="top"/>
          </w:tcPr>
          <w:p>
            <w:pPr>
              <w:pStyle w:val="Normal"/>
              <w:widowControl/>
              <w:bidi w:val="0"/>
              <w:spacing w:lineRule="auto" w:line="240" w:before="0" w:after="40"/>
              <w:jc w:val="start"/>
              <w:rPr/>
            </w:pPr>
            <w:r>
              <w:rPr>
                <w:sz w:val="18"/>
              </w:rPr>
              <w:t>Requires the same A0 dependency and named involution adapter; no side readout follows.</w:t>
            </w:r>
          </w:p>
        </w:tc>
      </w:tr>
      <w:tr>
        <w:trPr/>
        <w:tc>
          <w:tcPr>
            <w:tcW w:w="3120" w:type="dxa"/>
            <w:tcBorders/>
            <w:vAlign w:val="top"/>
            <w:shd w:fill="F7F9FB"/>
          </w:tcPr>
          <w:p>
            <w:pPr>
              <w:pStyle w:val="Normal"/>
              <w:widowControl/>
              <w:bidi w:val="0"/>
              <w:spacing w:lineRule="auto" w:line="240" w:before="0" w:after="40"/>
              <w:jc w:val="start"/>
              <w:rPr/>
            </w:pPr>
            <w:r>
              <w:rPr>
                <w:sz w:val="18"/>
              </w:rPr>
              <w:t>Witnessed nonidentity action or shared orientation</w:t>
            </w:r>
          </w:p>
        </w:tc>
        <w:tc>
          <w:tcPr>
            <w:tcW w:w="3120" w:type="dxa"/>
            <w:tcBorders/>
            <w:vAlign w:val="top"/>
            <w:shd w:fill="F7F9FB"/>
          </w:tcPr>
          <w:p>
            <w:pPr>
              <w:pStyle w:val="Normal"/>
              <w:widowControl/>
              <w:bidi w:val="0"/>
              <w:spacing w:lineRule="auto" w:line="240" w:before="0" w:after="40"/>
              <w:jc w:val="start"/>
              <w:rPr/>
            </w:pPr>
            <w:r>
              <w:rPr>
                <w:sz w:val="18"/>
              </w:rPr>
              <w:t>θ / M-THETA</w:t>
            </w:r>
          </w:p>
        </w:tc>
        <w:tc>
          <w:tcPr>
            <w:tcW w:w="3120" w:type="dxa"/>
            <w:tcBorders/>
            <w:vAlign w:val="top"/>
            <w:shd w:fill="F7F9FB"/>
          </w:tcPr>
          <w:p>
            <w:pPr>
              <w:pStyle w:val="Normal"/>
              <w:widowControl/>
              <w:bidi w:val="0"/>
              <w:spacing w:lineRule="auto" w:line="240" w:before="0" w:after="40"/>
              <w:jc w:val="start"/>
              <w:rPr/>
            </w:pPr>
            <w:r>
              <w:rPr>
                <w:sz w:val="18"/>
              </w:rPr>
              <w:t>Records turn/orientation while withholding side, magnitude, and occurrence.</w:t>
            </w:r>
          </w:p>
        </w:tc>
      </w:tr>
      <w:tr>
        <w:trPr/>
        <w:tc>
          <w:tcPr>
            <w:tcW w:w="3120" w:type="dxa"/>
            <w:tcBorders/>
            <w:vAlign w:val="top"/>
          </w:tcPr>
          <w:p>
            <w:pPr>
              <w:pStyle w:val="Normal"/>
              <w:widowControl/>
              <w:bidi w:val="0"/>
              <w:spacing w:lineRule="auto" w:line="240" w:before="0" w:after="40"/>
              <w:jc w:val="start"/>
              <w:rPr/>
            </w:pPr>
            <w:r>
              <w:rPr>
                <w:sz w:val="18"/>
              </w:rPr>
              <w:t>Signed area, sector-plus-residual, q-split, or Boolean comparison</w:t>
            </w:r>
          </w:p>
        </w:tc>
        <w:tc>
          <w:tcPr>
            <w:tcW w:w="3120" w:type="dxa"/>
            <w:tcBorders/>
            <w:vAlign w:val="top"/>
          </w:tcPr>
          <w:p>
            <w:pPr>
              <w:pStyle w:val="Normal"/>
              <w:widowControl/>
              <w:bidi w:val="0"/>
              <w:spacing w:lineRule="auto" w:line="240" w:before="0" w:after="40"/>
              <w:jc w:val="start"/>
              <w:rPr/>
            </w:pPr>
            <w:r>
              <w:rPr>
                <w:sz w:val="18"/>
              </w:rPr>
              <w:t>A1</w:t>
            </w:r>
          </w:p>
        </w:tc>
        <w:tc>
          <w:tcPr>
            <w:tcW w:w="3120" w:type="dxa"/>
            <w:tcBorders/>
            <w:vAlign w:val="top"/>
          </w:tcPr>
          <w:p>
            <w:pPr>
              <w:pStyle w:val="Normal"/>
              <w:widowControl/>
              <w:bidi w:val="0"/>
              <w:spacing w:lineRule="auto" w:line="240" w:before="0" w:after="40"/>
              <w:jc w:val="start"/>
              <w:rPr/>
            </w:pPr>
            <w:r>
              <w:rPr>
                <w:sz w:val="18"/>
              </w:rPr>
              <w:t>Requires declared carrier, scale, order, resolution, tolerance, decoder, and alignment witness. Boolean comparison alone does not distinguish equality from reverse inequality.</w:t>
            </w:r>
          </w:p>
        </w:tc>
      </w:tr>
      <w:tr>
        <w:trPr/>
        <w:tc>
          <w:tcPr>
            <w:tcW w:w="3120" w:type="dxa"/>
            <w:tcBorders/>
            <w:vAlign w:val="top"/>
            <w:shd w:fill="F7F9FB"/>
          </w:tcPr>
          <w:p>
            <w:pPr>
              <w:pStyle w:val="Normal"/>
              <w:widowControl/>
              <w:bidi w:val="0"/>
              <w:spacing w:lineRule="auto" w:line="240" w:before="0" w:after="40"/>
              <w:jc w:val="start"/>
              <w:rPr/>
            </w:pPr>
            <w:r>
              <w:rPr>
                <w:sz w:val="18"/>
              </w:rPr>
              <w:t>Stored route or action receipt</w:t>
            </w:r>
          </w:p>
        </w:tc>
        <w:tc>
          <w:tcPr>
            <w:tcW w:w="3120" w:type="dxa"/>
            <w:tcBorders/>
            <w:vAlign w:val="top"/>
            <w:shd w:fill="F7F9FB"/>
          </w:tcPr>
          <w:p>
            <w:pPr>
              <w:pStyle w:val="Normal"/>
              <w:widowControl/>
              <w:bidi w:val="0"/>
              <w:spacing w:lineRule="auto" w:line="240" w:before="0" w:after="40"/>
              <w:jc w:val="start"/>
              <w:rPr/>
            </w:pPr>
            <w:r>
              <w:rPr>
                <w:sz w:val="18"/>
              </w:rPr>
              <w:t>A2</w:t>
            </w:r>
          </w:p>
        </w:tc>
        <w:tc>
          <w:tcPr>
            <w:tcW w:w="3120" w:type="dxa"/>
            <w:tcBorders/>
            <w:vAlign w:val="top"/>
            <w:shd w:fill="F7F9FB"/>
          </w:tcPr>
          <w:p>
            <w:pPr>
              <w:pStyle w:val="Normal"/>
              <w:widowControl/>
              <w:bidi w:val="0"/>
              <w:spacing w:lineRule="auto" w:line="240" w:before="0" w:after="40"/>
              <w:jc w:val="start"/>
              <w:rPr/>
            </w:pPr>
            <w:r>
              <w:rPr>
                <w:sz w:val="18"/>
              </w:rPr>
              <w:t>Requires actual binding, retention, addressability, and recovery; endpoint equality is not route identity.</w:t>
            </w:r>
          </w:p>
        </w:tc>
      </w:tr>
    </w:tbl>
    <w:p>
      <w:pPr>
        <w:pStyle w:val="Normal"/>
        <w:rPr/>
      </w:pPr>
      <w:r>
        <w:rPr/>
        <w:t>Required countermodel: an inhabited A0/Ω*/θ realization with no A1 readout. Delete and swap tests must recover the same PAL predecessor authority. No lens, lattice, graph, coordinate, q-split, comparator, or golden angle defines Ω, A0, Ω*, θ, or A1.</w:t>
      </w:r>
    </w:p>
    <w:p>
      <w:pPr>
        <w:pStyle w:val="Heading2"/>
        <w:keepNext/>
        <w:keepLines/>
        <w:rPr/>
      </w:pPr>
      <w:bookmarkStart w:id="60" w:name="v2.3-bounded-fixture-suite"/>
      <w:r>
        <w:rPr/>
        <w:t>v2.3 bounded fixture suite</w:t>
      </w:r>
      <w:bookmarkEnd w:id="6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4680"/>
        <w:gridCol w:w="4680"/>
      </w:tblGrid>
      <w:tr>
        <w:trPr>
          <w:tblHeader w:val="true"/>
        </w:trPr>
        <w:tc>
          <w:tcPr>
            <w:tcW w:w="4680" w:type="dxa"/>
            <w:tcBorders/>
            <w:vAlign w:val="top"/>
            <w:shd w:fill="DCE6F1"/>
          </w:tcPr>
          <w:p>
            <w:pPr>
              <w:pStyle w:val="Normal"/>
              <w:spacing w:before="0" w:after="40" w:line="240" w:lineRule="auto"/>
              <w:rPr>
                <w:b/>
                <w:bCs/>
              </w:rPr>
            </w:pPr>
            <w:r>
              <w:rPr>
                <w:b/>
                <w:bCs/>
                <w:color w:val="1F4D78"/>
                <w:sz w:val="19"/>
              </w:rPr>
              <w:t>Fixture ID</w:t>
            </w:r>
          </w:p>
        </w:tc>
        <w:tc>
          <w:tcPr>
            <w:tcW w:w="4680" w:type="dxa"/>
            <w:tcBorders/>
            <w:vAlign w:val="top"/>
            <w:shd w:fill="DCE6F1"/>
          </w:tcPr>
          <w:p>
            <w:pPr>
              <w:pStyle w:val="Normal"/>
              <w:spacing w:before="0" w:after="40" w:line="240" w:lineRule="auto"/>
              <w:rPr>
                <w:b/>
                <w:bCs/>
              </w:rPr>
            </w:pPr>
            <w:r>
              <w:rPr>
                <w:b/>
                <w:bCs/>
                <w:color w:val="1F4D78"/>
                <w:sz w:val="19"/>
              </w:rPr>
              <w:t>Bounded use and exact ceiling</w:t>
            </w:r>
          </w:p>
        </w:tc>
      </w:tr>
      <w:tr>
        <w:trPr/>
        <w:tc>
          <w:tcPr>
            <w:tcW w:w="4680" w:type="dxa"/>
            <w:tcBorders/>
            <w:vAlign w:val="top"/>
          </w:tcPr>
          <w:p>
            <w:pPr>
              <w:pStyle w:val="Normal"/>
              <w:spacing w:before="0" w:after="40" w:line="240" w:lineRule="auto"/>
              <w:rPr>
                <w:b/>
                <w:bCs/>
              </w:rPr>
            </w:pPr>
            <w:r>
              <w:rPr>
                <w:b/>
                <w:bCs/>
                <w:sz w:val="19"/>
              </w:rPr>
              <w:t>F-SCT-PAIRWISE</w:t>
            </w:r>
          </w:p>
        </w:tc>
        <w:tc>
          <w:tcPr>
            <w:tcW w:w="4680" w:type="dxa"/>
            <w:tcBorders/>
            <w:vAlign w:val="top"/>
          </w:tcPr>
          <w:p>
            <w:pPr>
              <w:pStyle w:val="Normal"/>
              <w:widowControl/>
              <w:bidi w:val="0"/>
              <w:spacing w:lineRule="auto" w:line="240" w:before="0" w:after="40"/>
              <w:jc w:val="start"/>
              <w:rPr/>
            </w:pPr>
            <w:r>
              <w:rPr>
                <w:sz w:val="19"/>
              </w:rPr>
              <w:t>Fixed finite V, roster-relative K_n, V², oriented edge boundary, and Boolean comparator. Maximality is roster-relative; minimality is observation-relative.</w:t>
            </w:r>
          </w:p>
        </w:tc>
      </w:tr>
      <w:tr>
        <w:trPr/>
        <w:tc>
          <w:tcPr>
            <w:tcW w:w="4680" w:type="dxa"/>
            <w:tcBorders/>
            <w:vAlign w:val="top"/>
            <w:shd w:fill="F7F9FB"/>
          </w:tcPr>
          <w:p>
            <w:pPr>
              <w:pStyle w:val="Normal"/>
              <w:spacing w:before="0" w:after="40" w:line="240" w:lineRule="auto"/>
              <w:rPr>
                <w:b/>
                <w:bCs/>
              </w:rPr>
            </w:pPr>
            <w:r>
              <w:rPr>
                <w:b/>
                <w:bCs/>
                <w:sz w:val="19"/>
              </w:rPr>
              <w:t>F-FUNG-SWEEP</w:t>
            </w:r>
          </w:p>
        </w:tc>
        <w:tc>
          <w:tcPr>
            <w:tcW w:w="4680" w:type="dxa"/>
            <w:tcBorders/>
            <w:vAlign w:val="top"/>
            <w:shd w:fill="F7F9FB"/>
          </w:tcPr>
          <w:p>
            <w:pPr>
              <w:pStyle w:val="Normal"/>
              <w:widowControl/>
              <w:bidi w:val="0"/>
              <w:spacing w:lineRule="auto" w:line="240" w:before="0" w:after="40"/>
              <w:jc w:val="start"/>
              <w:rPr/>
            </w:pPr>
            <w:r>
              <w:rPr>
                <w:sz w:val="19"/>
              </w:rPr>
              <w:t>n² ordered comparisons with growing sorted-prefix/global-maximum invariant, credited to Stanley P. Y. Fung. No practical optimality or no-swap terminal rule.</w:t>
            </w:r>
          </w:p>
        </w:tc>
      </w:tr>
      <w:tr>
        <w:trPr/>
        <w:tc>
          <w:tcPr>
            <w:tcW w:w="4680" w:type="dxa"/>
            <w:tcBorders/>
            <w:vAlign w:val="top"/>
          </w:tcPr>
          <w:p>
            <w:pPr>
              <w:pStyle w:val="Normal"/>
              <w:spacing w:before="0" w:after="40" w:line="240" w:lineRule="auto"/>
              <w:rPr>
                <w:b/>
                <w:bCs/>
              </w:rPr>
            </w:pPr>
            <w:r>
              <w:rPr>
                <w:b/>
                <w:bCs/>
                <w:sz w:val="19"/>
              </w:rPr>
              <w:t>F-GOLD-LENS</w:t>
            </w:r>
          </w:p>
        </w:tc>
        <w:tc>
          <w:tcPr>
            <w:tcW w:w="4680" w:type="dxa"/>
            <w:tcBorders/>
            <w:vAlign w:val="top"/>
          </w:tcPr>
          <w:p>
            <w:pPr>
              <w:pStyle w:val="Normal"/>
              <w:widowControl/>
              <w:bidi w:val="0"/>
              <w:spacing w:lineRule="auto" w:line="240" w:before="0" w:after="40"/>
              <w:jc w:val="start"/>
              <w:rPr/>
            </w:pPr>
            <w:r>
              <w:rPr>
                <w:sz w:val="19"/>
              </w:rPr>
              <w:t>Exact lens formulas; “nothing between” means no intermediate lattice vertex at the declared scale, not empty continuum or physical void.</w:t>
            </w:r>
          </w:p>
        </w:tc>
      </w:tr>
      <w:tr>
        <w:trPr/>
        <w:tc>
          <w:tcPr>
            <w:tcW w:w="4680" w:type="dxa"/>
            <w:tcBorders/>
            <w:vAlign w:val="top"/>
            <w:shd w:fill="F7F9FB"/>
          </w:tcPr>
          <w:p>
            <w:pPr>
              <w:pStyle w:val="Normal"/>
              <w:spacing w:before="0" w:after="40" w:line="240" w:lineRule="auto"/>
              <w:rPr>
                <w:b/>
                <w:bCs/>
              </w:rPr>
            </w:pPr>
            <w:r>
              <w:rPr>
                <w:b/>
                <w:bCs/>
                <w:sz w:val="19"/>
              </w:rPr>
              <w:t>F-GOLD-BIGON</w:t>
            </w:r>
          </w:p>
        </w:tc>
        <w:tc>
          <w:tcPr>
            <w:tcW w:w="4680" w:type="dxa"/>
            <w:tcBorders/>
            <w:vAlign w:val="top"/>
            <w:shd w:fill="F7F9FB"/>
          </w:tcPr>
          <w:p>
            <w:pPr>
              <w:pStyle w:val="Normal"/>
              <w:widowControl/>
              <w:bidi w:val="0"/>
              <w:spacing w:lineRule="auto" w:line="240" w:before="0" w:after="40"/>
              <w:jc w:val="start"/>
              <w:rPr/>
            </w:pPr>
            <w:r>
              <w:rPr>
                <w:sz w:val="19"/>
              </w:rPr>
              <w:t>Same endpoints/displacement; signed second-level area separates supplied labeled routes. Filling removes the hollow bigon homology class but does not identify boundary paths or erase retained history.</w:t>
            </w:r>
          </w:p>
        </w:tc>
      </w:tr>
      <w:tr>
        <w:trPr/>
        <w:tc>
          <w:tcPr>
            <w:tcW w:w="4680" w:type="dxa"/>
            <w:tcBorders/>
            <w:vAlign w:val="top"/>
          </w:tcPr>
          <w:p>
            <w:pPr>
              <w:pStyle w:val="Normal"/>
              <w:spacing w:before="0" w:after="40" w:line="240" w:lineRule="auto"/>
              <w:rPr>
                <w:b/>
                <w:bCs/>
              </w:rPr>
            </w:pPr>
            <w:r>
              <w:rPr>
                <w:b/>
                <w:bCs/>
                <w:sz w:val="19"/>
              </w:rPr>
              <w:t>F-GOLD-COMMON</w:t>
            </w:r>
          </w:p>
        </w:tc>
        <w:tc>
          <w:tcPr>
            <w:tcW w:w="4680" w:type="dxa"/>
            <w:tcBorders/>
            <w:vAlign w:val="top"/>
          </w:tcPr>
          <w:p>
            <w:pPr>
              <w:pStyle w:val="Normal"/>
              <w:widowControl/>
              <w:bidi w:val="0"/>
              <w:spacing w:lineRule="auto" w:line="240" w:before="0" w:after="40"/>
              <w:jc w:val="start"/>
              <w:rPr/>
            </w:pPr>
            <w:r>
              <w:rPr>
                <w:sz w:val="19"/>
              </w:rPr>
              <w:t>ℝ⁶</w:t>
            </w:r>
            <w:r>
              <w:rPr>
                <w:sz w:val="19"/>
              </w:rPr>
              <w:t>=span{1}⊕1⊥ with 1+5 dimensions and 2+2+1 comparison modes; “persistence” remains interpretation.</w:t>
            </w:r>
          </w:p>
        </w:tc>
      </w:tr>
      <w:tr>
        <w:trPr/>
        <w:tc>
          <w:tcPr>
            <w:tcW w:w="4680" w:type="dxa"/>
            <w:tcBorders/>
            <w:vAlign w:val="top"/>
            <w:shd w:fill="F7F9FB"/>
          </w:tcPr>
          <w:p>
            <w:pPr>
              <w:pStyle w:val="Normal"/>
              <w:spacing w:before="0" w:after="40" w:line="240" w:lineRule="auto"/>
              <w:rPr>
                <w:b/>
                <w:bCs/>
              </w:rPr>
            </w:pPr>
            <w:r>
              <w:rPr>
                <w:b/>
                <w:bCs/>
                <w:sz w:val="19"/>
              </w:rPr>
              <w:t>F-GOLD-SECTOR</w:t>
            </w:r>
          </w:p>
        </w:tc>
        <w:tc>
          <w:tcPr>
            <w:tcW w:w="4680" w:type="dxa"/>
            <w:tcBorders/>
            <w:vAlign w:val="top"/>
            <w:shd w:fill="F7F9FB"/>
          </w:tcPr>
          <w:p>
            <w:pPr>
              <w:pStyle w:val="Normal"/>
              <w:widowControl/>
              <w:bidi w:val="0"/>
              <w:spacing w:lineRule="auto" w:line="240" w:before="0" w:after="40"/>
              <w:jc w:val="start"/>
              <w:rPr/>
            </w:pPr>
            <w:r>
              <w:rPr>
                <w:sz w:val="19"/>
              </w:rPr>
              <w:t>Sector plus bounded residual reconstructs phase mod 2π. Sector alone is lossy; tie policy explicit; no θ identity or universal optimum.</w:t>
            </w:r>
          </w:p>
        </w:tc>
      </w:tr>
      <w:tr>
        <w:trPr/>
        <w:tc>
          <w:tcPr>
            <w:tcW w:w="4680" w:type="dxa"/>
            <w:tcBorders/>
            <w:vAlign w:val="top"/>
          </w:tcPr>
          <w:p>
            <w:pPr>
              <w:pStyle w:val="Normal"/>
              <w:spacing w:before="0" w:after="40" w:line="240" w:lineRule="auto"/>
              <w:rPr>
                <w:b/>
                <w:bCs/>
              </w:rPr>
            </w:pPr>
            <w:r>
              <w:rPr>
                <w:b/>
                <w:bCs/>
                <w:sz w:val="19"/>
              </w:rPr>
              <w:t>F-GOLD-CUBE</w:t>
            </w:r>
          </w:p>
        </w:tc>
        <w:tc>
          <w:tcPr>
            <w:tcW w:w="4680" w:type="dxa"/>
            <w:tcBorders/>
            <w:vAlign w:val="top"/>
          </w:tcPr>
          <w:p>
            <w:pPr>
              <w:pStyle w:val="Normal"/>
              <w:widowControl/>
              <w:bidi w:val="0"/>
              <w:spacing w:lineRule="auto" w:line="240" w:before="0" w:after="40"/>
              <w:jc w:val="start"/>
              <w:rPr/>
            </w:pPr>
            <w:r>
              <w:rPr>
                <w:sz w:val="19"/>
              </w:rPr>
              <w:t>Preserve all twelve graph edges while 000 and 111 share the hub. One bit applies only to the discrete two-point fiber, not the solid cube.</w:t>
            </w:r>
          </w:p>
        </w:tc>
      </w:tr>
      <w:tr>
        <w:trPr/>
        <w:tc>
          <w:tcPr>
            <w:tcW w:w="4680" w:type="dxa"/>
            <w:tcBorders/>
            <w:vAlign w:val="top"/>
            <w:shd w:fill="F7F9FB"/>
          </w:tcPr>
          <w:p>
            <w:pPr>
              <w:pStyle w:val="Normal"/>
              <w:spacing w:before="0" w:after="40" w:line="240" w:lineRule="auto"/>
              <w:rPr>
                <w:b/>
                <w:bCs/>
              </w:rPr>
            </w:pPr>
            <w:r>
              <w:rPr>
                <w:b/>
                <w:bCs/>
                <w:sz w:val="19"/>
              </w:rPr>
              <w:t>F-GOLD-EULER</w:t>
            </w:r>
          </w:p>
        </w:tc>
        <w:tc>
          <w:tcPr>
            <w:tcW w:w="4680" w:type="dxa"/>
            <w:tcBorders/>
            <w:vAlign w:val="top"/>
            <w:shd w:fill="F7F9FB"/>
          </w:tcPr>
          <w:p>
            <w:pPr>
              <w:pStyle w:val="Normal"/>
              <w:widowControl/>
              <w:bidi w:val="0"/>
              <w:spacing w:lineRule="auto" w:line="240" w:before="0" w:after="40"/>
              <w:jc w:val="start"/>
              <w:rPr/>
            </w:pPr>
            <w:r>
              <w:rPr>
                <w:sz w:val="19"/>
              </w:rPr>
              <w:t>Closed and boundary-corrected defect ledgers. Contribution is not a fiber theorem; zero total defect does not mean no local defects.</w:t>
            </w:r>
          </w:p>
        </w:tc>
      </w:tr>
      <w:tr>
        <w:trPr/>
        <w:tc>
          <w:tcPr>
            <w:tcW w:w="4680" w:type="dxa"/>
            <w:tcBorders/>
            <w:vAlign w:val="top"/>
          </w:tcPr>
          <w:p>
            <w:pPr>
              <w:pStyle w:val="Normal"/>
              <w:spacing w:before="0" w:after="40" w:line="240" w:lineRule="auto"/>
              <w:rPr>
                <w:b/>
                <w:bCs/>
              </w:rPr>
            </w:pPr>
            <w:r>
              <w:rPr>
                <w:b/>
                <w:bCs/>
                <w:sz w:val="19"/>
              </w:rPr>
              <w:t>F-ABSTRACT-JOINT</w:t>
            </w:r>
          </w:p>
        </w:tc>
        <w:tc>
          <w:tcPr>
            <w:tcW w:w="4680" w:type="dxa"/>
            <w:tcBorders/>
            <w:vAlign w:val="top"/>
          </w:tcPr>
          <w:p>
            <w:pPr>
              <w:pStyle w:val="Normal"/>
              <w:widowControl/>
              <w:bidi w:val="0"/>
              <w:spacing w:lineRule="auto" w:line="240" w:before="0" w:after="40"/>
              <w:jc w:val="start"/>
              <w:rPr/>
            </w:pPr>
            <w:r>
              <w:rPr>
                <w:sz w:val="19"/>
              </w:rPr>
              <w:t>Kernel intersection and XOR strict joint sufficiency; certification proves no causal interaction or generation.</w:t>
            </w:r>
          </w:p>
        </w:tc>
      </w:tr>
      <w:tr>
        <w:trPr/>
        <w:tc>
          <w:tcPr>
            <w:tcW w:w="4680" w:type="dxa"/>
            <w:tcBorders/>
            <w:vAlign w:val="top"/>
            <w:shd w:fill="F7F9FB"/>
          </w:tcPr>
          <w:p>
            <w:pPr>
              <w:pStyle w:val="Normal"/>
              <w:spacing w:before="0" w:after="40" w:line="240" w:lineRule="auto"/>
              <w:rPr>
                <w:b/>
                <w:bCs/>
              </w:rPr>
            </w:pPr>
            <w:r>
              <w:rPr>
                <w:b/>
                <w:bCs/>
                <w:sz w:val="19"/>
              </w:rPr>
              <w:t>F-CC-PROFILE</w:t>
            </w:r>
          </w:p>
        </w:tc>
        <w:tc>
          <w:tcPr>
            <w:tcW w:w="4680" w:type="dxa"/>
            <w:tcBorders/>
            <w:vAlign w:val="top"/>
            <w:shd w:fill="F7F9FB"/>
          </w:tcPr>
          <w:p>
            <w:pPr>
              <w:pStyle w:val="Normal"/>
              <w:widowControl/>
              <w:bidi w:val="0"/>
              <w:spacing w:lineRule="auto" w:line="240" w:before="0" w:after="40"/>
              <w:jc w:val="start"/>
              <w:rPr/>
            </w:pPr>
            <w:r>
              <w:rPr>
                <w:sz w:val="19"/>
              </w:rPr>
              <w:t>Obstruction, contribution, target-relative loss, structural ambiguity, and visible ambiguity remain distinct; no free scalarization or A15 equation.</w:t>
            </w:r>
          </w:p>
        </w:tc>
      </w:tr>
      <w:tr>
        <w:trPr/>
        <w:tc>
          <w:tcPr>
            <w:tcW w:w="4680" w:type="dxa"/>
            <w:tcBorders/>
            <w:vAlign w:val="top"/>
          </w:tcPr>
          <w:p>
            <w:pPr>
              <w:pStyle w:val="Normal"/>
              <w:spacing w:before="0" w:after="40" w:line="240" w:lineRule="auto"/>
              <w:rPr>
                <w:b/>
                <w:bCs/>
              </w:rPr>
            </w:pPr>
            <w:r>
              <w:rPr>
                <w:b/>
                <w:bCs/>
                <w:sz w:val="19"/>
              </w:rPr>
              <w:t>F-GPPR</w:t>
            </w:r>
          </w:p>
        </w:tc>
        <w:tc>
          <w:tcPr>
            <w:tcW w:w="4680" w:type="dxa"/>
            <w:tcBorders/>
            <w:vAlign w:val="top"/>
          </w:tcPr>
          <w:p>
            <w:pPr>
              <w:pStyle w:val="Normal"/>
              <w:widowControl/>
              <w:bidi w:val="0"/>
              <w:spacing w:lineRule="auto" w:line="240" w:before="0" w:after="40"/>
              <w:jc w:val="start"/>
              <w:rPr/>
            </w:pPr>
            <w:r>
              <w:rPr>
                <w:sz w:val="19"/>
              </w:rPr>
              <w:t>Exact prime-valuation injectivity and endpoint/history separation under O22; no finite-bit, efficient-inverse, factoring, secrecy, total-order, or measured-advantage claim.</w:t>
            </w:r>
          </w:p>
        </w:tc>
      </w:tr>
      <w:tr>
        <w:trPr/>
        <w:tc>
          <w:tcPr>
            <w:tcW w:w="4680" w:type="dxa"/>
            <w:tcBorders/>
            <w:vAlign w:val="top"/>
            <w:shd w:fill="F7F9FB"/>
          </w:tcPr>
          <w:p>
            <w:pPr>
              <w:pStyle w:val="Normal"/>
              <w:spacing w:before="0" w:after="40" w:line="240" w:lineRule="auto"/>
              <w:rPr>
                <w:b/>
                <w:bCs/>
              </w:rPr>
            </w:pPr>
            <w:r>
              <w:rPr>
                <w:b/>
                <w:bCs/>
                <w:sz w:val="19"/>
              </w:rPr>
              <w:t>F-RHYTHM</w:t>
            </w:r>
          </w:p>
        </w:tc>
        <w:tc>
          <w:tcPr>
            <w:tcW w:w="4680" w:type="dxa"/>
            <w:tcBorders/>
            <w:vAlign w:val="top"/>
            <w:shd w:fill="F7F9FB"/>
          </w:tcPr>
          <w:p>
            <w:pPr>
              <w:pStyle w:val="Normal"/>
              <w:widowControl/>
              <w:bidi w:val="0"/>
              <w:spacing w:lineRule="auto" w:line="240" w:before="0" w:after="40"/>
              <w:jc w:val="start"/>
              <w:rPr/>
            </w:pPr>
            <w:r>
              <w:rPr>
                <w:sz w:val="19"/>
              </w:rPr>
              <w:t>Source-declared exogenous pulse-indexed alignment, namespaced from suspension heartbeat. Descriptive source-map row unless the primary manuscript is retrieved and independently audited for theorem/executable use.</w:t>
            </w:r>
          </w:p>
        </w:tc>
      </w:tr>
    </w:tbl>
    <w:p>
      <w:pPr>
        <w:pStyle w:val="Heading1"/>
        <w:keepNext/>
        <w:keepLines/>
        <w:rPr/>
      </w:pPr>
      <w:bookmarkStart w:id="61" w:name="rainbow-ribbon-amplitude-interference-no"/>
      <w:r>
        <w:rPr/>
        <w:t>10. RAINBOW — Ribbon-Amplitude Interference Norms: Boundary-Orbit Weaves</w:t>
      </w:r>
      <w:bookmarkEnd w:id="61"/>
    </w:p>
    <w:p>
      <w:pPr>
        <w:pStyle w:val="Normal"/>
        <w:keepNext/>
        <w:keepLines/>
        <w:rPr/>
      </w:pPr>
      <w:r>
        <w:rPr/>
        <w:t>RAINBOW is a decorated, removable Mathematical Atlas section. It joins established Eisenstein arithmetic to declared PAL realization adapters; it neither replaces nor contains the spine. Color, curvature, width, normalization, and ornament are permitted here because each logical distinction is also carried by labels, position, line style, marker shape, or size.</w:t>
      </w:r>
    </w:p>
    <w:p>
      <w:pPr>
        <w:pStyle w:val="BodyText"/>
        <w:rPr/>
      </w:pPr>
      <w:r>
        <w:rPr/>
        <w:t>Four claim layers remain visibly separate throughout:</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3120"/>
        <w:gridCol w:w="3120"/>
        <w:gridCol w:w="3120"/>
      </w:tblGrid>
      <w:tr>
        <w:trPr>
          <w:tblHeader w:val="true"/>
        </w:trPr>
        <w:tc>
          <w:tcPr>
            <w:tcW w:w="3120" w:type="dxa"/>
            <w:tcBorders/>
            <w:vAlign w:val="top"/>
            <w:shd w:fill="DCE6F1"/>
          </w:tcPr>
          <w:p>
            <w:pPr>
              <w:pStyle w:val="Normal"/>
              <w:spacing w:before="0" w:after="40" w:line="240" w:lineRule="auto"/>
              <w:rPr>
                <w:b/>
                <w:bCs/>
              </w:rPr>
            </w:pPr>
            <w:r>
              <w:rPr>
                <w:b/>
                <w:bCs/>
                <w:color w:val="1F4D78"/>
                <w:sz w:val="18"/>
              </w:rPr>
              <w:t>Layer</w:t>
            </w:r>
          </w:p>
        </w:tc>
        <w:tc>
          <w:tcPr>
            <w:tcW w:w="3120" w:type="dxa"/>
            <w:tcBorders/>
            <w:vAlign w:val="top"/>
            <w:shd w:fill="DCE6F1"/>
          </w:tcPr>
          <w:p>
            <w:pPr>
              <w:pStyle w:val="Normal"/>
              <w:spacing w:before="0" w:after="40" w:line="240" w:lineRule="auto"/>
              <w:rPr>
                <w:b/>
                <w:bCs/>
              </w:rPr>
            </w:pPr>
            <w:r>
              <w:rPr>
                <w:b/>
                <w:bCs/>
                <w:color w:val="1F4D78"/>
                <w:sz w:val="18"/>
              </w:rPr>
              <w:t>What is claimed</w:t>
            </w:r>
          </w:p>
        </w:tc>
        <w:tc>
          <w:tcPr>
            <w:tcW w:w="3120" w:type="dxa"/>
            <w:tcBorders/>
            <w:vAlign w:val="top"/>
            <w:shd w:fill="DCE6F1"/>
          </w:tcPr>
          <w:p>
            <w:pPr>
              <w:pStyle w:val="Normal"/>
              <w:spacing w:before="0" w:after="40" w:line="240" w:lineRule="auto"/>
              <w:rPr>
                <w:b/>
                <w:bCs/>
              </w:rPr>
            </w:pPr>
            <w:r>
              <w:rPr>
                <w:b/>
                <w:bCs/>
                <w:color w:val="1F4D78"/>
                <w:sz w:val="18"/>
              </w:rPr>
              <w:t>What is not inherited</w:t>
            </w:r>
          </w:p>
        </w:tc>
      </w:tr>
      <w:tr>
        <w:trPr/>
        <w:tc>
          <w:tcPr>
            <w:tcW w:w="3120" w:type="dxa"/>
            <w:tcBorders/>
            <w:vAlign w:val="top"/>
          </w:tcPr>
          <w:p>
            <w:pPr>
              <w:pStyle w:val="Normal"/>
              <w:spacing w:before="0" w:after="40" w:line="240" w:lineRule="auto"/>
              <w:rPr>
                <w:b/>
                <w:bCs/>
              </w:rPr>
            </w:pPr>
            <w:r>
              <w:rPr>
                <w:b/>
                <w:bCs/>
                <w:sz w:val="18"/>
              </w:rPr>
              <w:t>Established arithmetic</w:t>
            </w:r>
          </w:p>
        </w:tc>
        <w:tc>
          <w:tcPr>
            <w:tcW w:w="3120" w:type="dxa"/>
            <w:tcBorders/>
            <w:vAlign w:val="top"/>
          </w:tcPr>
          <w:p>
            <w:pPr>
              <w:pStyle w:val="Normal"/>
              <w:widowControl/>
              <w:bidi w:val="0"/>
              <w:spacing w:lineRule="auto" w:line="240" w:before="0" w:after="40"/>
              <w:jc w:val="start"/>
              <w:rPr/>
            </w:pPr>
            <w:r>
              <w:rPr>
                <w:sz w:val="18"/>
              </w:rPr>
              <w:t>Eisenstein norm representability, representation counts, unit orbits, factorization angles, and associated Dirichlet-series identity.</w:t>
            </w:r>
          </w:p>
        </w:tc>
        <w:tc>
          <w:tcPr>
            <w:tcW w:w="3120" w:type="dxa"/>
            <w:tcBorders/>
            <w:vAlign w:val="top"/>
          </w:tcPr>
          <w:p>
            <w:pPr>
              <w:pStyle w:val="Normal"/>
              <w:widowControl/>
              <w:bidi w:val="0"/>
              <w:spacing w:lineRule="auto" w:line="240" w:before="0" w:after="40"/>
              <w:jc w:val="start"/>
              <w:rPr/>
            </w:pPr>
            <w:r>
              <w:rPr>
                <w:sz w:val="18"/>
              </w:rPr>
              <w:t>No PAL primitive, physical law, or new prime theorem.</w:t>
            </w:r>
          </w:p>
        </w:tc>
      </w:tr>
      <w:tr>
        <w:trPr/>
        <w:tc>
          <w:tcPr>
            <w:tcW w:w="3120" w:type="dxa"/>
            <w:tcBorders/>
            <w:vAlign w:val="top"/>
            <w:shd w:fill="F7F9FB"/>
          </w:tcPr>
          <w:p>
            <w:pPr>
              <w:pStyle w:val="Normal"/>
              <w:spacing w:before="0" w:after="40" w:line="240" w:lineRule="auto"/>
              <w:rPr>
                <w:b/>
                <w:bCs/>
              </w:rPr>
            </w:pPr>
            <w:r>
              <w:rPr>
                <w:b/>
                <w:bCs/>
                <w:sz w:val="18"/>
              </w:rPr>
              <w:t>Constructed PAL realization</w:t>
            </w:r>
          </w:p>
        </w:tc>
        <w:tc>
          <w:tcPr>
            <w:tcW w:w="3120" w:type="dxa"/>
            <w:tcBorders/>
            <w:vAlign w:val="top"/>
            <w:shd w:fill="F7F9FB"/>
          </w:tcPr>
          <w:p>
            <w:pPr>
              <w:pStyle w:val="Normal"/>
              <w:widowControl/>
              <w:bidi w:val="0"/>
              <w:spacing w:lineRule="auto" w:line="240" w:before="0" w:after="40"/>
              <w:jc w:val="start"/>
              <w:rPr/>
            </w:pPr>
            <w:r>
              <w:rPr>
                <w:sz w:val="18"/>
              </w:rPr>
              <w:t>Supplied local frame, log-phase lift, transport-history fiber, and typed boundary/interface adapters.</w:t>
            </w:r>
          </w:p>
        </w:tc>
        <w:tc>
          <w:tcPr>
            <w:tcW w:w="3120" w:type="dxa"/>
            <w:tcBorders/>
            <w:vAlign w:val="top"/>
            <w:shd w:fill="F7F9FB"/>
          </w:tcPr>
          <w:p>
            <w:pPr>
              <w:pStyle w:val="Normal"/>
              <w:widowControl/>
              <w:bidi w:val="0"/>
              <w:spacing w:lineRule="auto" w:line="240" w:before="0" w:after="40"/>
              <w:jc w:val="start"/>
              <w:rPr/>
            </w:pPr>
            <w:r>
              <w:rPr>
                <w:sz w:val="18"/>
              </w:rPr>
              <w:t>No claim that the construction is canonical, universal, ambient, or contained in Ω.</w:t>
            </w:r>
          </w:p>
        </w:tc>
      </w:tr>
      <w:tr>
        <w:trPr/>
        <w:tc>
          <w:tcPr>
            <w:tcW w:w="3120" w:type="dxa"/>
            <w:tcBorders/>
            <w:vAlign w:val="top"/>
          </w:tcPr>
          <w:p>
            <w:pPr>
              <w:pStyle w:val="Normal"/>
              <w:spacing w:before="0" w:after="40" w:line="240" w:lineRule="auto"/>
              <w:rPr>
                <w:b/>
                <w:bCs/>
              </w:rPr>
            </w:pPr>
            <w:r>
              <w:rPr>
                <w:b/>
                <w:bCs/>
                <w:sz w:val="18"/>
              </w:rPr>
              <w:t>Visualization encoding</w:t>
            </w:r>
          </w:p>
        </w:tc>
        <w:tc>
          <w:tcPr>
            <w:tcW w:w="3120" w:type="dxa"/>
            <w:tcBorders/>
            <w:vAlign w:val="top"/>
          </w:tcPr>
          <w:p>
            <w:pPr>
              <w:pStyle w:val="Normal"/>
              <w:widowControl/>
              <w:bidi w:val="0"/>
              <w:spacing w:lineRule="auto" w:line="240" w:before="0" w:after="40"/>
              <w:jc w:val="start"/>
              <w:rPr/>
            </w:pPr>
            <w:r>
              <w:rPr>
                <w:sz w:val="18"/>
              </w:rPr>
              <w:t>Normalized shell radii, colored orbit packets, curved ribbons, drawn width, translucency, and page composition.</w:t>
            </w:r>
          </w:p>
        </w:tc>
        <w:tc>
          <w:tcPr>
            <w:tcW w:w="3120" w:type="dxa"/>
            <w:tcBorders/>
            <w:vAlign w:val="top"/>
          </w:tcPr>
          <w:p>
            <w:pPr>
              <w:pStyle w:val="Normal"/>
              <w:widowControl/>
              <w:bidi w:val="0"/>
              <w:spacing w:lineRule="auto" w:line="240" w:before="0" w:after="40"/>
              <w:jc w:val="start"/>
              <w:rPr/>
            </w:pPr>
            <w:r>
              <w:rPr>
                <w:sz w:val="18"/>
              </w:rPr>
              <w:t>No theorem, intrinsic thickness, probability, or dynamics from appearance alone.</w:t>
            </w:r>
          </w:p>
        </w:tc>
      </w:tr>
      <w:tr>
        <w:trPr/>
        <w:tc>
          <w:tcPr>
            <w:tcW w:w="3120" w:type="dxa"/>
            <w:tcBorders/>
            <w:vAlign w:val="top"/>
            <w:shd w:fill="F7F9FB"/>
          </w:tcPr>
          <w:p>
            <w:pPr>
              <w:pStyle w:val="Normal"/>
              <w:spacing w:before="0" w:after="40" w:line="240" w:lineRule="auto"/>
              <w:rPr>
                <w:b/>
                <w:bCs/>
              </w:rPr>
            </w:pPr>
            <w:r>
              <w:rPr>
                <w:b/>
                <w:bCs/>
                <w:sz w:val="18"/>
              </w:rPr>
              <w:t>Open interpretive bridge</w:t>
            </w:r>
          </w:p>
        </w:tc>
        <w:tc>
          <w:tcPr>
            <w:tcW w:w="3120" w:type="dxa"/>
            <w:tcBorders/>
            <w:vAlign w:val="top"/>
            <w:shd w:fill="F7F9FB"/>
          </w:tcPr>
          <w:p>
            <w:pPr>
              <w:pStyle w:val="Normal"/>
              <w:widowControl/>
              <w:bidi w:val="0"/>
              <w:spacing w:lineRule="auto" w:line="240" w:before="0" w:after="40"/>
              <w:jc w:val="start"/>
              <w:rPr/>
            </w:pPr>
            <w:r>
              <w:rPr>
                <w:sz w:val="18"/>
              </w:rPr>
              <w:t>Possible future comparison with wavefunction collapse or Lagrange-point dynamics.</w:t>
            </w:r>
          </w:p>
        </w:tc>
        <w:tc>
          <w:tcPr>
            <w:tcW w:w="3120" w:type="dxa"/>
            <w:tcBorders/>
            <w:vAlign w:val="top"/>
            <w:shd w:fill="F7F9FB"/>
          </w:tcPr>
          <w:p>
            <w:pPr>
              <w:pStyle w:val="Normal"/>
              <w:widowControl/>
              <w:bidi w:val="0"/>
              <w:spacing w:lineRule="auto" w:line="240" w:before="0" w:after="40"/>
              <w:jc w:val="start"/>
              <w:rPr/>
            </w:pPr>
            <w:r>
              <w:rPr>
                <w:sz w:val="18"/>
              </w:rPr>
              <w:t>No wavefunction collapse, Born rule, Lagrange-point dynamics, cosmology, ontology, or empirical correspondence in PAL v2.3.</w:t>
            </w:r>
          </w:p>
        </w:tc>
      </w:tr>
    </w:tbl>
    <w:p>
      <w:pPr>
        <w:pStyle w:val="Normal"/>
        <w:rPr/>
      </w:pPr>
      <w:r>
        <w:rPr/>
        <w:t>Five meanings that can look like “thickness” are noncoercive: drawn ribbon width; arithmetic lattice degeneracy r_Q(n); unit-orbit count r_Q(n)/6; retained-history multiplicity; and amplitude intensity. An adapter must be named before moving between them.</w:t>
      </w:r>
    </w:p>
    <w:p>
      <w:pPr>
        <w:pStyle w:val="Normal"/>
        <w:keepNext/>
        <w:keepLines/>
        <w:rPr/>
      </w:pPr>
      <w:r>
        <w:rPr/>
        <w:drawing>
          <wp:inline distT="0" distB="0" distL="0" distR="0">
            <wp:extent cx="5715000" cy="2214880"/>
            <wp:effectExtent l="0" t="0" r="0" b="0"/>
            <wp:docPr id="1" name="RAINBOW-PLATE-00" title="RAINBOW-PLATE-00" descr="RAINBOW section opener with a split-prime rosette, crossed ribbons, and stacked shell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715000" cy="2214880"/>
                    </a:xfrm>
                    <a:prstGeom prst="rect">
                      <a:avLst/>
                    </a:prstGeom>
                    <a:noFill/>
                  </pic:spPr>
                </pic:pic>
              </a:graphicData>
            </a:graphic>
          </wp:inline>
        </w:drawing>
      </w:r>
    </w:p>
    <w:p>
      <w:pPr>
        <w:pStyle w:val="Normal"/>
        <w:rPr/>
      </w:pPr>
      <w:r>
        <w:rPr/>
        <w:t>Decorated RAINBOW section title beside a twelve-point split-prime rosette, crossed ribbons, and shell planes.</w:t>
      </w:r>
    </w:p>
    <w:p>
      <w:pPr>
        <w:pStyle w:val="BodyText"/>
        <w:keepLines/>
        <w:rPr/>
      </w:pPr>
      <w:r>
        <w:rPr>
          <w:b/>
          <w:bCs/>
        </w:rPr>
        <w:t>RAINBOW-PLATE-00 — Section opener.</w:t>
      </w:r>
      <w:r>
        <w:rPr/>
        <w:t xml:space="preserve"> RAINBOW — Ribbon-Amplitude Interference Norms: Boundary-Orbit Weaves is a bounded Mathematical Atlas construction joining exact prime norm-shell arithmetic to declared transport-history and boundary-readout adapters. It neither replaces nor contains the PAL spine. </w:t>
      </w:r>
      <w:r>
        <w:rPr>
          <w:b/>
          <w:bCs/>
        </w:rPr>
        <w:t>Claim status:</w:t>
      </w:r>
      <w:r>
        <w:rPr/>
        <w:t xml:space="preserve"> presentation with accurate motifs; non-card. </w:t>
      </w:r>
      <w:r>
        <w:rPr>
          <w:b/>
          <w:bCs/>
        </w:rPr>
        <w:t>Source/provenance:</w:t>
      </w:r>
      <w:r>
        <w:rPr/>
        <w:t xml:space="preserve"> PAL v2.3 synthesis and the adopted RAINBOW SVG plate suite; mathematics is stated on the cards below.</w:t>
      </w:r>
    </w:p>
    <w:p>
      <w:pPr>
        <w:pStyle w:val="Heading2"/>
        <w:keepNext/>
        <w:keepLines/>
        <w:rPr/>
      </w:pPr>
      <w:bookmarkStart w:id="62" w:name="m-rnbw-shell-eisenstein-prime-and-compos"/>
      <w:r>
        <w:rPr/>
        <w:t>M-RNBW-SHELL — Eisenstein prime and composite norm shells</w:t>
      </w:r>
      <w:bookmarkEnd w:id="62"/>
    </w:p>
    <w:p>
      <w:pPr>
        <w:pStyle w:val="Normal"/>
        <w:keepNext/>
        <w:keepLines/>
        <w:rPr>
          <w:b/>
          <w:bCs/>
        </w:rPr>
      </w:pPr>
      <w:r>
        <w:rPr>
          <w:b/>
          <w:bCs/>
        </w:rPr>
        <w:t>Supplied M0 arithmetic/geometric carrier and later fixture; not a numbered layer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Exact arithmetic shell theorem on a supplied Eisenstein carrier. It supplies no A0 cut; later A1/A3/A10 uses require separate readout and relation receipts.</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η=e^{iπ/3}; E=ℤ[η]; unit group U={η^j:0≤j&lt;6}; Q(a,b)=N(a+bη)=a²+ab+b²; and S_n={(a,b)∈ℤ²:Q(a,b)=n} for dimensionless n∈ℕ, n≥1.</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If n=3^α ∏_{p≡1 (mod 3)}p^{e_p} ∏_{q≡2 (mod 3)}q^{f_q}, then S_n is nonempty iff every f_q is even. When occupied, r_Q(n)=card(S_n)=6∏_{p≡1 (mod 3)}(e_p+1)=6∑_{d∣n}χ_{−3}(d). The orbit-packet count is H(n)=r_Q(n)/6.</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Factor n and enumerate or prove the shell and its U-orbits. If a typed boundary is needed, separately extend Q to ℝ² and declare the constraint level set B_n={x∈ℝ²:Q(x)=n} with BoundaryRef.role=CONSTRAINT, then identify S_n=B_n∩ℤ². No topological-boundary claim is made by this adapter. Without it S_n is a shell/level set, not a PAL boundary.</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Unique factorization in E, the chosen complex embedding, exact integer arithmetic, supplied n and factorization or enumeration procedure, and finite computation bounds where executed.</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n, its rational-prime factorization, α, every split exponent e_p, every inert exponent f_q, representation count, unit-orbit partition, angular generator choices, algorithm/version,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Deleting E,Q and their arithmetic returns the supplied M0 envelope. The theorem follows because split p=π_p·conj(π_p) distributes e_p between π_p and its conjugate in e_p+1 nonassociate ways; inert exponents must be even; 3 is ramified and adds no angular choice; six units generate each orbit.</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Established number-theoretic theorem. The RAINBOW taxonomy and PAL placement are new synthesis, not new arithmetic.</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Exact enumeration through a declared finite cutoff; mandatory cases 3,7,17,21,28,49,91; factor/count/divisor-sum agreement; unit-orbit partition; inert odd/even exponent controls; boundary-role noncoercion;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primitive cut, universal carrier, physical particle, prime-generation law, hidden prime theorem, complete ontology, or Ω content. A shell is not a boundary until the declared adapter is supplied.</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Carrier choice, computation cutoff, factorization cost, alternative quadratic forms, angular statistics, physical interpretation, and unrepresented structures.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 in ring, norm, embedding, n, factorization, coefficient domain, boundary adapter, enumeration code, or claimed cutoff reopens the dependent shell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Classical Eisenstein arithmetic; Nair [S44] for representability; Marmon [S45] for hexagonal lattice counts and angular structure.</w:t>
            </w:r>
          </w:p>
        </w:tc>
      </w:tr>
    </w:tbl>
    <w:p>
      <w:pPr>
        <w:pStyle w:val="Normal"/>
        <w:rPr/>
      </w:pPr>
      <w:r>
        <w:rPr/>
        <w:t>For a split prime choose π_p with p=π_p·conj(π_p) and prime angle φ_p=arg π_p∈(0,π/6). One may take π_7=2+η, π_13=3+η, so</w:t>
      </w:r>
    </w:p>
    <w:p>
      <w:pPr>
        <w:pStyle w:val="BodyText"/>
        <w:rPr/>
      </w:pPr>
      <w:r>
        <w:rPr/>
        <w:t>φ_7=atan(√3/5) and φ_13=atan(√3/7).</w:t>
      </w:r>
    </w:p>
    <w:p>
      <w:pPr>
        <w:pStyle w:val="BodyText"/>
        <w:rPr/>
      </w:pPr>
      <w:r>
        <w:rPr/>
        <w:t>Modulo the six unit rotations, an occupied shell has packet angles</w:t>
      </w:r>
    </w:p>
    <w:p>
      <w:pPr>
        <w:pStyle w:val="BodyText"/>
        <w:rPr/>
      </w:pPr>
      <w:r>
        <w:rPr/>
        <w:t>[απ/6 + ∑_p(2k_p−e_p)φ_p] mod π/3, with 0≤k_p≤e_p.</w:t>
      </w:r>
    </w:p>
    <w:p>
      <w:pPr>
        <w:pStyle w:val="BodyText"/>
        <w:rPr/>
      </w:pPr>
      <w:r>
        <w:rPr/>
        <w:t>Consequently:</w:t>
      </w:r>
    </w:p>
    <w:p>
      <w:pPr>
        <w:pStyle w:val="BodyText"/>
        <w:numPr>
          <w:ilvl w:val="0"/>
          <w:numId w:val="9"/>
        </w:numPr>
        <w:spacing w:before="0" w:after="0"/>
        <w:rPr/>
      </w:pPr>
      <w:r>
        <w:rPr/>
        <w:t>rational prime 3 has six points;</w:t>
      </w:r>
    </w:p>
    <w:p>
      <w:pPr>
        <w:pStyle w:val="BodyText"/>
        <w:numPr>
          <w:ilvl w:val="0"/>
          <w:numId w:val="9"/>
        </w:numPr>
        <w:spacing w:before="0" w:after="0"/>
        <w:rPr/>
      </w:pPr>
      <w:r>
        <w:rPr/>
        <w:t>a rational prime p≡1 mod 3 has twelve points in two conjugate sixfold orbits;</w:t>
      </w:r>
    </w:p>
    <w:p>
      <w:pPr>
        <w:pStyle w:val="BodyText"/>
        <w:numPr>
          <w:ilvl w:val="0"/>
          <w:numId w:val="9"/>
        </w:numPr>
        <w:spacing w:before="0" w:after="0"/>
        <w:rPr/>
      </w:pPr>
      <w:r>
        <w:rPr/>
        <w:t>a rational prime p≡2 mod 3 has no norm-p shell;</w:t>
      </w:r>
    </w:p>
    <w:p>
      <w:pPr>
        <w:pStyle w:val="BodyText"/>
        <w:numPr>
          <w:ilvl w:val="0"/>
          <w:numId w:val="9"/>
        </w:numPr>
        <w:spacing w:before="0" w:after="0"/>
        <w:rPr/>
      </w:pPr>
      <w:r>
        <w:rPr/>
        <w:t>28=2²·7 is a scale echo of 7;</w:t>
      </w:r>
    </w:p>
    <w:p>
      <w:pPr>
        <w:pStyle w:val="BodyText"/>
        <w:numPr>
          <w:ilvl w:val="0"/>
          <w:numId w:val="9"/>
        </w:numPr>
        <w:spacing w:before="0" w:after="0"/>
        <w:rPr/>
      </w:pPr>
      <w:r>
        <w:rPr/>
        <w:t>21=3·7 is a √3-scaled, π/6-phase copy;</w:t>
      </w:r>
    </w:p>
    <w:p>
      <w:pPr>
        <w:pStyle w:val="BodyText"/>
        <w:numPr>
          <w:ilvl w:val="0"/>
          <w:numId w:val="9"/>
        </w:numPr>
        <w:spacing w:before="0" w:after="0"/>
        <w:rPr/>
      </w:pPr>
      <w:r>
        <w:rPr/>
        <w:t>49=7² has packet angles −2φ_7,0,+2φ_7 and 18 points;</w:t>
      </w:r>
    </w:p>
    <w:p>
      <w:pPr>
        <w:pStyle w:val="BodyText"/>
        <w:numPr>
          <w:ilvl w:val="0"/>
          <w:numId w:val="9"/>
        </w:numPr>
        <w:spacing w:before="0" w:after="0"/>
        <w:rPr/>
      </w:pPr>
      <w:r>
        <w:rPr/>
        <w:t>91=7·13 has packet angles ±φ_7±φ_13 and 24 points.</w:t>
      </w:r>
    </w:p>
    <w:p>
      <w:pPr>
        <w:pStyle w:val="Normal"/>
        <w:rPr/>
      </w:pPr>
      <w:r>
        <w:rPr/>
        <w:t>“</w:t>
      </w:r>
      <w:r>
        <w:rPr/>
        <w:t>Echo,” “phase,” “ancestry,” and “weave” are composable RAINBOW tags, not an exhaustive partition. The exact structural column is the split-exponent signature [e_p]:</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160"/>
        <w:gridCol w:w="2880"/>
        <w:gridCol w:w="2160"/>
        <w:gridCol w:w="2160"/>
      </w:tblGrid>
      <w:tr>
        <w:trPr>
          <w:tblHeader w:val="true"/>
        </w:trPr>
        <w:tc>
          <w:tcPr>
            <w:tcW w:w="2160" w:type="dxa"/>
            <w:tcBorders/>
            <w:vAlign w:val="top"/>
            <w:shd w:fill="DCE6F1"/>
          </w:tcPr>
          <w:p>
            <w:pPr>
              <w:pStyle w:val="Normal"/>
              <w:spacing w:before="0" w:after="40" w:line="240" w:lineRule="auto"/>
              <w:rPr>
                <w:b/>
                <w:bCs/>
              </w:rPr>
            </w:pPr>
            <w:r>
              <w:rPr>
                <w:b/>
                <w:bCs/>
                <w:color w:val="1F4D78"/>
                <w:sz w:val="18"/>
              </w:rPr>
              <w:t>Signature</w:t>
            </w:r>
          </w:p>
        </w:tc>
        <w:tc>
          <w:tcPr>
            <w:tcW w:w="2880" w:type="dxa"/>
            <w:tcBorders/>
            <w:vAlign w:val="top"/>
            <w:shd w:fill="DCE6F1"/>
          </w:tcPr>
          <w:p>
            <w:pPr>
              <w:pStyle w:val="Normal"/>
              <w:spacing w:before="0" w:after="40" w:line="240" w:lineRule="auto"/>
              <w:jc w:val="end"/>
              <w:rPr>
                <w:b/>
                <w:bCs/>
              </w:rPr>
            </w:pPr>
            <w:r>
              <w:rPr>
                <w:b/>
                <w:bCs/>
                <w:color w:val="1F4D78"/>
                <w:sz w:val="18"/>
              </w:rPr>
              <w:t>Unit orbits H(n)</w:t>
            </w:r>
          </w:p>
        </w:tc>
        <w:tc>
          <w:tcPr>
            <w:tcW w:w="2160" w:type="dxa"/>
            <w:tcBorders/>
            <w:vAlign w:val="top"/>
            <w:shd w:fill="DCE6F1"/>
          </w:tcPr>
          <w:p>
            <w:pPr>
              <w:pStyle w:val="Normal"/>
              <w:spacing w:before="0" w:after="40" w:line="240" w:lineRule="auto"/>
              <w:rPr>
                <w:b/>
                <w:bCs/>
              </w:rPr>
            </w:pPr>
            <w:r>
              <w:rPr>
                <w:b/>
                <w:bCs/>
                <w:color w:val="1F4D78"/>
                <w:sz w:val="18"/>
              </w:rPr>
              <w:t>First representative(s)</w:t>
            </w:r>
          </w:p>
        </w:tc>
        <w:tc>
          <w:tcPr>
            <w:tcW w:w="2160" w:type="dxa"/>
            <w:tcBorders/>
            <w:vAlign w:val="top"/>
            <w:shd w:fill="DCE6F1"/>
          </w:tcPr>
          <w:p>
            <w:pPr>
              <w:pStyle w:val="Normal"/>
              <w:spacing w:before="0" w:after="40" w:line="240" w:lineRule="auto"/>
              <w:rPr>
                <w:b/>
                <w:bCs/>
              </w:rPr>
            </w:pPr>
            <w:r>
              <w:rPr>
                <w:b/>
                <w:bCs/>
                <w:color w:val="1F4D78"/>
                <w:sz w:val="18"/>
              </w:rPr>
              <w:t>Interpretive tag</w:t>
            </w:r>
          </w:p>
        </w:tc>
      </w:tr>
      <w:tr>
        <w:trPr/>
        <w:tc>
          <w:tcPr>
            <w:tcW w:w="2160" w:type="dxa"/>
            <w:tcBorders/>
            <w:vAlign w:val="top"/>
          </w:tcPr>
          <w:p>
            <w:pPr>
              <w:pStyle w:val="Normal"/>
              <w:widowControl/>
              <w:bidi w:val="0"/>
              <w:spacing w:lineRule="auto" w:line="240" w:before="0" w:after="40"/>
              <w:jc w:val="start"/>
              <w:rPr/>
            </w:pPr>
            <w:r>
              <w:rPr>
                <w:sz w:val="18"/>
              </w:rPr>
              <w:t>[]</w:t>
            </w:r>
          </w:p>
        </w:tc>
        <w:tc>
          <w:tcPr>
            <w:tcW w:w="2880" w:type="dxa"/>
            <w:tcBorders/>
            <w:vAlign w:val="top"/>
          </w:tcPr>
          <w:p>
            <w:pPr>
              <w:pStyle w:val="Normal"/>
              <w:spacing w:before="0" w:after="40" w:line="240" w:lineRule="auto"/>
              <w:jc w:val="end"/>
              <w:rPr/>
            </w:pPr>
            <w:r>
              <w:rPr>
                <w:sz w:val="18"/>
              </w:rPr>
              <w:t>1</w:t>
            </w:r>
          </w:p>
        </w:tc>
        <w:tc>
          <w:tcPr>
            <w:tcW w:w="2160" w:type="dxa"/>
            <w:tcBorders/>
            <w:vAlign w:val="top"/>
          </w:tcPr>
          <w:p>
            <w:pPr>
              <w:pStyle w:val="Normal"/>
              <w:widowControl/>
              <w:bidi w:val="0"/>
              <w:spacing w:lineRule="auto" w:line="240" w:before="0" w:after="40"/>
              <w:jc w:val="start"/>
              <w:rPr/>
            </w:pPr>
            <w:r>
              <w:rPr>
                <w:sz w:val="18"/>
              </w:rPr>
              <w:t>1,3,4,9,12,16,25,27</w:t>
            </w:r>
          </w:p>
        </w:tc>
        <w:tc>
          <w:tcPr>
            <w:tcW w:w="2160" w:type="dxa"/>
            <w:tcBorders/>
            <w:vAlign w:val="top"/>
          </w:tcPr>
          <w:p>
            <w:pPr>
              <w:pStyle w:val="Normal"/>
              <w:widowControl/>
              <w:bidi w:val="0"/>
              <w:spacing w:lineRule="auto" w:line="240" w:before="0" w:after="40"/>
              <w:jc w:val="start"/>
              <w:rPr/>
            </w:pPr>
            <w:r>
              <w:rPr>
                <w:sz w:val="18"/>
              </w:rPr>
              <w:t>scale/phase only</w:t>
            </w:r>
          </w:p>
        </w:tc>
      </w:tr>
      <w:tr>
        <w:trPr/>
        <w:tc>
          <w:tcPr>
            <w:tcW w:w="2160" w:type="dxa"/>
            <w:tcBorders/>
            <w:vAlign w:val="top"/>
            <w:shd w:fill="F7F9FB"/>
          </w:tcPr>
          <w:p>
            <w:pPr>
              <w:pStyle w:val="Normal"/>
              <w:widowControl/>
              <w:bidi w:val="0"/>
              <w:spacing w:lineRule="auto" w:line="240" w:before="0" w:after="40"/>
              <w:jc w:val="start"/>
              <w:rPr/>
            </w:pPr>
            <w:r>
              <w:rPr>
                <w:sz w:val="18"/>
              </w:rPr>
              <w:t>[1]</w:t>
            </w:r>
          </w:p>
        </w:tc>
        <w:tc>
          <w:tcPr>
            <w:tcW w:w="2880" w:type="dxa"/>
            <w:tcBorders/>
            <w:vAlign w:val="top"/>
            <w:shd w:fill="F7F9FB"/>
          </w:tcPr>
          <w:p>
            <w:pPr>
              <w:pStyle w:val="Normal"/>
              <w:spacing w:before="0" w:after="40" w:line="240" w:lineRule="auto"/>
              <w:jc w:val="end"/>
              <w:rPr/>
            </w:pPr>
            <w:r>
              <w:rPr>
                <w:sz w:val="18"/>
              </w:rPr>
              <w:t>2</w:t>
            </w:r>
          </w:p>
        </w:tc>
        <w:tc>
          <w:tcPr>
            <w:tcW w:w="2160" w:type="dxa"/>
            <w:tcBorders/>
            <w:vAlign w:val="top"/>
            <w:shd w:fill="F7F9FB"/>
          </w:tcPr>
          <w:p>
            <w:pPr>
              <w:pStyle w:val="Normal"/>
              <w:widowControl/>
              <w:bidi w:val="0"/>
              <w:spacing w:lineRule="auto" w:line="240" w:before="0" w:after="40"/>
              <w:jc w:val="start"/>
              <w:rPr/>
            </w:pPr>
            <w:r>
              <w:rPr>
                <w:sz w:val="18"/>
              </w:rPr>
              <w:t>7,13,19; also 21,28,39</w:t>
            </w:r>
          </w:p>
        </w:tc>
        <w:tc>
          <w:tcPr>
            <w:tcW w:w="2160" w:type="dxa"/>
            <w:tcBorders/>
            <w:vAlign w:val="top"/>
            <w:shd w:fill="F7F9FB"/>
          </w:tcPr>
          <w:p>
            <w:pPr>
              <w:pStyle w:val="Normal"/>
              <w:widowControl/>
              <w:bidi w:val="0"/>
              <w:spacing w:lineRule="auto" w:line="240" w:before="0" w:after="40"/>
              <w:jc w:val="start"/>
              <w:rPr/>
            </w:pPr>
            <w:r>
              <w:rPr>
                <w:sz w:val="18"/>
              </w:rPr>
              <w:t>one split generator</w:t>
            </w:r>
          </w:p>
        </w:tc>
      </w:tr>
      <w:tr>
        <w:trPr/>
        <w:tc>
          <w:tcPr>
            <w:tcW w:w="2160" w:type="dxa"/>
            <w:tcBorders/>
            <w:vAlign w:val="top"/>
          </w:tcPr>
          <w:p>
            <w:pPr>
              <w:pStyle w:val="Normal"/>
              <w:widowControl/>
              <w:bidi w:val="0"/>
              <w:spacing w:lineRule="auto" w:line="240" w:before="0" w:after="40"/>
              <w:jc w:val="start"/>
              <w:rPr/>
            </w:pPr>
            <w:r>
              <w:rPr>
                <w:sz w:val="18"/>
              </w:rPr>
              <w:t>[2]</w:t>
            </w:r>
          </w:p>
        </w:tc>
        <w:tc>
          <w:tcPr>
            <w:tcW w:w="2880" w:type="dxa"/>
            <w:tcBorders/>
            <w:vAlign w:val="top"/>
          </w:tcPr>
          <w:p>
            <w:pPr>
              <w:pStyle w:val="Normal"/>
              <w:spacing w:before="0" w:after="40" w:line="240" w:lineRule="auto"/>
              <w:jc w:val="end"/>
              <w:rPr/>
            </w:pPr>
            <w:r>
              <w:rPr>
                <w:sz w:val="18"/>
              </w:rPr>
              <w:t>3</w:t>
            </w:r>
          </w:p>
        </w:tc>
        <w:tc>
          <w:tcPr>
            <w:tcW w:w="2160" w:type="dxa"/>
            <w:tcBorders/>
            <w:vAlign w:val="top"/>
          </w:tcPr>
          <w:p>
            <w:pPr>
              <w:pStyle w:val="Normal"/>
              <w:widowControl/>
              <w:bidi w:val="0"/>
              <w:spacing w:lineRule="auto" w:line="240" w:before="0" w:after="40"/>
              <w:jc w:val="start"/>
              <w:rPr/>
            </w:pPr>
            <w:r>
              <w:rPr>
                <w:sz w:val="18"/>
              </w:rPr>
              <w:t>49; then 169</w:t>
            </w:r>
          </w:p>
        </w:tc>
        <w:tc>
          <w:tcPr>
            <w:tcW w:w="2160" w:type="dxa"/>
            <w:tcBorders/>
            <w:vAlign w:val="top"/>
          </w:tcPr>
          <w:p>
            <w:pPr>
              <w:pStyle w:val="Normal"/>
              <w:widowControl/>
              <w:bidi w:val="0"/>
              <w:spacing w:lineRule="auto" w:line="240" w:before="0" w:after="40"/>
              <w:jc w:val="start"/>
              <w:rPr/>
            </w:pPr>
            <w:r>
              <w:rPr>
                <w:sz w:val="18"/>
              </w:rPr>
              <w:t>repeated generator / ancestry</w:t>
            </w:r>
          </w:p>
        </w:tc>
      </w:tr>
      <w:tr>
        <w:trPr/>
        <w:tc>
          <w:tcPr>
            <w:tcW w:w="2160" w:type="dxa"/>
            <w:tcBorders/>
            <w:vAlign w:val="top"/>
            <w:shd w:fill="F7F9FB"/>
          </w:tcPr>
          <w:p>
            <w:pPr>
              <w:pStyle w:val="Normal"/>
              <w:widowControl/>
              <w:bidi w:val="0"/>
              <w:spacing w:lineRule="auto" w:line="240" w:before="0" w:after="40"/>
              <w:jc w:val="start"/>
              <w:rPr/>
            </w:pPr>
            <w:r>
              <w:rPr>
                <w:sz w:val="18"/>
              </w:rPr>
              <w:t>[1,1]</w:t>
            </w:r>
          </w:p>
        </w:tc>
        <w:tc>
          <w:tcPr>
            <w:tcW w:w="2880" w:type="dxa"/>
            <w:tcBorders/>
            <w:vAlign w:val="top"/>
            <w:shd w:fill="F7F9FB"/>
          </w:tcPr>
          <w:p>
            <w:pPr>
              <w:pStyle w:val="Normal"/>
              <w:spacing w:before="0" w:after="40" w:line="240" w:lineRule="auto"/>
              <w:jc w:val="end"/>
              <w:rPr/>
            </w:pPr>
            <w:r>
              <w:rPr>
                <w:sz w:val="18"/>
              </w:rPr>
              <w:t>4</w:t>
            </w:r>
          </w:p>
        </w:tc>
        <w:tc>
          <w:tcPr>
            <w:tcW w:w="2160" w:type="dxa"/>
            <w:tcBorders/>
            <w:vAlign w:val="top"/>
            <w:shd w:fill="F7F9FB"/>
          </w:tcPr>
          <w:p>
            <w:pPr>
              <w:pStyle w:val="Normal"/>
              <w:widowControl/>
              <w:bidi w:val="0"/>
              <w:spacing w:lineRule="auto" w:line="240" w:before="0" w:after="40"/>
              <w:jc w:val="start"/>
              <w:rPr/>
            </w:pPr>
            <w:r>
              <w:rPr>
                <w:sz w:val="18"/>
              </w:rPr>
              <w:t>91; then 133</w:t>
            </w:r>
          </w:p>
        </w:tc>
        <w:tc>
          <w:tcPr>
            <w:tcW w:w="2160" w:type="dxa"/>
            <w:tcBorders/>
            <w:vAlign w:val="top"/>
            <w:shd w:fill="F7F9FB"/>
          </w:tcPr>
          <w:p>
            <w:pPr>
              <w:pStyle w:val="Normal"/>
              <w:widowControl/>
              <w:bidi w:val="0"/>
              <w:spacing w:lineRule="auto" w:line="240" w:before="0" w:after="40"/>
              <w:jc w:val="start"/>
              <w:rPr/>
            </w:pPr>
            <w:r>
              <w:rPr>
                <w:sz w:val="18"/>
              </w:rPr>
              <w:t>mixed-generator weave</w:t>
            </w:r>
          </w:p>
        </w:tc>
      </w:tr>
    </w:tbl>
    <w:p>
      <w:pPr>
        <w:pStyle w:val="Normal"/>
        <w:rPr/>
      </w:pPr>
      <w:r>
        <w:rPr/>
        <w:t>Finite enumeration verifies that 1→7→49→91 are the successive occupied-shell population records through n=100, and that 49 and 91 are the only occupied shells in that range with more than twelve points. This finite statement is execution evidence, not an arbitrary-range theorem. For Re(s)&gt;1, the established analytic identity is</w:t>
      </w:r>
    </w:p>
    <w:p>
      <w:pPr>
        <w:pStyle w:val="BodyText"/>
        <w:rPr/>
      </w:pPr>
      <w:r>
        <w:rPr/>
        <w:t>∑</w:t>
      </w:r>
      <w:r>
        <w:rPr/>
        <w:t>_{n≥1} r_Q(n)n^(−s)=6ζ(s)L(s,χ_{−3}).</w:t>
      </w:r>
    </w:p>
    <w:p>
      <w:pPr>
        <w:pStyle w:val="BodyText"/>
        <w:rPr/>
      </w:pPr>
      <w:r>
        <w:rPr>
          <w:b/>
          <w:bCs/>
        </w:rPr>
        <w:t>Conditional extension profile.</w:t>
      </w:r>
      <w:r>
        <w:rPr/>
        <w:t xml:space="preserve"> Carrier/model envelope: E=ℤ[η] and, only for the optional constraint adapter, ℝ² carrying the extended Q. Scale, resolution, admissible differences, and tolerance: n is exact and dimensionless with admissible n≥1; equality Q=n has zero arithmetic tolerance; drawn radii may be normalized while unscaled radius is √n. Boundary role/domain/scope: N/A for S_n alone; B_n is a CONSTRAINT level set in ℝ² at the named n, with no topological-boundary coercion. Orientation/coefficient system: the complex embedding is taken modulo the six units U and Q has integer coefficients. Quantifiers: representation/count rules are exact for all n; scanner and plate checks are finite and bounded. Map/projector/fibers/reachable image: Q:E→ℕ, fibers S_n, unit-orbit quotient, and reachable represented norms are explicit. Detector/requested answer: Q detects norm and the requested answers are occupancy, point count, and unit-orbit count. Reachable decoder/totalization: factorization computes the count on represented inputs, but no source/point inverse or authority decoder is claimed; totalization outside the stated arithmetic question is N/A. Decoder class: exact arithmetic/factorization only. Separations: shell endpoint, drawn path, orbit relation, arithmetic receipt, work, audit, grant, resource, external-terminal state, and authority remain distinct. Claim labels: representation and count laws are established mathematics; enumerations are finite fixtures; echo/phase/ancestry/weave names are interpretation; PAL boundary routing is v2.3 synthesis; color and normalized layout are presentation. Residual/reopening: the Residual and Return-to-PAL rows control changes in ring, norm, adapter, scale, enumeration, source, witness, or ceiling.</w:t>
      </w:r>
    </w:p>
    <w:p>
      <w:pPr>
        <w:pStyle w:val="Normal"/>
        <w:keepNext/>
        <w:keepLines/>
        <w:rPr/>
      </w:pPr>
      <w:r>
        <w:rPr/>
        <w:drawing>
          <wp:inline distT="0" distB="0" distL="0" distR="0">
            <wp:extent cx="5715000" cy="3571875"/>
            <wp:effectExtent l="0" t="0" r="0" b="0"/>
            <wp:docPr id="2" name="RAINBOW-PLATE-01" title="RAINBOW-PLATE-01" descr="Prime norm-shell selection: norm 3 has six lattice points, norm 7 has two conjugate sixfold orbits, and norm 17 is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715000" cy="3571875"/>
                    </a:xfrm>
                    <a:prstGeom prst="rect">
                      <a:avLst/>
                    </a:prstGeom>
                    <a:noFill/>
                  </pic:spPr>
                </pic:pic>
              </a:graphicData>
            </a:graphic>
          </wp:inline>
        </w:drawing>
      </w:r>
    </w:p>
    <w:p>
      <w:pPr>
        <w:pStyle w:val="Normal"/>
        <w:rPr/>
      </w:pPr>
      <w:r>
        <w:rPr/>
        <w:t>Three shell diagrams: six points for norm 3, two conjugate sixfold orbits for norm 7, and no lattice points for norm 17, followed by a prime classification strip.</w:t>
      </w:r>
    </w:p>
    <w:p>
      <w:pPr>
        <w:pStyle w:val="BodyText"/>
        <w:keepLines/>
        <w:rPr/>
      </w:pPr>
      <w:r>
        <w:rPr>
          <w:b/>
          <w:bCs/>
        </w:rPr>
        <w:t>RAINBOW-PLATE-01 — Prime norm-shell selection.</w:t>
      </w:r>
      <w:r>
        <w:rPr/>
        <w:t xml:space="preserve"> With η=e^{iπ/3}, Q(a,b)=a²+ab+b² and S_n={(a,b)∈ℤ²:Q(a,b)=n}. A rational prime has six representatives when p=3, twelve when p≡1 mod 3, and none when p≡2 mod 3. Thus 3 is ramified, 7 supplies two conjugate sixfold orbits, and 17 has an empty prime-norm shell. Shells are normalized to a common drawn radius; their unscaled Euclidean radii are √p. The arithmetic prime angle is φ_p and is not canonical PAL θ; a shell is not a typed boundary without the declared adapter. </w:t>
      </w:r>
      <w:r>
        <w:rPr>
          <w:b/>
          <w:bCs/>
        </w:rPr>
        <w:t>Claim status:</w:t>
      </w:r>
      <w:r>
        <w:rPr/>
        <w:t xml:space="preserve"> established arithmetic; normalization and color are presentation. </w:t>
      </w:r>
      <w:r>
        <w:rPr>
          <w:b/>
          <w:bCs/>
        </w:rPr>
        <w:t>Source/provenance:</w:t>
      </w:r>
      <w:r>
        <w:rPr/>
        <w:t xml:space="preserve"> Nair [S44], Marmon [S45], and finite plate-generation code.</w:t>
      </w:r>
    </w:p>
    <w:p>
      <w:pPr>
        <w:pStyle w:val="Normal"/>
        <w:keepNext/>
        <w:keepLines/>
        <w:rPr/>
      </w:pPr>
      <w:r>
        <w:rPr/>
        <w:drawing>
          <wp:inline distT="0" distB="0" distL="0" distR="0">
            <wp:extent cx="5715000" cy="4072255"/>
            <wp:effectExtent l="0" t="0" r="0" b="0"/>
            <wp:docPr id="3" name="RAINBOW-PLATE-02" title="RAINBOW-PLATE-02" descr="Composite shell grammar comparing norm 7 with scale echo 28, phase copy 21, repeated-generator shell 49, and mixed-generator weav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715000" cy="4072255"/>
                    </a:xfrm>
                    <a:prstGeom prst="rect">
                      <a:avLst/>
                    </a:prstGeom>
                    <a:noFill/>
                  </pic:spPr>
                </pic:pic>
              </a:graphicData>
            </a:graphic>
          </wp:inline>
        </w:drawing>
      </w:r>
    </w:p>
    <w:p>
      <w:pPr>
        <w:pStyle w:val="Normal"/>
        <w:rPr/>
      </w:pPr>
      <w:r>
        <w:rPr/>
        <w:t>A norm-7 generator grouped with composite shells 28, 21, 49, and 91, plus a strip mapping split-prime exponent signatures to point counts.</w:t>
      </w:r>
    </w:p>
    <w:p>
      <w:pPr>
        <w:pStyle w:val="BodyText"/>
        <w:keepLines/>
        <w:rPr/>
      </w:pPr>
      <w:r>
        <w:rPr>
          <w:b/>
          <w:bCs/>
        </w:rPr>
        <w:t>RAINBOW-PLATE-02 — Composite shell grammar.</w:t>
      </w:r>
      <w:r>
        <w:rPr/>
        <w:t xml:space="preserve"> Occupied composite shells obey the inert-even factorization criterion and have 6∏(e_p+1) points. The plate compares generator 7, scale echo 28, π/6 phase copy 21, repeated-generator shell 49, and mixed-generator weave 91. Shells are normalized for angular comparison, so stated scale factors are not drawn. The displayed φ_p values are arithmetic prime angles, not PAL θ. </w:t>
      </w:r>
      <w:r>
        <w:rPr>
          <w:b/>
          <w:bCs/>
        </w:rPr>
        <w:t>Claim status:</w:t>
      </w:r>
      <w:r>
        <w:rPr/>
        <w:t xml:space="preserve"> factorization, angles, and counts are exact; family tags are proposed RAINBOW vocabulary; layout and color are presentation. </w:t>
      </w:r>
      <w:r>
        <w:rPr>
          <w:b/>
          <w:bCs/>
        </w:rPr>
        <w:t>Source/provenance:</w:t>
      </w:r>
      <w:r>
        <w:rPr/>
        <w:t xml:space="preserve"> Marmon [S45], classical Eisenstein factorization, and the adopted SVG plate suite.</w:t>
      </w:r>
    </w:p>
    <w:p>
      <w:pPr>
        <w:pStyle w:val="Heading2"/>
        <w:keepNext/>
        <w:keepLines/>
        <w:rPr/>
      </w:pPr>
      <w:bookmarkStart w:id="63" w:name="m-rnbw-frame-local-frame-after-cut-index"/>
      <w:r>
        <w:rPr/>
        <w:t>M-RNBW-FRAME — Local frame after cut-indexed reflection</w:t>
      </w:r>
      <w:bookmarkEnd w:id="63"/>
    </w:p>
    <w:p>
      <w:pPr>
        <w:pStyle w:val="Normal"/>
        <w:keepNext/>
        <w:keepLines/>
        <w:rPr>
          <w:b/>
          <w:bCs/>
        </w:rPr>
      </w:pPr>
      <w:r>
        <w:rPr>
          <w:b/>
          <w:bCs/>
        </w:rPr>
        <w:t>Conditional A1 local-frame realization requiring inherited A0/Ω*/θ and a nonparallelity witness</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 local rank-two carrier/readout in which a supplied trace and its cut-indexed reflection survive nonparallelly.</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Unit-orbit log-phase cylinder C=(ℝ/(π/3)ℤ)×ℝ; supplied cut coordinate c; reflection R_c([φ],z)=([2c−φ],z); a chosen local or universal-cover chart C̃=ℝ²; inherited A0/Ω*/θ receipts; and a θ-bearing realized vector v.</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After supplied recentering ψ=φ−c, R_c(ψ,z)=(−ψ,z) and R_c²=id. In the vector-space lift, v_sym=(v+R_cv)/2, v_anti=(v−R_cv)/2. A local rank-two frame is earned exactly when v_sym∧v_anti≠0, equivalently v and R_cv are nonparallel.</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Check the cut-indexed adapter, involution, chosen lift, nonparallelity, and readable coordinate alignment; then issue a local-frame receipt. Without the nonparallelity witness, retain the lower-rank result.</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Supplied carrier and chart, cut coordinate, reflection adapter, linear operations in the lift, inherited orientation, branch selection, exact/approximate tolerance, and readout witness.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Cut index c, A0/Ω*/θ receipts, chart and branch, v, R_cv, symmetric/antisymmetric components, wedge/rank witness, tolerance,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Reflection alone supplies two poles, not a plane: span{d,−d}=span{d}. Deleting the chart/rank witness returns the inherited primitive-floor receipts. A zero wedge preserves a one-dimensional or lower-rank result.</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Conditional linear-algebra construction in a supplied lift; PAL v2.3 synthesis.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R_c²=id; cut-index dependency; chart/lift present; v∧R_cv nonzero; φ=0 and z=0 rank-loss fixtures; branch change; tolerance mutation; missing A1 readout;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frame in Ω, no claim that A0 creates a plane, no canonical metric or dimension, no identification of arithmetic φ_p with PAL θ, and no global vector-space structure on C.</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Choice of carrier, cut coordinate, chart, branch, dimension, metric, readout, and whether another realization remains nonparallel.</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changed cut, reflection, chart, vector, branch, wedge, tolerance, or readout reopens the frame; if the wedge vanishes, downgrade without erasing inherited receipts.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PAL v2.3 A0/Ω*/θ/A1 seam; M-RNBW-SHELL for the arithmetic specialization.</w:t>
            </w:r>
          </w:p>
        </w:tc>
      </w:tr>
    </w:tbl>
    <w:p>
      <w:pPr>
        <w:pStyle w:val="Normal"/>
        <w:rPr/>
      </w:pPr>
      <w:r>
        <w:rPr/>
        <w:t>For a split prime in the recentered lift,</w:t>
      </w:r>
    </w:p>
    <w:p>
      <w:pPr>
        <w:pStyle w:val="BodyText"/>
        <w:rPr/>
      </w:pPr>
      <w:r>
        <w:rPr/>
        <w:t>b_p^±=(±φ_p,log p),</w:t>
      </w:r>
    </w:p>
    <w:p>
      <w:pPr>
        <w:pStyle w:val="BodyText"/>
        <w:rPr/>
      </w:pPr>
      <w:r>
        <w:rPr/>
        <w:t>so</w:t>
      </w:r>
    </w:p>
    <w:p>
      <w:pPr>
        <w:pStyle w:val="BodyText"/>
        <w:rPr/>
      </w:pPr>
      <w:r>
        <w:rPr/>
        <w:t>(b_p^++b_p^-)/2=(0,log p),</w:t>
      </w:r>
    </w:p>
    <w:p>
      <w:pPr>
        <w:pStyle w:val="BodyText"/>
        <w:rPr/>
      </w:pPr>
      <w:r>
        <w:rPr/>
        <w:t>(b_p^+−b_p^-)/2=(φ_p,0),</w:t>
      </w:r>
    </w:p>
    <w:p>
      <w:pPr>
        <w:pStyle w:val="BodyText"/>
        <w:rPr/>
      </w:pPr>
      <w:r>
        <w:rPr/>
        <w:t>and det[b_p^+,b_p^-]=2φ_p log p≠0. The symmetric axis records common log norm; the antisymmetric axis records opposed arithmetic orientation. These averages and determinants exist in the chosen lift, not globally on the cylinder.</w:t>
      </w:r>
    </w:p>
    <w:p>
      <w:pPr>
        <w:pStyle w:val="BodyText"/>
        <w:rPr/>
      </w:pPr>
      <w:r>
        <w:rPr>
          <w:b/>
          <w:bCs/>
        </w:rPr>
        <w:t>Conditional extension profile.</w:t>
      </w:r>
      <w:r>
        <w:rPr/>
        <w:t xml:space="preserve"> Carrier/model envelope: C plus an explicitly chosen local or universal-cover chart C̃; neither is Ω. Scale, resolution, admissible differences, and tolerance: log norm is dimensionless, angle is modulo π/3, nonparallelity uses exact wedge ≠0, and any numerical/drawn tolerance must be supplied. Boundary role/domain/scope: inherited account-relative CUT at c; R_c realizes Ω* only through the named cut-indexed adapter and in the declared chart. Orientation/coefficient system: conjugate directions ±φ_p and real 1/2 symmetric/antisymmetric coefficients. Quantifiers: local to the supplied cut, split prime, and chart; no global frame follows. Map/projector/fibers/reachable image: R_c, recentering, the chart projection C̃→C, symmetric/antisymmetric projectors, their chart fibers, and the two supplied branch vectors are explicit. Detector/requested answer: the supplied A1 coordinate readout asks whether the reflected directions remain nonparallel and hence span rank two locally. Reachable decoder/totalization: a chart lift decodes only its chosen reachable neighborhood; no global single-valued angular inverse is claimed. Decoder class: exact local algebraic/chart reconstruction. Separations: endpoint, path, reflected relation, receipt, work, audit, grant, resource, external-terminal state, and authority remain distinct. Claim labels: decomposition/rank identities are exact; prime examples are finite fixtures; “axes” is realization interpretation; cut-indexed placement is v2.3 synthesis. Residual/reopening: the Residual and Return-to-PAL rows control cut, chart, branch, rank, readout, witness, or ceiling changes.</w:t>
      </w:r>
    </w:p>
    <w:p>
      <w:pPr>
        <w:pStyle w:val="Normal"/>
        <w:keepNext/>
        <w:keepLines/>
        <w:rPr/>
      </w:pPr>
      <w:r>
        <w:rPr/>
        <w:drawing>
          <wp:inline distT="0" distB="0" distL="0" distR="0">
            <wp:extent cx="5715000" cy="3321685"/>
            <wp:effectExtent l="0" t="0" r="0" b="0"/>
            <wp:docPr id="4" name="RAINBOW-PLATE-03" title="RAINBOW-PLATE-03" descr="Local frame after a supplied cut: reflected prime directions decompose into symmetric log-norm and antisymmetric phase a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715000" cy="3321685"/>
                    </a:xfrm>
                    <a:prstGeom prst="rect">
                      <a:avLst/>
                    </a:prstGeom>
                    <a:noFill/>
                  </pic:spPr>
                </pic:pic>
              </a:graphicData>
            </a:graphic>
          </wp:inline>
        </w:drawing>
      </w:r>
    </w:p>
    <w:p>
      <w:pPr>
        <w:pStyle w:val="Normal"/>
        <w:rPr/>
      </w:pPr>
      <w:r>
        <w:rPr/>
        <w:t>Two reflected diagonal vectors decomposed into a vertical symmetric log-norm axis and a horizontal antisymmetric prime-phase axis, with the carrier stated separately from Omega.</w:t>
      </w:r>
    </w:p>
    <w:p>
      <w:pPr>
        <w:pStyle w:val="BodyText"/>
        <w:keepLines/>
        <w:rPr/>
      </w:pPr>
      <w:r>
        <w:rPr>
          <w:b/>
          <w:bCs/>
        </w:rPr>
        <w:t>RAINBOW-PLATE-03 — Local frame after the cut.</w:t>
      </w:r>
      <w:r>
        <w:rPr/>
        <w:t xml:space="preserve"> On the supplied cylinder, cut-indexed reflection has affine form R_c([φ],z)=([2c−φ],z) and becomes the displayed R_c(φ,z)=(−φ,z) only after recentering in a chosen lift. A split-prime pair decomposes into symmetric norm and antisymmetric orientation components; nonzero φ_p and log p earn rank two locally. </w:t>
      </w:r>
      <w:r>
        <w:rPr>
          <w:b/>
          <w:bCs/>
        </w:rPr>
        <w:t>Claim status:</w:t>
      </w:r>
      <w:r>
        <w:rPr/>
        <w:t xml:space="preserve"> constructed PAL realization, exact inside its supplied chart. </w:t>
      </w:r>
      <w:r>
        <w:rPr>
          <w:b/>
          <w:bCs/>
        </w:rPr>
        <w:t>Source/provenance:</w:t>
      </w:r>
      <w:r>
        <w:rPr/>
        <w:t xml:space="preserve"> M-RNBW-FRAME and the adopted SVG plate suite. The frame belongs to the realization, never to Ω.</w:t>
      </w:r>
    </w:p>
    <w:p>
      <w:pPr>
        <w:pStyle w:val="Heading2"/>
        <w:keepNext/>
        <w:keepLines/>
        <w:rPr/>
      </w:pPr>
      <w:bookmarkStart w:id="64" w:name="m-rnbw-weave-log-phase-cylinder-and-reta"/>
      <w:r>
        <w:rPr/>
        <w:t>M-RNBW-WEAVE — Log-phase cylinder and retained history fiber</w:t>
      </w:r>
      <w:bookmarkEnd w:id="64"/>
    </w:p>
    <w:p>
      <w:pPr>
        <w:pStyle w:val="Normal"/>
        <w:keepNext/>
        <w:keepLines/>
        <w:rPr>
          <w:b/>
          <w:bCs/>
        </w:rPr>
      </w:pPr>
      <w:r>
        <w:rPr>
          <w:b/>
          <w:bCs/>
        </w:rPr>
        <w:t>A2/A3 history-and-route realization; mathematical multiplication does not automatically earn A4/SOOP</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Separate multiplicative endpoints, ordered factor histories, and optional drawn ribbon paths over exact log-norm shell levels.</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Nonzero Eisenstein integers E^• = E ∖ {0}, units U, and quotient monoid E^•/U.Cylinder C = (ℝ/(π/3)ℤ) × ℝ.Map Φ([α]) = ([arg α] modulo π/3, log N(α)).Split factors π(p,+) = π_p and π(p,−) = conj(π_p).A chosen unwrapped chart is supplied for path drawing.</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Φ([αβ])=Φ([α])+Φ([β]).In a chart, T_{p,σ}(φ,z)=(φ+σφ_p,z+log p).For ordered history h=((p_1,σ_1),…,(p_m,σ_m)), Eval(h)=([∑σ_jφ_{p_j}]_{π/3},∑log p_j).Retain h separately from Eval(h).</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Append one oriented factor to a history, update the exact endpoint, and retain an addressable route receipt where A2/A3 is claimed. A piecewise-linear path through partial sums is optional; curved ribbons require no theorem and remain presentation unless separately typed.</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Exact Eisenstein multiplication and norm; chosen prime generators; dimensionless n before taking log; supplied history alphabet/order/store; chart/branch for paths; and storage/recovery cost for retained histories.</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Endpoint class, shell level, factor multiset, factor order, conjugate sign, partial endpoints, history address, store/recovery receipt, and presentation encoding.</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Commutativity can equate endpoints while routes remain distinct. Deleting history storage leaves the arithmetic endpoint. History retention is an additional A2/A3-style receipt and is not forced by unique factorization or endpoint equality.</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Exact monoid homomorphism and combinatorial multiplicity theorem plus constructed path/history lift.</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Φ homomorphism; unit invariance; branch consistency; 49 and 91 endpoints and multiplicities; path/endpoint distinction; lost history; corrupted order/sign; dimensionful-log rejection;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canonical A4/SOOP transport, physical time, causal path, particle trajectory, infinite stored loom, intrinsic ribbon curvature/width, or identity of endpoint and history.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History-storage burden, chart cuts, packet collisions outside the fixed factor multiset, infinite extension, computation, topology of chosen paths, and physical interpretation.</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changed ring, generator, factorization, branch, log reference, history alphabet, order, store, path rule, or recovery result reopens only the affected endpoint/history receipt.</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M-RNBW-SHELL; persistent trace discipline in M-A2-STORE/M-A3-GRAPH; PAL v2.3 synthesis.</w:t>
            </w:r>
          </w:p>
        </w:tc>
      </w:tr>
    </w:tbl>
    <w:p>
      <w:pPr>
        <w:pStyle w:val="Normal"/>
        <w:rPr/>
      </w:pPr>
      <w:r>
        <w:rPr/>
        <w:t>For split-prime exponents e_i, total factor count m=∑e_i, and endpoint choice k_i (the number of + factors of type i), the number of retained ordered histories is</w:t>
      </w:r>
    </w:p>
    <w:p>
      <w:pPr>
        <w:pStyle w:val="BodyText"/>
        <w:rPr/>
      </w:pPr>
      <w:r>
        <w:rPr/>
        <w:t>μ(k)=m!/(∏e_i!) · ∏ binom(e_i,k_i).</w:t>
      </w:r>
    </w:p>
    <w:p>
      <w:pPr>
        <w:pStyle w:val="BodyText"/>
        <w:rPr/>
      </w:pPr>
      <w:r>
        <w:rPr/>
        <w:t>Unique factorization keeps the packet choices distinct for one fixed factor multiset. Thus:</w:t>
      </w:r>
    </w:p>
    <w:p>
      <w:pPr>
        <w:pStyle w:val="BodyText"/>
        <w:numPr>
          <w:ilvl w:val="0"/>
          <w:numId w:val="10"/>
        </w:numPr>
        <w:spacing w:before="0" w:after="0"/>
        <w:rPr/>
      </w:pPr>
      <w:r>
        <w:rPr/>
        <w:t>49=7² has four sign histories ending in three packets with multiplicities 1:2:1;</w:t>
      </w:r>
    </w:p>
    <w:p>
      <w:pPr>
        <w:pStyle w:val="BodyText"/>
        <w:numPr>
          <w:ilvl w:val="0"/>
          <w:numId w:val="10"/>
        </w:numPr>
        <w:spacing w:before="0" w:after="0"/>
        <w:rPr/>
      </w:pPr>
      <w:r>
        <w:rPr/>
        <w:t>91=7·13 has four sign-pair endpoints, each reached by two orders, 7→13 and 13→7, for eight ordered histories total.</w:t>
      </w:r>
    </w:p>
    <w:p>
      <w:pPr>
        <w:pStyle w:val="Normal"/>
        <w:rPr/>
      </w:pPr>
      <w:r>
        <w:rPr/>
        <w:t>These are retained-history multiplicities, not lattice-point counts or amplitude intensities.</w:t>
      </w:r>
    </w:p>
    <w:p>
      <w:pPr>
        <w:pStyle w:val="BodyText"/>
        <w:rPr/>
      </w:pPr>
      <w:r>
        <w:rPr>
          <w:b/>
          <w:bCs/>
        </w:rPr>
        <w:t>Conditional extension profile.</w:t>
      </w:r>
      <w:r>
        <w:rPr/>
        <w:t xml:space="preserve"> Carrier/model envelope: E^•/U, C, a finite history alphabet/store, and an explicitly chosen chart/path lift. Scale, resolution, admissible differences, and tolerance: log norm is dimensionless, angle is modulo π/3, endpoints use exact equality, and any drawing resolution/tolerance is presentation-only and supplied. Boundary role/domain/scope: N/A; a shell plane does not become a boundary. Orientation/coefficient system: conjugate signs σ∈{−1,+1}, prime angles φ_p, integer history counts, and real log increments. Quantifiers: exact on the generated commutative monoid and each supplied finite history; no infinite stored loom is claimed. Map/projector/fibers/reachable image: Φ, Eval, endpoint projection, history fibers Eval⁻¹(x), and the reachable generated endpoint submonoid are explicit. Detector/requested answer: exact arithmetic evaluation asks for endpoint, factor multiset/order, and retained-history multiplicity as separately named answers. Reachable decoder/totalization: history determines endpoint, but endpoint does not decode a unique history; no total inverse is claimed. Decoder class: exact arithmetic plus finite combinatorial enumeration for supplied histories. Separations: endpoint, drawn path, factor relation, retained receipt, work, audit, grant, resource, external-terminal state, orbit count, and authority remain distinct. Claim labels: homomorphism and multiplicity formulas are exact; 49/91 are finite fixtures; ribbon/confluence language is interpretation; history lift is v2.3 synthesis; curvature/width/color are presentation. Residual/reopening: the Residual and Return-to-PAL rows control ring, generator, branch, chart, store, recovery, witness, or ceiling changes.</w:t>
      </w:r>
    </w:p>
    <w:p>
      <w:pPr>
        <w:pStyle w:val="Normal"/>
        <w:keepNext/>
        <w:keepLines/>
        <w:rPr/>
      </w:pPr>
      <w:r>
        <w:rPr/>
        <w:drawing>
          <wp:inline distT="0" distB="0" distL="0" distR="0">
            <wp:extent cx="5715000" cy="4000500"/>
            <wp:effectExtent l="0" t="0" r="0" b="0"/>
            <wp:docPr id="5" name="RAINBOW-PLATE-04" title="RAINBOW-PLATE-04" descr="Log-norm branching weave: four histories merge into three norm-49 endpoints, while two factor orders rejoin at four norm-91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715000" cy="4000500"/>
                    </a:xfrm>
                    <a:prstGeom prst="rect">
                      <a:avLst/>
                    </a:prstGeom>
                    <a:noFill/>
                  </pic:spPr>
                </pic:pic>
              </a:graphicData>
            </a:graphic>
          </wp:inline>
        </w:drawing>
      </w:r>
    </w:p>
    <w:p>
      <w:pPr>
        <w:pStyle w:val="Normal"/>
        <w:rPr/>
      </w:pPr>
      <w:r>
        <w:rPr/>
        <w:t>Two vertical branching diagrams: the 49 history tree merges four histories into three endpoints, while the 91 commuting weave rejoins two factor orders at four endpoints.</w:t>
      </w:r>
    </w:p>
    <w:p>
      <w:pPr>
        <w:pStyle w:val="BodyText"/>
        <w:keepLines/>
        <w:rPr/>
      </w:pPr>
      <w:r>
        <w:rPr>
          <w:b/>
          <w:bCs/>
        </w:rPr>
        <w:t>RAINBOW-PLATE-04 — Log-norm branching weave.</w:t>
      </w:r>
      <w:r>
        <w:rPr/>
        <w:t xml:space="preserve"> In a declared unwrapped local chart, multiplying by an oriented split-prime factor adds ±φ_p horizontally and log p vertically. The 49 tree has retained-history multiplicity 1:2:1; the 91 commuting weave has two factor orders at each of four endpoints. Endpoint angles and shell levels are exact. Curved ribbons and drawn width are visualization encoding; the retained-history fiber is the constructed lift. </w:t>
      </w:r>
      <w:r>
        <w:rPr>
          <w:b/>
          <w:bCs/>
        </w:rPr>
        <w:t>Claim status:</w:t>
      </w:r>
      <w:r>
        <w:rPr/>
        <w:t xml:space="preserve"> exact arithmetic endpoints and combinatorics plus constructed PAL history realization. </w:t>
      </w:r>
      <w:r>
        <w:rPr>
          <w:b/>
          <w:bCs/>
        </w:rPr>
        <w:t>Source/provenance:</w:t>
      </w:r>
      <w:r>
        <w:rPr/>
        <w:t xml:space="preserve"> M-RNBW-SHELL, M-RNBW-WEAVE, and the adopted SVG plate suite.</w:t>
      </w:r>
    </w:p>
    <w:p>
      <w:pPr>
        <w:pStyle w:val="Heading2"/>
        <w:keepNext/>
        <w:keepLines/>
        <w:rPr/>
      </w:pPr>
      <w:bookmarkStart w:id="65" w:name="m-rnbw-amplitude-optional-coherent-ampli"/>
      <w:r>
        <w:rPr/>
        <w:t>M-RNBW-AMPLITUDE — Optional coherent amplitude/interference adapter</w:t>
      </w:r>
      <w:bookmarkEnd w:id="65"/>
    </w:p>
    <w:p>
      <w:pPr>
        <w:pStyle w:val="Normal"/>
        <w:keepNext/>
        <w:keepLines/>
        <w:rPr/>
      </w:pPr>
      <w:r>
        <w:rPr>
          <w:b/>
          <w:bCs/>
        </w:rPr>
        <w:t xml:space="preserve">Optional </w:t>
      </w:r>
      <w:r>
        <w:rPr/>
        <w:t>INTERFACE</w:t>
      </w:r>
      <w:r>
        <w:rPr>
          <w:b/>
          <w:bCs/>
        </w:rPr>
        <w:t xml:space="preserve"> readout branch; amplitudes alone promote no PAL layer</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Target and role</w:t>
            </w:r>
          </w:p>
        </w:tc>
        <w:tc>
          <w:tcPr>
            <w:tcW w:w="6739" w:type="dxa"/>
            <w:tcBorders/>
            <w:vAlign w:val="top"/>
          </w:tcPr>
          <w:p>
            <w:pPr>
              <w:pStyle w:val="Normal"/>
              <w:widowControl/>
              <w:bidi w:val="0"/>
              <w:spacing w:lineRule="auto" w:line="240" w:before="0" w:after="40"/>
              <w:jc w:val="start"/>
              <w:rPr/>
            </w:pPr>
            <w:r>
              <w:rPr>
                <w:sz w:val="19"/>
              </w:rPr>
              <w:t>A typed adapter from retained route histories to nonnegative endpoint intensities under separately supplied complex amplitudes and coherence data.</w:t>
            </w:r>
          </w:p>
        </w:tc>
      </w:tr>
      <w:tr>
        <w:trPr/>
        <w:tc>
          <w:tcPr>
            <w:tcW w:w="2621" w:type="dxa"/>
            <w:tcBorders/>
            <w:vAlign w:val="top"/>
            <w:shd w:fill="F7F9FB"/>
          </w:tcPr>
          <w:p>
            <w:pPr>
              <w:pStyle w:val="Normal"/>
              <w:spacing w:before="0" w:after="40" w:line="240" w:lineRule="auto"/>
              <w:rPr>
                <w:b/>
                <w:bCs/>
              </w:rPr>
            </w:pPr>
            <w:r>
              <w:rPr>
                <w:b/>
                <w:bCs/>
                <w:sz w:val="19"/>
              </w:rPr>
              <w:t>Domain and signature</w:t>
            </w:r>
          </w:p>
        </w:tc>
        <w:tc>
          <w:tcPr>
            <w:tcW w:w="6739" w:type="dxa"/>
            <w:tcBorders/>
            <w:vAlign w:val="top"/>
            <w:shd w:fill="F7F9FB"/>
          </w:tcPr>
          <w:p>
            <w:pPr>
              <w:pStyle w:val="Normal"/>
              <w:widowControl/>
              <w:bidi w:val="0"/>
              <w:spacing w:lineRule="auto" w:line="240" w:before="0" w:after="40"/>
              <w:jc w:val="start"/>
              <w:rPr/>
            </w:pPr>
            <w:r>
              <w:rPr>
                <w:sz w:val="19"/>
              </w:rPr>
              <w:t>Lifted states x_h=(Eval(h),h); endpoint projection π(x_h)=Eval(h).Interface readout β on lifted states; endpoint history fiber H_x; amplitudes a_h∈ℂ.For each readout class, Hermitian positive-semidefinite coherence matrix Γ_x with diagonal entries 1.</w:t>
            </w:r>
          </w:p>
        </w:tc>
      </w:tr>
      <w:tr>
        <w:trPr/>
        <w:tc>
          <w:tcPr>
            <w:tcW w:w="2621" w:type="dxa"/>
            <w:tcBorders/>
            <w:vAlign w:val="top"/>
          </w:tcPr>
          <w:p>
            <w:pPr>
              <w:pStyle w:val="Normal"/>
              <w:spacing w:before="0" w:after="40" w:line="240" w:lineRule="auto"/>
              <w:rPr>
                <w:b/>
                <w:bCs/>
              </w:rPr>
            </w:pPr>
            <w:r>
              <w:rPr>
                <w:b/>
                <w:bCs/>
                <w:sz w:val="19"/>
              </w:rPr>
              <w:t>Formal object</w:t>
            </w:r>
          </w:p>
        </w:tc>
        <w:tc>
          <w:tcPr>
            <w:tcW w:w="6739" w:type="dxa"/>
            <w:tcBorders/>
            <w:vAlign w:val="top"/>
          </w:tcPr>
          <w:p>
            <w:pPr>
              <w:pStyle w:val="Normal"/>
              <w:widowControl/>
              <w:bidi w:val="0"/>
              <w:spacing w:lineRule="auto" w:line="240" w:before="0" w:after="40"/>
              <w:jc w:val="start"/>
              <w:rPr/>
            </w:pPr>
            <w:r>
              <w:rPr>
                <w:sz w:val="19"/>
              </w:rPr>
              <w:t>I_x=∑_{h,k∈H_x}conj(a_h)·(Γ_x)_{hk}a_k=a_x†Γ_xa_x≥0.Γ_x=I gives distinguishable/incoherent weight ∑ abs(a_h)².Γ_x=11† gives coherent weight abs(∑a_h)².</w:t>
            </w:r>
          </w:p>
        </w:tc>
      </w:tr>
      <w:tr>
        <w:trPr/>
        <w:tc>
          <w:tcPr>
            <w:tcW w:w="2621" w:type="dxa"/>
            <w:tcBorders/>
            <w:vAlign w:val="top"/>
            <w:shd w:fill="F7F9FB"/>
          </w:tcPr>
          <w:p>
            <w:pPr>
              <w:pStyle w:val="Normal"/>
              <w:spacing w:before="0" w:after="40" w:line="240" w:lineRule="auto"/>
              <w:rPr>
                <w:b/>
                <w:bCs/>
              </w:rPr>
            </w:pPr>
            <w:r>
              <w:rPr>
                <w:b/>
                <w:bCs/>
                <w:sz w:val="19"/>
              </w:rPr>
              <w:t>Constructor or predicate</w:t>
            </w:r>
          </w:p>
        </w:tc>
        <w:tc>
          <w:tcPr>
            <w:tcW w:w="6739" w:type="dxa"/>
            <w:tcBorders/>
            <w:vAlign w:val="top"/>
            <w:shd w:fill="F7F9FB"/>
          </w:tcPr>
          <w:p>
            <w:pPr>
              <w:pStyle w:val="Normal"/>
              <w:widowControl/>
              <w:bidi w:val="0"/>
              <w:spacing w:lineRule="auto" w:line="240" w:before="0" w:after="40"/>
              <w:jc w:val="start"/>
              <w:rPr/>
            </w:pPr>
            <w:r>
              <w:rPr>
                <w:sz w:val="19"/>
              </w:rPr>
              <w:t>Declare what β preserves. Route-distinguishable β retains h; shared-endpoint β factors through π. Even shared readout does not create off-diagonal coherence: Γ_x and amplitudes remain supplied inputs.</w:t>
            </w:r>
          </w:p>
        </w:tc>
      </w:tr>
      <w:tr>
        <w:trPr/>
        <w:tc>
          <w:tcPr>
            <w:tcW w:w="2621" w:type="dxa"/>
            <w:tcBorders/>
            <w:vAlign w:val="top"/>
          </w:tcPr>
          <w:p>
            <w:pPr>
              <w:pStyle w:val="Normal"/>
              <w:spacing w:before="0" w:after="40" w:line="240" w:lineRule="auto"/>
              <w:rPr>
                <w:b/>
                <w:bCs/>
              </w:rPr>
            </w:pPr>
            <w:r>
              <w:rPr>
                <w:b/>
                <w:bCs/>
                <w:sz w:val="19"/>
              </w:rPr>
              <w:t>Assumptions and cost</w:t>
            </w:r>
          </w:p>
        </w:tc>
        <w:tc>
          <w:tcPr>
            <w:tcW w:w="6739" w:type="dxa"/>
            <w:tcBorders/>
            <w:vAlign w:val="top"/>
          </w:tcPr>
          <w:p>
            <w:pPr>
              <w:pStyle w:val="Normal"/>
              <w:widowControl/>
              <w:bidi w:val="0"/>
              <w:spacing w:lineRule="auto" w:line="240" w:before="0" w:after="40"/>
              <w:jc w:val="start"/>
              <w:rPr/>
            </w:pPr>
            <w:r>
              <w:rPr>
                <w:sz w:val="19"/>
              </w:rPr>
              <w:t>Retained histories, interface definition, complex arithmetic, amplitudes, Hermitian PSD Γ_x, phase reference, scale/normalization convention, and readout scope.</w:t>
            </w:r>
          </w:p>
        </w:tc>
      </w:tr>
      <w:tr>
        <w:trPr/>
        <w:tc>
          <w:tcPr>
            <w:tcW w:w="2621" w:type="dxa"/>
            <w:tcBorders/>
            <w:vAlign w:val="top"/>
            <w:shd w:fill="F7F9FB"/>
          </w:tcPr>
          <w:p>
            <w:pPr>
              <w:pStyle w:val="Normal"/>
              <w:spacing w:before="0" w:after="40" w:line="240" w:lineRule="auto"/>
              <w:rPr>
                <w:b/>
                <w:bCs/>
              </w:rPr>
            </w:pPr>
            <w:r>
              <w:rPr>
                <w:b/>
                <w:bCs/>
                <w:sz w:val="19"/>
              </w:rPr>
              <w:t>Preservation account</w:t>
            </w:r>
          </w:p>
        </w:tc>
        <w:tc>
          <w:tcPr>
            <w:tcW w:w="6739" w:type="dxa"/>
            <w:tcBorders/>
            <w:vAlign w:val="top"/>
            <w:shd w:fill="F7F9FB"/>
          </w:tcPr>
          <w:p>
            <w:pPr>
              <w:pStyle w:val="Normal"/>
              <w:widowControl/>
              <w:bidi w:val="0"/>
              <w:spacing w:lineRule="auto" w:line="240" w:before="0" w:after="40"/>
              <w:jc w:val="start"/>
              <w:rPr/>
            </w:pPr>
            <w:r>
              <w:rPr>
                <w:sz w:val="19"/>
              </w:rPr>
              <w:t>Each history and endpoint, β-equivalence class, amplitudes, coherence coefficients, relative amplitude phases, computed intensity, normalization status, and provenance.</w:t>
            </w:r>
          </w:p>
        </w:tc>
      </w:tr>
      <w:tr>
        <w:trPr/>
        <w:tc>
          <w:tcPr>
            <w:tcW w:w="2621" w:type="dxa"/>
            <w:tcBorders/>
            <w:vAlign w:val="top"/>
          </w:tcPr>
          <w:p>
            <w:pPr>
              <w:pStyle w:val="Normal"/>
              <w:spacing w:before="0" w:after="40" w:line="240" w:lineRule="auto"/>
              <w:rPr>
                <w:b/>
                <w:bCs/>
              </w:rPr>
            </w:pPr>
            <w:r>
              <w:rPr>
                <w:b/>
                <w:bCs/>
                <w:sz w:val="19"/>
              </w:rPr>
              <w:t>Predecessor and strictness</w:t>
            </w:r>
          </w:p>
        </w:tc>
        <w:tc>
          <w:tcPr>
            <w:tcW w:w="6739" w:type="dxa"/>
            <w:tcBorders/>
            <w:vAlign w:val="top"/>
          </w:tcPr>
          <w:p>
            <w:pPr>
              <w:pStyle w:val="Normal"/>
              <w:widowControl/>
              <w:bidi w:val="0"/>
              <w:spacing w:lineRule="auto" w:line="240" w:before="0" w:after="40"/>
              <w:jc w:val="start"/>
              <w:rPr/>
            </w:pPr>
            <w:r>
              <w:rPr>
                <w:sz w:val="19"/>
              </w:rPr>
              <w:t>Coincident arithmetic endpoints with Γ off-diagonal zero do not interfere. Deleting amplitudes/coherence returns the history multiplicity card without an intensity. Route indistinguishability and coherence are noncoercive.</w:t>
            </w:r>
          </w:p>
        </w:tc>
      </w:tr>
      <w:tr>
        <w:trPr/>
        <w:tc>
          <w:tcPr>
            <w:tcW w:w="2621" w:type="dxa"/>
            <w:tcBorders/>
            <w:vAlign w:val="top"/>
            <w:shd w:fill="F7F9FB"/>
          </w:tcPr>
          <w:p>
            <w:pPr>
              <w:pStyle w:val="Normal"/>
              <w:spacing w:before="0" w:after="40" w:line="240" w:lineRule="auto"/>
              <w:rPr>
                <w:b/>
                <w:bCs/>
              </w:rPr>
            </w:pPr>
            <w:r>
              <w:rPr>
                <w:b/>
                <w:bCs/>
                <w:sz w:val="19"/>
              </w:rPr>
              <w:t>Claim class and status</w:t>
            </w:r>
          </w:p>
        </w:tc>
        <w:tc>
          <w:tcPr>
            <w:tcW w:w="6739" w:type="dxa"/>
            <w:tcBorders/>
            <w:vAlign w:val="top"/>
            <w:shd w:fill="F7F9FB"/>
          </w:tcPr>
          <w:p>
            <w:pPr>
              <w:pStyle w:val="Normal"/>
              <w:widowControl/>
              <w:bidi w:val="0"/>
              <w:spacing w:lineRule="auto" w:line="240" w:before="0" w:after="40"/>
              <w:jc w:val="start"/>
              <w:rPr/>
            </w:pPr>
            <w:r>
              <w:rPr>
                <w:sz w:val="19"/>
              </w:rPr>
              <w:t>Optional algebraic branch. Nonnegativity follows from Γ_x being Hermitian PSD; physical or probabilistic readings require new adapters.</w:t>
            </w:r>
          </w:p>
        </w:tc>
      </w:tr>
      <w:tr>
        <w:trPr/>
        <w:tc>
          <w:tcPr>
            <w:tcW w:w="2621" w:type="dxa"/>
            <w:tcBorders/>
            <w:vAlign w:val="top"/>
          </w:tcPr>
          <w:p>
            <w:pPr>
              <w:pStyle w:val="Normal"/>
              <w:spacing w:before="0" w:after="40" w:line="240" w:lineRule="auto"/>
              <w:rPr>
                <w:b/>
                <w:bCs/>
              </w:rPr>
            </w:pPr>
            <w:r>
              <w:rPr>
                <w:b/>
                <w:bCs/>
                <w:sz w:val="19"/>
              </w:rPr>
              <w:t>Tests and falsifier</w:t>
            </w:r>
          </w:p>
        </w:tc>
        <w:tc>
          <w:tcPr>
            <w:tcW w:w="6739" w:type="dxa"/>
            <w:tcBorders/>
            <w:vAlign w:val="top"/>
          </w:tcPr>
          <w:p>
            <w:pPr>
              <w:pStyle w:val="Normal"/>
              <w:widowControl/>
              <w:bidi w:val="0"/>
              <w:spacing w:lineRule="auto" w:line="240" w:before="0" w:after="40"/>
              <w:jc w:val="start"/>
              <w:rPr/>
            </w:pPr>
            <w:r>
              <w:rPr>
                <w:sz w:val="19"/>
              </w:rPr>
              <w:t>Reject non-Hermitian or non-PSD Γ; distinguishable coincident routes; aligned and opposed unit-amplitude fixtures; amplitude-phase mutation; zero total normalization control; interface-role typing; delete, swap, predecessor, witness, finite-check, ceiling, and return tests.</w:t>
            </w:r>
          </w:p>
        </w:tc>
      </w:tr>
      <w:tr>
        <w:trPr/>
        <w:tc>
          <w:tcPr>
            <w:tcW w:w="2621" w:type="dxa"/>
            <w:tcBorders/>
            <w:vAlign w:val="top"/>
            <w:shd w:fill="F7F9FB"/>
          </w:tcPr>
          <w:p>
            <w:pPr>
              <w:pStyle w:val="Normal"/>
              <w:spacing w:before="0" w:after="40" w:line="240" w:lineRule="auto"/>
              <w:rPr>
                <w:b/>
                <w:bCs/>
              </w:rPr>
            </w:pPr>
            <w:r>
              <w:rPr>
                <w:b/>
                <w:bCs/>
                <w:sz w:val="19"/>
              </w:rPr>
              <w:t>Authority ceiling</w:t>
            </w:r>
          </w:p>
        </w:tc>
        <w:tc>
          <w:tcPr>
            <w:tcW w:w="6739" w:type="dxa"/>
            <w:tcBorders/>
            <w:vAlign w:val="top"/>
            <w:shd w:fill="F7F9FB"/>
          </w:tcPr>
          <w:p>
            <w:pPr>
              <w:pStyle w:val="Normal"/>
              <w:widowControl/>
              <w:bidi w:val="0"/>
              <w:spacing w:lineRule="auto" w:line="240" w:before="0" w:after="40"/>
              <w:jc w:val="start"/>
              <w:rPr/>
            </w:pPr>
            <w:r>
              <w:rPr>
                <w:sz w:val="19"/>
              </w:rPr>
              <w:t>No Hilbert-state dynamics, Born rule, probability, normalization conservation, measurement postulate, decoherence mechanism, wavefunction collapse, physical interference, quantum derivation, Lagrange dynamics, or ontology.</w:t>
            </w:r>
          </w:p>
        </w:tc>
      </w:tr>
      <w:tr>
        <w:trPr/>
        <w:tc>
          <w:tcPr>
            <w:tcW w:w="2621" w:type="dxa"/>
            <w:tcBorders/>
            <w:vAlign w:val="top"/>
          </w:tcPr>
          <w:p>
            <w:pPr>
              <w:pStyle w:val="Normal"/>
              <w:spacing w:before="0" w:after="40" w:line="240" w:lineRule="auto"/>
              <w:rPr>
                <w:b/>
                <w:bCs/>
              </w:rPr>
            </w:pPr>
            <w:r>
              <w:rPr>
                <w:b/>
                <w:bCs/>
                <w:sz w:val="19"/>
              </w:rPr>
              <w:t>Residual</w:t>
            </w:r>
          </w:p>
        </w:tc>
        <w:tc>
          <w:tcPr>
            <w:tcW w:w="6739" w:type="dxa"/>
            <w:tcBorders/>
            <w:vAlign w:val="top"/>
          </w:tcPr>
          <w:p>
            <w:pPr>
              <w:pStyle w:val="Normal"/>
              <w:widowControl/>
              <w:bidi w:val="0"/>
              <w:spacing w:lineRule="auto" w:line="240" w:before="0" w:after="40"/>
              <w:jc w:val="start"/>
              <w:rPr/>
            </w:pPr>
            <w:r>
              <w:rPr>
                <w:sz w:val="19"/>
              </w:rPr>
              <w:t>Source and meaning of amplitudes/coherence, detector physics, normalization, noise, phase coupling, empirical calibration, and alternative readouts.</w:t>
            </w:r>
          </w:p>
        </w:tc>
      </w:tr>
      <w:tr>
        <w:trPr/>
        <w:tc>
          <w:tcPr>
            <w:tcW w:w="2621" w:type="dxa"/>
            <w:tcBorders/>
            <w:vAlign w:val="top"/>
            <w:shd w:fill="F7F9FB"/>
          </w:tcPr>
          <w:p>
            <w:pPr>
              <w:pStyle w:val="Normal"/>
              <w:spacing w:before="0" w:after="40" w:line="240" w:lineRule="auto"/>
              <w:rPr>
                <w:b/>
                <w:bCs/>
              </w:rPr>
            </w:pPr>
            <w:r>
              <w:rPr>
                <w:b/>
                <w:bCs/>
                <w:sz w:val="19"/>
              </w:rPr>
              <w:t>Return-to-PAL handle</w:t>
            </w:r>
          </w:p>
        </w:tc>
        <w:tc>
          <w:tcPr>
            <w:tcW w:w="6739" w:type="dxa"/>
            <w:tcBorders/>
            <w:vAlign w:val="top"/>
            <w:shd w:fill="F7F9FB"/>
          </w:tcPr>
          <w:p>
            <w:pPr>
              <w:pStyle w:val="Normal"/>
              <w:widowControl/>
              <w:bidi w:val="0"/>
              <w:spacing w:lineRule="auto" w:line="240" w:before="0" w:after="40"/>
              <w:jc w:val="start"/>
              <w:rPr/>
            </w:pPr>
            <w:r>
              <w:rPr>
                <w:sz w:val="19"/>
              </w:rPr>
              <w:t>A changed history set, endpoint, β, amplitude, Γ, phase reference, normalization, detector, or evidence reopens the intensity receipt while preserving the arithmetic and route histories.</w:t>
            </w:r>
          </w:p>
        </w:tc>
      </w:tr>
      <w:tr>
        <w:trPr/>
        <w:tc>
          <w:tcPr>
            <w:tcW w:w="2621" w:type="dxa"/>
            <w:tcBorders/>
            <w:vAlign w:val="top"/>
          </w:tcPr>
          <w:p>
            <w:pPr>
              <w:pStyle w:val="Normal"/>
              <w:spacing w:before="0" w:after="40" w:line="240" w:lineRule="auto"/>
              <w:rPr>
                <w:b/>
                <w:bCs/>
              </w:rPr>
            </w:pPr>
            <w:r>
              <w:rPr>
                <w:b/>
                <w:bCs/>
                <w:sz w:val="19"/>
              </w:rPr>
              <w:t>Sources</w:t>
            </w:r>
          </w:p>
        </w:tc>
        <w:tc>
          <w:tcPr>
            <w:tcW w:w="6739" w:type="dxa"/>
            <w:tcBorders/>
            <w:vAlign w:val="top"/>
          </w:tcPr>
          <w:p>
            <w:pPr>
              <w:pStyle w:val="Normal"/>
              <w:widowControl/>
              <w:bidi w:val="0"/>
              <w:spacing w:lineRule="auto" w:line="240" w:before="0" w:after="40"/>
              <w:jc w:val="start"/>
              <w:rPr/>
            </w:pPr>
            <w:r>
              <w:rPr>
                <w:sz w:val="19"/>
              </w:rPr>
              <w:t>M-INTERFACE-FIBER and M-RNBW-WEAVE; standard positive-semidefinite quadratic-form algebra; PAL v2.3 synthesis.</w:t>
            </w:r>
          </w:p>
        </w:tc>
      </w:tr>
    </w:tbl>
    <w:p>
      <w:pPr>
        <w:pStyle w:val="Normal"/>
        <w:rPr/>
      </w:pPr>
      <w:r>
        <w:rPr/>
        <w:t>For the two middle histories +− and −+ of 49, write (Γ_0)_{12}=γ, |γ|≤1. Then</w:t>
      </w:r>
    </w:p>
    <w:p>
      <w:pPr>
        <w:pStyle w:val="BodyText"/>
        <w:rPr/>
      </w:pPr>
      <w:r>
        <w:rPr/>
        <w:t>I_0=|a_{+−}|²+|a_{−+}|²+2 Re(γ conj(a_{+−})·a_{−+}).</w:t>
      </w:r>
    </w:p>
    <w:p>
      <w:pPr>
        <w:pStyle w:val="BodyText"/>
        <w:rPr/>
      </w:pPr>
      <w:r>
        <w:rPr/>
        <w:t>For unit amplitudes the general expression is I_0=2+2 Re(γ e^{iΔδ}), where Δδ is the phase of a_{−+} relative to a_{+−}. Under the fully coherent fixture Γ_0=11†, hence γ=1, this becomes I_0=2+2cos Δδ. The amplitude phase is not the geometric prime angle φ_p or a path area unless another adapter is supplied. The three unnormalized endpoint ratios are:</w:t>
      </w:r>
    </w:p>
    <w:p>
      <w:pPr>
        <w:pStyle w:val="BodyText"/>
        <w:numPr>
          <w:ilvl w:val="0"/>
          <w:numId w:val="11"/>
        </w:numPr>
        <w:spacing w:before="0" w:after="0"/>
        <w:rPr/>
      </w:pPr>
      <w:r>
        <w:rPr/>
        <w:t>distinguishable/incoherent: 1:2:1;</w:t>
      </w:r>
    </w:p>
    <w:p>
      <w:pPr>
        <w:pStyle w:val="BodyText"/>
        <w:numPr>
          <w:ilvl w:val="0"/>
          <w:numId w:val="11"/>
        </w:numPr>
        <w:spacing w:before="0" w:after="0"/>
        <w:rPr/>
      </w:pPr>
      <w:r>
        <w:rPr/>
        <w:t>fully coherent (γ=1) and aligned: 1:4:1;</w:t>
      </w:r>
    </w:p>
    <w:p>
      <w:pPr>
        <w:pStyle w:val="BodyText"/>
        <w:numPr>
          <w:ilvl w:val="0"/>
          <w:numId w:val="11"/>
        </w:numPr>
        <w:spacing w:before="0" w:after="0"/>
        <w:rPr/>
      </w:pPr>
      <w:r>
        <w:rPr/>
        <w:t>fully coherent (γ=1) and opposed: 1:0:1.</w:t>
      </w:r>
    </w:p>
    <w:p>
      <w:pPr>
        <w:pStyle w:val="Normal"/>
        <w:rPr/>
      </w:pPr>
      <w:r>
        <w:rPr/>
        <w:t>These are intensities or weights, not probabilities. Optional normalization P_x=I_x/∑_y I_y requires a positive denominator and a separately declared probabilistic readout.</w:t>
      </w:r>
    </w:p>
    <w:p>
      <w:pPr>
        <w:pStyle w:val="BodyText"/>
        <w:rPr/>
      </w:pPr>
      <w:r>
        <w:rPr>
          <w:b/>
          <w:bCs/>
        </w:rPr>
        <w:t>Conditional extension profile.</w:t>
      </w:r>
      <w:r>
        <w:rPr/>
        <w:t xml:space="preserve"> Carrier/model envelope: finite retained-history fibers H_x with complex amplitude vectors and Hermitian PSD coherence matrices Γ_x. Scale, resolution, admissible differences, and tolerance: amplitude scale/normalization, phase reference, detector resolution, admissible intensity range, and numerical tolerance are supplied; symbolic fixtures use exact arithmetic. Boundary role/domain/scope: β is an INTERFACE readout on the declared lifted states, never CUT, and only within its named endpoint/readout class. Orientation/coefficient system: complex amplitudes, conjugation, relative phases, and Γ_x coefficients are explicit. Quantifiers: finite over each supplied H_x; no infinite sum, dynamics, or state evolution is claimed. Map/projector/fibers/reachable image: endpoint projection π, interface β, β-fibers, history fibers, and reachable nonnegative intensities are explicit. Detector/requested answer: β states which routes are distinguishable; the requested answer is I_x, with probability a separate optional request. Reachable decoder/totalization: the algebraic intensity readout is defined on supplied valid amplitude/coherence inputs; probability totalization requires ∑I_y&gt;0 and is not available at zero denominator. Decoder class: finite algebraic only, with no physical or probabilistic class inherited. Separations: endpoint, path, relation, history receipt, work, audit, grant, resource, external-terminal state, distinguishability, coherence, intensity, probability, and authority remain distinct. Claim labels: PSD nonnegativity is exact algebra; aligned/opposed cases are finite fixtures; “interference” is the declared adapter interpretation; PAL interface placement is v2.3 synthesis; ribbon thickness/color are presentation. Residual/reopening: the Residual and Return-to-PAL rows control history, β, amplitudes, Γ, normalization, detector, evidence, witness, or ceiling changes.</w:t>
      </w:r>
    </w:p>
    <w:p>
      <w:pPr>
        <w:pStyle w:val="Normal"/>
        <w:keepNext/>
        <w:keepLines/>
        <w:rPr/>
      </w:pPr>
      <w:r>
        <w:rPr/>
        <w:drawing>
          <wp:inline distT="0" distB="0" distL="0" distR="0">
            <wp:extent cx="5715000" cy="3714750"/>
            <wp:effectExtent l="0" t="0" r="0" b="0"/>
            <wp:docPr id="6" name="RAINBOW-PLATE-05" title="RAINBOW-PLATE-05" descr="Boundary-orbit interference adapter comparing distinguishable, aligned coherent, and opposed coherent route reado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715000" cy="3714750"/>
                    </a:xfrm>
                    <a:prstGeom prst="rect">
                      <a:avLst/>
                    </a:prstGeom>
                    <a:noFill/>
                  </pic:spPr>
                </pic:pic>
              </a:graphicData>
            </a:graphic>
          </wp:inline>
        </w:drawing>
      </w:r>
    </w:p>
    <w:p>
      <w:pPr>
        <w:pStyle w:val="Normal"/>
        <w:rPr/>
      </w:pPr>
      <w:r>
        <w:rPr/>
        <w:t>Three panels compare distinguishable middle routes, aligned coherent routes, and opposed coherent routes, producing endpoint intensity ratios 1:2:1, 1:4:1, and 1:0:1.</w:t>
      </w:r>
    </w:p>
    <w:p>
      <w:pPr>
        <w:pStyle w:val="BodyText"/>
        <w:keepLines/>
        <w:rPr/>
      </w:pPr>
      <w:r>
        <w:rPr>
          <w:b/>
          <w:bCs/>
        </w:rPr>
        <w:t>RAINBOW-PLATE-05 — Boundary-orbit interference adapter.</w:t>
      </w:r>
      <w:r>
        <w:rPr/>
        <w:t xml:space="preserve"> The two middle histories of 49 reach one arithmetic packet but need not interfere. Retained distinguishable routes give middle weight 2. A separately supplied interface identification, complex amplitudes, and coherence matrix can give middle intensity 2+2cos Δδ: 4 when aligned and 0 when opposed. In the general formula, the star denotes complex conjugation and |γ|≤1 is a declared coherence factor. </w:t>
      </w:r>
      <w:r>
        <w:rPr>
          <w:b/>
          <w:bCs/>
        </w:rPr>
        <w:t>Claim status:</w:t>
      </w:r>
      <w:r>
        <w:rPr/>
        <w:t xml:space="preserve"> constructed optional amplitude adapter; arithmetic coincidence alone supplies no cross-term. </w:t>
      </w:r>
      <w:r>
        <w:rPr>
          <w:b/>
          <w:bCs/>
        </w:rPr>
        <w:t>Source/provenance:</w:t>
      </w:r>
      <w:r>
        <w:rPr/>
        <w:t xml:space="preserve"> M-RNBW-AMPLITUDE and the adopted SVG plate suite. No physical wavefunction collapse or quantum derivation is asserted.</w:t>
      </w:r>
    </w:p>
    <w:p>
      <w:pPr>
        <w:pStyle w:val="Heading1"/>
        <w:keepNext/>
        <w:keepLines/>
        <w:rPr/>
      </w:pPr>
      <w:bookmarkStart w:id="66" w:name="provenance-and-v2.2v2.3-change-log"/>
      <w:r>
        <w:rPr/>
        <w:t>11. Provenance and v2.2→v2.3 change log</w:t>
      </w:r>
      <w:bookmarkEnd w:id="66"/>
    </w:p>
    <w:p>
      <w:pPr>
        <w:pStyle w:val="Heading2"/>
        <w:keepNext/>
        <w:keepLines/>
        <w:rPr/>
      </w:pPr>
      <w:bookmarkStart w:id="67" w:name="source-role-and-claim-layer-matrix"/>
      <w:r>
        <w:rPr/>
        <w:t>Source-role and claim-layer matrix</w:t>
      </w:r>
      <w:bookmarkEnd w:id="6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Source</w:t>
            </w:r>
          </w:p>
        </w:tc>
        <w:tc>
          <w:tcPr>
            <w:tcW w:w="2340" w:type="dxa"/>
            <w:tcBorders/>
            <w:vAlign w:val="top"/>
            <w:shd w:fill="DCE6F1"/>
          </w:tcPr>
          <w:p>
            <w:pPr>
              <w:pStyle w:val="Normal"/>
              <w:spacing w:before="0" w:after="40" w:line="240" w:lineRule="auto"/>
              <w:rPr>
                <w:b/>
                <w:bCs/>
              </w:rPr>
            </w:pPr>
            <w:r>
              <w:rPr>
                <w:b/>
                <w:bCs/>
                <w:color w:val="1F4D78"/>
                <w:sz w:val="18"/>
              </w:rPr>
              <w:t>Exact prior contribution</w:t>
            </w:r>
          </w:p>
        </w:tc>
        <w:tc>
          <w:tcPr>
            <w:tcW w:w="2340" w:type="dxa"/>
            <w:tcBorders/>
            <w:vAlign w:val="top"/>
            <w:shd w:fill="DCE6F1"/>
          </w:tcPr>
          <w:p>
            <w:pPr>
              <w:pStyle w:val="Normal"/>
              <w:spacing w:before="0" w:after="40" w:line="240" w:lineRule="auto"/>
              <w:rPr>
                <w:b/>
                <w:bCs/>
              </w:rPr>
            </w:pPr>
            <w:r>
              <w:rPr>
                <w:b/>
                <w:bCs/>
                <w:color w:val="1F4D78"/>
                <w:sz w:val="18"/>
              </w:rPr>
              <w:t>PAL v2.3 placement or synthesis</w:t>
            </w:r>
          </w:p>
        </w:tc>
        <w:tc>
          <w:tcPr>
            <w:tcW w:w="2340" w:type="dxa"/>
            <w:tcBorders/>
            <w:vAlign w:val="top"/>
            <w:shd w:fill="DCE6F1"/>
          </w:tcPr>
          <w:p>
            <w:pPr>
              <w:pStyle w:val="Normal"/>
              <w:spacing w:before="0" w:after="40" w:line="240" w:lineRule="auto"/>
              <w:rPr>
                <w:b/>
                <w:bCs/>
              </w:rPr>
            </w:pPr>
            <w:r>
              <w:rPr>
                <w:b/>
                <w:bCs/>
                <w:color w:val="1F4D78"/>
                <w:sz w:val="18"/>
              </w:rPr>
              <w:t>Authority ceiling</w:t>
            </w:r>
          </w:p>
        </w:tc>
      </w:tr>
      <w:tr>
        <w:trPr/>
        <w:tc>
          <w:tcPr>
            <w:tcW w:w="2340" w:type="dxa"/>
            <w:tcBorders/>
            <w:vAlign w:val="top"/>
          </w:tcPr>
          <w:p>
            <w:pPr>
              <w:pStyle w:val="Normal"/>
              <w:widowControl/>
              <w:bidi w:val="0"/>
              <w:spacing w:lineRule="auto" w:line="240" w:before="0" w:after="40"/>
              <w:jc w:val="start"/>
              <w:rPr/>
            </w:pPr>
            <w:r>
              <w:rPr>
                <w:sz w:val="18"/>
              </w:rPr>
              <w:t>PAL v2.2 [V1]</w:t>
            </w:r>
          </w:p>
        </w:tc>
        <w:tc>
          <w:tcPr>
            <w:tcW w:w="2340" w:type="dxa"/>
            <w:tcBorders/>
            <w:vAlign w:val="top"/>
          </w:tcPr>
          <w:p>
            <w:pPr>
              <w:pStyle w:val="Normal"/>
              <w:widowControl/>
              <w:bidi w:val="0"/>
              <w:spacing w:lineRule="auto" w:line="240" w:before="0" w:after="40"/>
              <w:jc w:val="start"/>
              <w:rPr/>
            </w:pPr>
            <w:r>
              <w:rPr>
                <w:sz w:val="18"/>
              </w:rPr>
              <w:t>Five-face spine/card/ledger/test/compatibility baseline and all 34 inherited Atlas cards.</w:t>
            </w:r>
          </w:p>
        </w:tc>
        <w:tc>
          <w:tcPr>
            <w:tcW w:w="2340" w:type="dxa"/>
            <w:tcBorders/>
            <w:vAlign w:val="top"/>
          </w:tcPr>
          <w:p>
            <w:pPr>
              <w:pStyle w:val="Normal"/>
              <w:widowControl/>
              <w:bidi w:val="0"/>
              <w:spacing w:lineRule="auto" w:line="240" w:before="0" w:after="40"/>
              <w:jc w:val="start"/>
              <w:rPr/>
            </w:pPr>
            <w:r>
              <w:rPr>
                <w:sz w:val="18"/>
              </w:rPr>
              <w:t>Immediate predecessor and preservation boundary.</w:t>
            </w:r>
          </w:p>
        </w:tc>
        <w:tc>
          <w:tcPr>
            <w:tcW w:w="2340" w:type="dxa"/>
            <w:tcBorders/>
            <w:vAlign w:val="top"/>
          </w:tcPr>
          <w:p>
            <w:pPr>
              <w:pStyle w:val="Normal"/>
              <w:widowControl/>
              <w:bidi w:val="0"/>
              <w:spacing w:lineRule="auto" w:line="240" w:before="0" w:after="40"/>
              <w:jc w:val="start"/>
              <w:rPr/>
            </w:pPr>
            <w:r>
              <w:rPr>
                <w:sz w:val="18"/>
              </w:rPr>
              <w:t>Publication predecessor; not independent confirmation of v2.3.</w:t>
            </w:r>
          </w:p>
        </w:tc>
      </w:tr>
      <w:tr>
        <w:trPr/>
        <w:tc>
          <w:tcPr>
            <w:tcW w:w="2340" w:type="dxa"/>
            <w:tcBorders/>
            <w:vAlign w:val="top"/>
            <w:shd w:fill="F7F9FB"/>
          </w:tcPr>
          <w:p>
            <w:pPr>
              <w:pStyle w:val="Normal"/>
              <w:widowControl/>
              <w:bidi w:val="0"/>
              <w:spacing w:lineRule="auto" w:line="240" w:before="0" w:after="40"/>
              <w:jc w:val="start"/>
              <w:rPr/>
            </w:pPr>
            <w:r>
              <w:rPr>
                <w:sz w:val="18"/>
              </w:rPr>
              <w:t>APCI v1.0.0 [V5]</w:t>
            </w:r>
          </w:p>
        </w:tc>
        <w:tc>
          <w:tcPr>
            <w:tcW w:w="2340" w:type="dxa"/>
            <w:tcBorders/>
            <w:vAlign w:val="top"/>
            <w:shd w:fill="F7F9FB"/>
          </w:tcPr>
          <w:p>
            <w:pPr>
              <w:pStyle w:val="Normal"/>
              <w:widowControl/>
              <w:bidi w:val="0"/>
              <w:spacing w:lineRule="auto" w:line="240" w:before="0" w:after="40"/>
              <w:jc w:val="start"/>
              <w:rPr/>
            </w:pPr>
            <w:r>
              <w:rPr>
                <w:sz w:val="18"/>
              </w:rPr>
              <w:t>Reachable-image factorization, left-inverse/injectivity controls, collision persistence, finite capacity, and empty-type control.</w:t>
            </w:r>
          </w:p>
        </w:tc>
        <w:tc>
          <w:tcPr>
            <w:tcW w:w="2340" w:type="dxa"/>
            <w:tcBorders/>
            <w:vAlign w:val="top"/>
            <w:shd w:fill="F7F9FB"/>
          </w:tcPr>
          <w:p>
            <w:pPr>
              <w:pStyle w:val="Normal"/>
              <w:widowControl/>
              <w:bidi w:val="0"/>
              <w:spacing w:lineRule="auto" w:line="240" w:before="0" w:after="40"/>
              <w:jc w:val="start"/>
              <w:rPr/>
            </w:pPr>
            <w:r>
              <w:rPr>
                <w:sz w:val="18"/>
              </w:rPr>
              <w:t>M-INTERFACE-FIBER.</w:t>
            </w:r>
          </w:p>
        </w:tc>
        <w:tc>
          <w:tcPr>
            <w:tcW w:w="2340" w:type="dxa"/>
            <w:tcBorders/>
            <w:vAlign w:val="top"/>
            <w:shd w:fill="F7F9FB"/>
          </w:tcPr>
          <w:p>
            <w:pPr>
              <w:pStyle w:val="Normal"/>
              <w:widowControl/>
              <w:bidi w:val="0"/>
              <w:spacing w:lineRule="auto" w:line="240" w:before="0" w:after="40"/>
              <w:jc w:val="start"/>
              <w:rPr/>
            </w:pPr>
            <w:r>
              <w:rPr>
                <w:sz w:val="18"/>
              </w:rPr>
              <w:t>Set-theoretic unless strengthened; no automatic computability, efficiency, permission, or authority.</w:t>
            </w:r>
          </w:p>
        </w:tc>
      </w:tr>
      <w:tr>
        <w:trPr/>
        <w:tc>
          <w:tcPr>
            <w:tcW w:w="2340" w:type="dxa"/>
            <w:tcBorders/>
            <w:vAlign w:val="top"/>
          </w:tcPr>
          <w:p>
            <w:pPr>
              <w:pStyle w:val="Normal"/>
              <w:widowControl/>
              <w:bidi w:val="0"/>
              <w:spacing w:lineRule="auto" w:line="240" w:before="0" w:after="40"/>
              <w:jc w:val="start"/>
              <w:rPr/>
            </w:pPr>
            <w:r>
              <w:rPr>
                <w:sz w:val="18"/>
              </w:rPr>
              <w:t>Abstract Loops v1.0 [V6]</w:t>
            </w:r>
          </w:p>
        </w:tc>
        <w:tc>
          <w:tcPr>
            <w:tcW w:w="2340" w:type="dxa"/>
            <w:tcBorders/>
            <w:vAlign w:val="top"/>
          </w:tcPr>
          <w:p>
            <w:pPr>
              <w:pStyle w:val="Normal"/>
              <w:widowControl/>
              <w:bidi w:val="0"/>
              <w:spacing w:lineRule="auto" w:line="240" w:before="0" w:after="40"/>
              <w:jc w:val="start"/>
              <w:rPr/>
            </w:pPr>
            <w:r>
              <w:rPr>
                <w:sz w:val="18"/>
              </w:rPr>
              <w:t>Common-refinement identity; typed cut witnesses; direct residual, collapse, return, export, and joint-trace axes.</w:t>
            </w:r>
          </w:p>
        </w:tc>
        <w:tc>
          <w:tcPr>
            <w:tcW w:w="2340" w:type="dxa"/>
            <w:tcBorders/>
            <w:vAlign w:val="top"/>
          </w:tcPr>
          <w:p>
            <w:pPr>
              <w:pStyle w:val="Normal"/>
              <w:widowControl/>
              <w:bidi w:val="0"/>
              <w:spacing w:lineRule="auto" w:line="240" w:before="0" w:after="40"/>
              <w:jc w:val="start"/>
              <w:rPr/>
            </w:pPr>
            <w:r>
              <w:rPr>
                <w:sz w:val="18"/>
              </w:rPr>
              <w:t>M-RETURN-PROJ and F-ABSTRACT-JOINT.</w:t>
            </w:r>
          </w:p>
        </w:tc>
        <w:tc>
          <w:tcPr>
            <w:tcW w:w="2340" w:type="dxa"/>
            <w:tcBorders/>
            <w:vAlign w:val="top"/>
          </w:tcPr>
          <w:p>
            <w:pPr>
              <w:pStyle w:val="Normal"/>
              <w:widowControl/>
              <w:bidi w:val="0"/>
              <w:spacing w:lineRule="auto" w:line="240" w:before="0" w:after="40"/>
              <w:jc w:val="start"/>
              <w:rPr/>
            </w:pPr>
            <w:r>
              <w:rPr>
                <w:sz w:val="18"/>
              </w:rPr>
              <w:t>No unbounded-growth, causal, physical, or consciousness result.</w:t>
            </w:r>
          </w:p>
        </w:tc>
      </w:tr>
      <w:tr>
        <w:trPr/>
        <w:tc>
          <w:tcPr>
            <w:tcW w:w="2340" w:type="dxa"/>
            <w:tcBorders/>
            <w:vAlign w:val="top"/>
            <w:shd w:fill="F7F9FB"/>
          </w:tcPr>
          <w:p>
            <w:pPr>
              <w:pStyle w:val="Normal"/>
              <w:widowControl/>
              <w:bidi w:val="0"/>
              <w:spacing w:lineRule="auto" w:line="240" w:before="0" w:after="40"/>
              <w:jc w:val="start"/>
              <w:rPr/>
            </w:pPr>
            <w:r>
              <w:rPr>
                <w:sz w:val="18"/>
              </w:rPr>
              <w:t>The Context Sets a Rhythm v0.1 [V7]</w:t>
            </w:r>
          </w:p>
        </w:tc>
        <w:tc>
          <w:tcPr>
            <w:tcW w:w="2340" w:type="dxa"/>
            <w:tcBorders/>
            <w:vAlign w:val="top"/>
            <w:shd w:fill="F7F9FB"/>
          </w:tcPr>
          <w:p>
            <w:pPr>
              <w:pStyle w:val="Normal"/>
              <w:widowControl/>
              <w:bidi w:val="0"/>
              <w:spacing w:lineRule="auto" w:line="240" w:before="0" w:after="40"/>
              <w:jc w:val="start"/>
              <w:rPr/>
            </w:pPr>
            <w:r>
              <w:rPr>
                <w:sz w:val="18"/>
              </w:rPr>
              <w:t>Source-declared exogenous pulse-alignment vocabulary.</w:t>
            </w:r>
          </w:p>
        </w:tc>
        <w:tc>
          <w:tcPr>
            <w:tcW w:w="2340" w:type="dxa"/>
            <w:tcBorders/>
            <w:vAlign w:val="top"/>
            <w:shd w:fill="F7F9FB"/>
          </w:tcPr>
          <w:p>
            <w:pPr>
              <w:pStyle w:val="Normal"/>
              <w:widowControl/>
              <w:bidi w:val="0"/>
              <w:spacing w:lineRule="auto" w:line="240" w:before="0" w:after="40"/>
              <w:jc w:val="start"/>
              <w:rPr/>
            </w:pPr>
            <w:r>
              <w:rPr>
                <w:sz w:val="18"/>
              </w:rPr>
              <w:t>Descriptive A13 branch row and namespace separation.</w:t>
            </w:r>
          </w:p>
        </w:tc>
        <w:tc>
          <w:tcPr>
            <w:tcW w:w="2340" w:type="dxa"/>
            <w:tcBorders/>
            <w:vAlign w:val="top"/>
            <w:shd w:fill="F7F9FB"/>
          </w:tcPr>
          <w:p>
            <w:pPr>
              <w:pStyle w:val="Normal"/>
              <w:widowControl/>
              <w:bidi w:val="0"/>
              <w:spacing w:lineRule="auto" w:line="240" w:before="0" w:after="40"/>
              <w:jc w:val="start"/>
              <w:rPr/>
            </w:pPr>
            <w:r>
              <w:rPr>
                <w:sz w:val="18"/>
              </w:rPr>
              <w:t>No theorem/executable use without direct source audit; no heartbeat authority.</w:t>
            </w:r>
          </w:p>
        </w:tc>
      </w:tr>
      <w:tr>
        <w:trPr/>
        <w:tc>
          <w:tcPr>
            <w:tcW w:w="2340" w:type="dxa"/>
            <w:tcBorders/>
            <w:vAlign w:val="top"/>
          </w:tcPr>
          <w:p>
            <w:pPr>
              <w:pStyle w:val="Normal"/>
              <w:widowControl/>
              <w:bidi w:val="0"/>
              <w:spacing w:lineRule="auto" w:line="240" w:before="0" w:after="40"/>
              <w:jc w:val="start"/>
              <w:rPr/>
            </w:pPr>
            <w:r>
              <w:rPr>
                <w:sz w:val="18"/>
              </w:rPr>
              <w:t>GPPR v0.1 [V4]</w:t>
            </w:r>
          </w:p>
        </w:tc>
        <w:tc>
          <w:tcPr>
            <w:tcW w:w="2340" w:type="dxa"/>
            <w:tcBorders/>
            <w:vAlign w:val="top"/>
          </w:tcPr>
          <w:p>
            <w:pPr>
              <w:pStyle w:val="Normal"/>
              <w:widowControl/>
              <w:bidi w:val="0"/>
              <w:spacing w:lineRule="auto" w:line="240" w:before="0" w:after="40"/>
              <w:jc w:val="start"/>
              <w:rPr/>
            </w:pPr>
            <w:r>
              <w:rPr>
                <w:sz w:val="18"/>
              </w:rPr>
              <w:t>Exact prime-valuation monoid encoding and endpoint/event-ribbon separation.</w:t>
            </w:r>
          </w:p>
        </w:tc>
        <w:tc>
          <w:tcPr>
            <w:tcW w:w="2340" w:type="dxa"/>
            <w:tcBorders/>
            <w:vAlign w:val="top"/>
          </w:tcPr>
          <w:p>
            <w:pPr>
              <w:pStyle w:val="Normal"/>
              <w:widowControl/>
              <w:bidi w:val="0"/>
              <w:spacing w:lineRule="auto" w:line="240" w:before="0" w:after="40"/>
              <w:jc w:val="start"/>
              <w:rPr/>
            </w:pPr>
            <w:r>
              <w:rPr>
                <w:sz w:val="18"/>
              </w:rPr>
              <w:t>F-GPPR under O22.</w:t>
            </w:r>
          </w:p>
        </w:tc>
        <w:tc>
          <w:tcPr>
            <w:tcW w:w="2340" w:type="dxa"/>
            <w:tcBorders/>
            <w:vAlign w:val="top"/>
          </w:tcPr>
          <w:p>
            <w:pPr>
              <w:pStyle w:val="Normal"/>
              <w:widowControl/>
              <w:bidi w:val="0"/>
              <w:spacing w:lineRule="auto" w:line="240" w:before="0" w:after="40"/>
              <w:jc w:val="start"/>
              <w:rPr/>
            </w:pPr>
            <w:r>
              <w:rPr>
                <w:sz w:val="18"/>
              </w:rPr>
              <w:t>No finite-bit, factoring, efficient inversion, secrecy, ordering, or measured advantage.</w:t>
            </w:r>
          </w:p>
        </w:tc>
      </w:tr>
      <w:tr>
        <w:trPr/>
        <w:tc>
          <w:tcPr>
            <w:tcW w:w="2340" w:type="dxa"/>
            <w:tcBorders/>
            <w:vAlign w:val="top"/>
            <w:shd w:fill="F7F9FB"/>
          </w:tcPr>
          <w:p>
            <w:pPr>
              <w:pStyle w:val="Normal"/>
              <w:widowControl/>
              <w:bidi w:val="0"/>
              <w:spacing w:lineRule="auto" w:line="240" w:before="0" w:after="40"/>
              <w:jc w:val="start"/>
              <w:rPr/>
            </w:pPr>
            <w:r>
              <w:rPr>
                <w:sz w:val="18"/>
              </w:rPr>
              <w:t>Full Bandwidth Is Not Full Trace v0.1 [V3]</w:t>
            </w:r>
          </w:p>
        </w:tc>
        <w:tc>
          <w:tcPr>
            <w:tcW w:w="2340" w:type="dxa"/>
            <w:tcBorders/>
            <w:vAlign w:val="top"/>
            <w:shd w:fill="F7F9FB"/>
          </w:tcPr>
          <w:p>
            <w:pPr>
              <w:pStyle w:val="Normal"/>
              <w:widowControl/>
              <w:bidi w:val="0"/>
              <w:spacing w:lineRule="auto" w:line="240" w:before="0" w:after="40"/>
              <w:jc w:val="start"/>
              <w:rPr/>
            </w:pPr>
            <w:r>
              <w:rPr>
                <w:sz w:val="18"/>
              </w:rPr>
              <w:t>Separation of latent feedback from typed trace certification.</w:t>
            </w:r>
          </w:p>
        </w:tc>
        <w:tc>
          <w:tcPr>
            <w:tcW w:w="2340" w:type="dxa"/>
            <w:tcBorders/>
            <w:vAlign w:val="top"/>
            <w:shd w:fill="F7F9FB"/>
          </w:tcPr>
          <w:p>
            <w:pPr>
              <w:pStyle w:val="Normal"/>
              <w:widowControl/>
              <w:bidi w:val="0"/>
              <w:spacing w:lineRule="auto" w:line="240" w:before="0" w:after="40"/>
              <w:jc w:val="start"/>
              <w:rPr/>
            </w:pPr>
            <w:r>
              <w:rPr>
                <w:sz w:val="18"/>
              </w:rPr>
              <w:t>Branch/source-map row only.</w:t>
            </w:r>
          </w:p>
        </w:tc>
        <w:tc>
          <w:tcPr>
            <w:tcW w:w="2340" w:type="dxa"/>
            <w:tcBorders/>
            <w:vAlign w:val="top"/>
            <w:shd w:fill="F7F9FB"/>
          </w:tcPr>
          <w:p>
            <w:pPr>
              <w:pStyle w:val="Normal"/>
              <w:widowControl/>
              <w:bidi w:val="0"/>
              <w:spacing w:lineRule="auto" w:line="240" w:before="0" w:after="40"/>
              <w:jc w:val="start"/>
              <w:rPr/>
            </w:pPr>
            <w:r>
              <w:rPr>
                <w:sz w:val="18"/>
              </w:rPr>
              <w:t>No imported FBT code, causal credit, trace guarantee, performance claim, or authority.</w:t>
            </w:r>
          </w:p>
        </w:tc>
      </w:tr>
      <w:tr>
        <w:trPr/>
        <w:tc>
          <w:tcPr>
            <w:tcW w:w="2340" w:type="dxa"/>
            <w:tcBorders/>
            <w:vAlign w:val="top"/>
          </w:tcPr>
          <w:p>
            <w:pPr>
              <w:pStyle w:val="Normal"/>
              <w:widowControl/>
              <w:bidi w:val="0"/>
              <w:spacing w:lineRule="auto" w:line="240" w:before="0" w:after="40"/>
              <w:jc w:val="start"/>
              <w:rPr/>
            </w:pPr>
            <w:r>
              <w:rPr>
                <w:sz w:val="18"/>
              </w:rPr>
              <w:t>GOLD v0.1 [V2]</w:t>
            </w:r>
          </w:p>
        </w:tc>
        <w:tc>
          <w:tcPr>
            <w:tcW w:w="2340" w:type="dxa"/>
            <w:tcBorders/>
            <w:vAlign w:val="top"/>
          </w:tcPr>
          <w:p>
            <w:pPr>
              <w:pStyle w:val="Normal"/>
              <w:widowControl/>
              <w:bidi w:val="0"/>
              <w:spacing w:lineRule="auto" w:line="240" w:before="0" w:after="40"/>
              <w:jc w:val="start"/>
              <w:rPr/>
            </w:pPr>
            <w:r>
              <w:rPr>
                <w:sz w:val="18"/>
              </w:rPr>
              <w:t>Lens, 1+5 split, bigon area, sector residual, cube-to-wheel, and Euler ledgers.</w:t>
            </w:r>
          </w:p>
        </w:tc>
        <w:tc>
          <w:tcPr>
            <w:tcW w:w="2340" w:type="dxa"/>
            <w:tcBorders/>
            <w:vAlign w:val="top"/>
          </w:tcPr>
          <w:p>
            <w:pPr>
              <w:pStyle w:val="Normal"/>
              <w:widowControl/>
              <w:bidi w:val="0"/>
              <w:spacing w:lineRule="auto" w:line="240" w:before="0" w:after="40"/>
              <w:jc w:val="start"/>
              <w:rPr/>
            </w:pPr>
            <w:r>
              <w:rPr>
                <w:sz w:val="18"/>
              </w:rPr>
              <w:t>PF-GOLD-LENS and F-GOLD-* fixtures.</w:t>
            </w:r>
          </w:p>
        </w:tc>
        <w:tc>
          <w:tcPr>
            <w:tcW w:w="2340" w:type="dxa"/>
            <w:tcBorders/>
            <w:vAlign w:val="top"/>
          </w:tcPr>
          <w:p>
            <w:pPr>
              <w:pStyle w:val="Normal"/>
              <w:widowControl/>
              <w:bidi w:val="0"/>
              <w:spacing w:lineRule="auto" w:line="240" w:before="0" w:after="40"/>
              <w:jc w:val="start"/>
              <w:rPr/>
            </w:pPr>
            <w:r>
              <w:rPr>
                <w:sz w:val="18"/>
              </w:rPr>
              <w:t>No primitive, physical blueprint, consciousness result, or golden optimality.</w:t>
            </w:r>
          </w:p>
        </w:tc>
      </w:tr>
      <w:tr>
        <w:trPr/>
        <w:tc>
          <w:tcPr>
            <w:tcW w:w="2340" w:type="dxa"/>
            <w:tcBorders/>
            <w:vAlign w:val="top"/>
            <w:shd w:fill="F7F9FB"/>
          </w:tcPr>
          <w:p>
            <w:pPr>
              <w:pStyle w:val="Normal"/>
              <w:widowControl/>
              <w:bidi w:val="0"/>
              <w:spacing w:lineRule="auto" w:line="240" w:before="0" w:after="40"/>
              <w:jc w:val="start"/>
              <w:rPr/>
            </w:pPr>
            <w:r>
              <w:rPr>
                <w:sz w:val="18"/>
              </w:rPr>
              <w:t>Compactification Costs v0.2 [V8]</w:t>
            </w:r>
          </w:p>
        </w:tc>
        <w:tc>
          <w:tcPr>
            <w:tcW w:w="2340" w:type="dxa"/>
            <w:tcBorders/>
            <w:vAlign w:val="top"/>
            <w:shd w:fill="F7F9FB"/>
          </w:tcPr>
          <w:p>
            <w:pPr>
              <w:pStyle w:val="Normal"/>
              <w:widowControl/>
              <w:bidi w:val="0"/>
              <w:spacing w:lineRule="auto" w:line="240" w:before="0" w:after="40"/>
              <w:jc w:val="start"/>
              <w:rPr/>
            </w:pPr>
            <w:r>
              <w:rPr>
                <w:sz w:val="18"/>
              </w:rPr>
              <w:t>Typed loss profile; APCI boundary bridge; refinement, coarsening, decoder, and existence seams.</w:t>
            </w:r>
          </w:p>
        </w:tc>
        <w:tc>
          <w:tcPr>
            <w:tcW w:w="2340" w:type="dxa"/>
            <w:tcBorders/>
            <w:vAlign w:val="top"/>
            <w:shd w:fill="F7F9FB"/>
          </w:tcPr>
          <w:p>
            <w:pPr>
              <w:pStyle w:val="Normal"/>
              <w:widowControl/>
              <w:bidi w:val="0"/>
              <w:spacing w:lineRule="auto" w:line="240" w:before="0" w:after="40"/>
              <w:jc w:val="start"/>
              <w:rPr/>
            </w:pPr>
            <w:r>
              <w:rPr>
                <w:sz w:val="18"/>
              </w:rPr>
              <w:t>Boundary registry and M-INTERFACE-FIBER extensions.</w:t>
            </w:r>
          </w:p>
        </w:tc>
        <w:tc>
          <w:tcPr>
            <w:tcW w:w="2340" w:type="dxa"/>
            <w:tcBorders/>
            <w:vAlign w:val="top"/>
            <w:shd w:fill="F7F9FB"/>
          </w:tcPr>
          <w:p>
            <w:pPr>
              <w:pStyle w:val="Normal"/>
              <w:widowControl/>
              <w:bidi w:val="0"/>
              <w:spacing w:lineRule="auto" w:line="240" w:before="0" w:after="40"/>
              <w:jc w:val="start"/>
              <w:rPr/>
            </w:pPr>
            <w:r>
              <w:rPr>
                <w:sz w:val="18"/>
              </w:rPr>
              <w:t>No universal scalar, detector, decoder, physical law, or authority.</w:t>
            </w:r>
          </w:p>
        </w:tc>
      </w:tr>
      <w:tr>
        <w:trPr/>
        <w:tc>
          <w:tcPr>
            <w:tcW w:w="2340" w:type="dxa"/>
            <w:tcBorders/>
            <w:vAlign w:val="top"/>
          </w:tcPr>
          <w:p>
            <w:pPr>
              <w:pStyle w:val="Normal"/>
              <w:widowControl/>
              <w:bidi w:val="0"/>
              <w:spacing w:lineRule="auto" w:line="240" w:before="0" w:after="40"/>
              <w:jc w:val="start"/>
              <w:rPr/>
            </w:pPr>
            <w:r>
              <w:rPr>
                <w:sz w:val="18"/>
              </w:rPr>
              <w:t>SCT v0.2 [V9]</w:t>
            </w:r>
          </w:p>
        </w:tc>
        <w:tc>
          <w:tcPr>
            <w:tcW w:w="2340" w:type="dxa"/>
            <w:tcBorders/>
            <w:vAlign w:val="top"/>
          </w:tcPr>
          <w:p>
            <w:pPr>
              <w:pStyle w:val="Normal"/>
              <w:widowControl/>
              <w:bidi w:val="0"/>
              <w:spacing w:lineRule="auto" w:line="240" w:before="0" w:after="40"/>
              <w:jc w:val="start"/>
              <w:rPr/>
            </w:pPr>
            <w:r>
              <w:rPr>
                <w:sz w:val="18"/>
              </w:rPr>
              <w:t>q-split, complete-pair fixture, action lift, Fung invariant, checkpoint, work-stutter heartbeat, and transport falsifiers.</w:t>
            </w:r>
          </w:p>
        </w:tc>
        <w:tc>
          <w:tcPr>
            <w:tcW w:w="2340" w:type="dxa"/>
            <w:tcBorders/>
            <w:vAlign w:val="top"/>
          </w:tcPr>
          <w:p>
            <w:pPr>
              <w:pStyle w:val="Normal"/>
              <w:widowControl/>
              <w:bidi w:val="0"/>
              <w:spacing w:lineRule="auto" w:line="240" w:before="0" w:after="40"/>
              <w:jc w:val="start"/>
              <w:rPr/>
            </w:pPr>
            <w:r>
              <w:rPr>
                <w:sz w:val="18"/>
              </w:rPr>
              <w:t>M-A1-QSPLIT, M-A2-TRACE-LIFT, M-A12-CAPSULE, M-A13-STUTTER, and M-A14-SLACK budget branch.</w:t>
            </w:r>
          </w:p>
        </w:tc>
        <w:tc>
          <w:tcPr>
            <w:tcW w:w="2340" w:type="dxa"/>
            <w:tcBorders/>
            <w:vAlign w:val="top"/>
          </w:tcPr>
          <w:p>
            <w:pPr>
              <w:pStyle w:val="Normal"/>
              <w:widowControl/>
              <w:bidi w:val="0"/>
              <w:spacing w:lineRule="auto" w:line="240" w:before="0" w:after="40"/>
              <w:jc w:val="start"/>
              <w:rPr/>
            </w:pPr>
            <w:r>
              <w:rPr>
                <w:sz w:val="18"/>
              </w:rPr>
              <w:t>Extremal claims scoped; one bit local; heartbeat not progress; no resource/authority backflow.</w:t>
            </w:r>
          </w:p>
        </w:tc>
      </w:tr>
      <w:tr>
        <w:trPr/>
        <w:tc>
          <w:tcPr>
            <w:tcW w:w="2340" w:type="dxa"/>
            <w:tcBorders/>
            <w:vAlign w:val="top"/>
            <w:shd w:fill="F7F9FB"/>
          </w:tcPr>
          <w:p>
            <w:pPr>
              <w:pStyle w:val="Normal"/>
              <w:widowControl/>
              <w:bidi w:val="0"/>
              <w:spacing w:lineRule="auto" w:line="240" w:before="0" w:after="40"/>
              <w:jc w:val="start"/>
              <w:rPr/>
            </w:pPr>
            <w:r>
              <w:rPr>
                <w:sz w:val="18"/>
              </w:rPr>
              <w:t>Fung [S46]</w:t>
            </w:r>
          </w:p>
        </w:tc>
        <w:tc>
          <w:tcPr>
            <w:tcW w:w="2340" w:type="dxa"/>
            <w:tcBorders/>
            <w:vAlign w:val="top"/>
            <w:shd w:fill="F7F9FB"/>
          </w:tcPr>
          <w:p>
            <w:pPr>
              <w:pStyle w:val="Normal"/>
              <w:widowControl/>
              <w:bidi w:val="0"/>
              <w:spacing w:lineRule="auto" w:line="240" w:before="0" w:after="40"/>
              <w:jc w:val="start"/>
              <w:rPr/>
            </w:pPr>
            <w:r>
              <w:rPr>
                <w:sz w:val="18"/>
              </w:rPr>
              <w:t>Ordered-pair schedule, pass invariant, correctness, and swap analysis.</w:t>
            </w:r>
          </w:p>
        </w:tc>
        <w:tc>
          <w:tcPr>
            <w:tcW w:w="2340" w:type="dxa"/>
            <w:tcBorders/>
            <w:vAlign w:val="top"/>
            <w:shd w:fill="F7F9FB"/>
          </w:tcPr>
          <w:p>
            <w:pPr>
              <w:pStyle w:val="Normal"/>
              <w:widowControl/>
              <w:bidi w:val="0"/>
              <w:spacing w:lineRule="auto" w:line="240" w:before="0" w:after="40"/>
              <w:jc w:val="start"/>
              <w:rPr/>
            </w:pPr>
            <w:r>
              <w:rPr>
                <w:sz w:val="18"/>
              </w:rPr>
              <w:t>F-FUNG-SWEEP only.</w:t>
            </w:r>
          </w:p>
        </w:tc>
        <w:tc>
          <w:tcPr>
            <w:tcW w:w="2340" w:type="dxa"/>
            <w:tcBorders/>
            <w:vAlign w:val="top"/>
            <w:shd w:fill="F7F9FB"/>
          </w:tcPr>
          <w:p>
            <w:pPr>
              <w:pStyle w:val="Normal"/>
              <w:widowControl/>
              <w:bidi w:val="0"/>
              <w:spacing w:lineRule="auto" w:line="240" w:before="0" w:after="40"/>
              <w:jc w:val="start"/>
              <w:rPr/>
            </w:pPr>
            <w:r>
              <w:rPr>
                <w:sz w:val="18"/>
              </w:rPr>
              <w:t>No source code imported; no formal simplicity or practical optimality claim.</w:t>
            </w:r>
          </w:p>
        </w:tc>
      </w:tr>
      <w:tr>
        <w:trPr/>
        <w:tc>
          <w:tcPr>
            <w:tcW w:w="2340" w:type="dxa"/>
            <w:tcBorders/>
            <w:vAlign w:val="top"/>
          </w:tcPr>
          <w:p>
            <w:pPr>
              <w:pStyle w:val="Normal"/>
              <w:widowControl/>
              <w:bidi w:val="0"/>
              <w:spacing w:lineRule="auto" w:line="240" w:before="0" w:after="40"/>
              <w:jc w:val="start"/>
              <w:rPr/>
            </w:pPr>
            <w:r>
              <w:rPr>
                <w:sz w:val="18"/>
              </w:rPr>
              <w:t>Nair [S44] and Marmon [S45]</w:t>
            </w:r>
          </w:p>
        </w:tc>
        <w:tc>
          <w:tcPr>
            <w:tcW w:w="2340" w:type="dxa"/>
            <w:tcBorders/>
            <w:vAlign w:val="top"/>
          </w:tcPr>
          <w:p>
            <w:pPr>
              <w:pStyle w:val="Normal"/>
              <w:widowControl/>
              <w:bidi w:val="0"/>
              <w:spacing w:lineRule="auto" w:line="240" w:before="0" w:after="40"/>
              <w:jc w:val="start"/>
              <w:rPr/>
            </w:pPr>
            <w:r>
              <w:rPr>
                <w:sz w:val="18"/>
              </w:rPr>
              <w:t>Classical representability; exact hexagonal-lattice representation counts and angular structure.</w:t>
            </w:r>
          </w:p>
        </w:tc>
        <w:tc>
          <w:tcPr>
            <w:tcW w:w="2340" w:type="dxa"/>
            <w:tcBorders/>
            <w:vAlign w:val="top"/>
          </w:tcPr>
          <w:p>
            <w:pPr>
              <w:pStyle w:val="Normal"/>
              <w:widowControl/>
              <w:bidi w:val="0"/>
              <w:spacing w:lineRule="auto" w:line="240" w:before="0" w:after="40"/>
              <w:jc w:val="start"/>
              <w:rPr/>
            </w:pPr>
            <w:r>
              <w:rPr>
                <w:sz w:val="18"/>
              </w:rPr>
              <w:t>M-RNBW-SHELL and RAINBOW-PLATE-01/02.</w:t>
            </w:r>
          </w:p>
        </w:tc>
        <w:tc>
          <w:tcPr>
            <w:tcW w:w="2340" w:type="dxa"/>
            <w:tcBorders/>
            <w:vAlign w:val="top"/>
          </w:tcPr>
          <w:p>
            <w:pPr>
              <w:pStyle w:val="Normal"/>
              <w:widowControl/>
              <w:bidi w:val="0"/>
              <w:spacing w:lineRule="auto" w:line="240" w:before="0" w:after="40"/>
              <w:jc w:val="start"/>
              <w:rPr/>
            </w:pPr>
            <w:r>
              <w:rPr>
                <w:sz w:val="18"/>
              </w:rPr>
              <w:t>Established arithmetic only; no PAL, physical, or ontology claim.</w:t>
            </w:r>
          </w:p>
        </w:tc>
      </w:tr>
      <w:tr>
        <w:trPr/>
        <w:tc>
          <w:tcPr>
            <w:tcW w:w="2340" w:type="dxa"/>
            <w:tcBorders/>
            <w:vAlign w:val="top"/>
            <w:shd w:fill="F7F9FB"/>
          </w:tcPr>
          <w:p>
            <w:pPr>
              <w:pStyle w:val="Normal"/>
              <w:widowControl/>
              <w:bidi w:val="0"/>
              <w:spacing w:lineRule="auto" w:line="240" w:before="0" w:after="40"/>
              <w:jc w:val="start"/>
              <w:rPr/>
            </w:pPr>
            <w:r>
              <w:rPr>
                <w:sz w:val="18"/>
              </w:rPr>
              <w:t>RAINBOW SVG plate suite [A1]</w:t>
            </w:r>
          </w:p>
        </w:tc>
        <w:tc>
          <w:tcPr>
            <w:tcW w:w="2340" w:type="dxa"/>
            <w:tcBorders/>
            <w:vAlign w:val="top"/>
            <w:shd w:fill="F7F9FB"/>
          </w:tcPr>
          <w:p>
            <w:pPr>
              <w:pStyle w:val="Normal"/>
              <w:widowControl/>
              <w:bidi w:val="0"/>
              <w:spacing w:lineRule="auto" w:line="240" w:before="0" w:after="40"/>
              <w:jc w:val="start"/>
              <w:rPr/>
            </w:pPr>
            <w:r>
              <w:rPr>
                <w:sz w:val="18"/>
              </w:rPr>
              <w:t>Six author-directed, code-generated static figures, revised for typed shell and prime-angle notation.</w:t>
            </w:r>
          </w:p>
        </w:tc>
        <w:tc>
          <w:tcPr>
            <w:tcW w:w="2340" w:type="dxa"/>
            <w:tcBorders/>
            <w:vAlign w:val="top"/>
            <w:shd w:fill="F7F9FB"/>
          </w:tcPr>
          <w:p>
            <w:pPr>
              <w:pStyle w:val="Normal"/>
              <w:widowControl/>
              <w:bidi w:val="0"/>
              <w:spacing w:lineRule="auto" w:line="240" w:before="0" w:after="40"/>
              <w:jc w:val="start"/>
              <w:rPr/>
            </w:pPr>
            <w:r>
              <w:rPr>
                <w:sz w:val="18"/>
              </w:rPr>
              <w:t>RAINBOW-PLATE-00 through -05.</w:t>
            </w:r>
          </w:p>
        </w:tc>
        <w:tc>
          <w:tcPr>
            <w:tcW w:w="2340" w:type="dxa"/>
            <w:tcBorders/>
            <w:vAlign w:val="top"/>
            <w:shd w:fill="F7F9FB"/>
          </w:tcPr>
          <w:p>
            <w:pPr>
              <w:pStyle w:val="Normal"/>
              <w:widowControl/>
              <w:bidi w:val="0"/>
              <w:spacing w:lineRule="auto" w:line="240" w:before="0" w:after="40"/>
              <w:jc w:val="start"/>
              <w:rPr/>
            </w:pPr>
            <w:r>
              <w:rPr>
                <w:sz w:val="18"/>
              </w:rPr>
              <w:t>Visual explanation only; not independent validation or a new authority face.</w:t>
            </w:r>
          </w:p>
        </w:tc>
      </w:tr>
    </w:tbl>
    <w:p>
      <w:pPr>
        <w:pStyle w:val="Normal"/>
        <w:keepNext/>
        <w:keepLines/>
        <w:rPr/>
      </w:pPr>
      <w:r>
        <w:rPr/>
        <w:t>All Pang works in this matrix form one author-led lineage. Cross-citation, regenerated figures, finite runs, formal receipts, AI-assisted review, and internal tests may add reproducibility evidence; they are not independent corroboration.</w:t>
      </w:r>
    </w:p>
    <w:p>
      <w:pPr>
        <w:pStyle w:val="Heading2"/>
        <w:keepNext/>
        <w:keepLines/>
        <w:rPr/>
      </w:pPr>
      <w:bookmarkStart w:id="68" w:name="v2.3-finite-verification-account"/>
      <w:r>
        <w:rPr/>
        <w:t>v2.3 finite verification account</w:t>
      </w:r>
      <w:bookmarkEnd w:id="68"/>
    </w:p>
    <w:p>
      <w:pPr>
        <w:pStyle w:val="Normal"/>
        <w:keepNext/>
        <w:keepLines/>
        <w:rPr/>
      </w:pPr>
      <w:r>
        <w:rPr/>
        <w:t>The finite shell checker enumerated integer pairs (a,b) satisfying 1≤a²+ab+b²≤100, using the proven bound encoded by the checked search window −14≤a,b≤14. It returned:</w:t>
      </w:r>
    </w:p>
    <w:p>
      <w:pPr>
        <w:pStyle w:val="BodyText"/>
        <w:numPr>
          <w:ilvl w:val="0"/>
          <w:numId w:val="12"/>
        </w:numPr>
        <w:spacing w:before="0" w:after="0"/>
        <w:rPr/>
      </w:pPr>
      <w:r>
        <w:rPr/>
        <w:t>r_Q(3)=6, r_Q(7)=12, r_Q(17)=0, r_Q(21)=12, r_Q(28)=12, r_Q(49)=18, and r_Q(91)=24;</w:t>
      </w:r>
    </w:p>
    <w:p>
      <w:pPr>
        <w:pStyle w:val="BodyText"/>
        <w:numPr>
          <w:ilvl w:val="0"/>
          <w:numId w:val="12"/>
        </w:numPr>
        <w:spacing w:before="0" w:after="0"/>
        <w:rPr/>
      </w:pPr>
      <w:r>
        <w:rPr/>
        <w:t>occupied-shell population records (1,6),(7,12),(49,18),(91,24);</w:t>
      </w:r>
    </w:p>
    <w:p>
      <w:pPr>
        <w:pStyle w:val="BodyText"/>
        <w:numPr>
          <w:ilvl w:val="0"/>
          <w:numId w:val="12"/>
        </w:numPr>
        <w:spacing w:before="0" w:after="0"/>
        <w:rPr/>
      </w:pPr>
      <w:r>
        <w:rPr/>
        <w:t>exactly two occupied shells above twelve points through 100: 49 and 91.</w:t>
      </w:r>
    </w:p>
    <w:p>
      <w:pPr>
        <w:pStyle w:val="Normal"/>
        <w:rPr/>
      </w:pPr>
      <w:r>
        <w:rPr/>
        <w:t>These finite results check the plates and fixtures; the arbitrary-n count formula rests on the established theorem and its declared proof/source, not on enumeration. Release packaging must bind the exact executable, interpreter, dependency-free environment, and TestReceipt before treating this paragraph as final execution evidence.</w:t>
      </w:r>
    </w:p>
    <w:p>
      <w:pPr>
        <w:pStyle w:val="Heading2"/>
        <w:keepNext/>
        <w:keepLines/>
        <w:rPr/>
      </w:pPr>
      <w:bookmarkStart w:id="69" w:name="six-part-change-log"/>
      <w:r>
        <w:rPr/>
        <w:t>Six-part change log</w:t>
      </w:r>
      <w:bookmarkEnd w:id="69"/>
    </w:p>
    <w:p>
      <w:pPr>
        <w:pStyle w:val="Heading3"/>
        <w:keepNext/>
        <w:keepLines/>
        <w:rPr/>
      </w:pPr>
      <w:bookmarkStart w:id="70" w:name="preserved"/>
      <w:r>
        <w:rPr/>
        <w:t>Preserved</w:t>
      </w:r>
      <w:bookmarkEnd w:id="70"/>
    </w:p>
    <w:p>
      <w:pPr>
        <w:pStyle w:val="BodyText"/>
        <w:keepNext/>
        <w:keepLines/>
        <w:numPr>
          <w:ilvl w:val="0"/>
          <w:numId w:val="13"/>
        </w:numPr>
        <w:spacing w:before="0" w:after="0"/>
        <w:rPr/>
      </w:pPr>
      <w:r>
        <w:rPr/>
        <w:t>All 34 v2.2 realization-card identities, their thirteen-field contracts, delete/swap discipline, first-cut family, branch routing, and explicit authority ceilings.</w:t>
      </w:r>
    </w:p>
    <w:p>
      <w:pPr>
        <w:pStyle w:val="BodyText"/>
        <w:numPr>
          <w:ilvl w:val="0"/>
          <w:numId w:val="13"/>
        </w:numPr>
        <w:spacing w:before="0" w:after="0"/>
        <w:rPr/>
      </w:pPr>
      <w:r>
        <w:rPr/>
        <w:t>Ω/A0/Ω*/θ/A1 ordering; O04 and O25 remain open at witness source.</w:t>
      </w:r>
    </w:p>
    <w:p>
      <w:pPr>
        <w:pStyle w:val="Heading3"/>
        <w:keepNext/>
        <w:keepLines/>
        <w:rPr/>
      </w:pPr>
      <w:bookmarkStart w:id="71" w:name="added"/>
      <w:r>
        <w:rPr/>
        <w:t>Added</w:t>
      </w:r>
      <w:bookmarkEnd w:id="71"/>
    </w:p>
    <w:p>
      <w:pPr>
        <w:pStyle w:val="BodyText"/>
        <w:keepNext/>
        <w:keepLines/>
        <w:numPr>
          <w:ilvl w:val="0"/>
          <w:numId w:val="14"/>
        </w:numPr>
        <w:spacing w:before="0" w:after="0"/>
        <w:rPr/>
      </w:pPr>
      <w:r>
        <w:rPr/>
        <w:t>Conditional geometry/interface extension profile and typed BoundaryRef registry.</w:t>
      </w:r>
    </w:p>
    <w:p>
      <w:pPr>
        <w:pStyle w:val="BodyText"/>
        <w:numPr>
          <w:ilvl w:val="0"/>
          <w:numId w:val="14"/>
        </w:numPr>
        <w:spacing w:before="0" w:after="0"/>
        <w:rPr/>
      </w:pPr>
      <w:r>
        <w:rPr/>
        <w:t>Six v2.3 cards: M-A1-QSPLIT, M-INTERFACE-FIBER, M-RETURN-PROJ, M-A2-TRACE-LIFT, M-A12-CAPSULE, and M-A13-STUTTER.</w:t>
      </w:r>
    </w:p>
    <w:p>
      <w:pPr>
        <w:pStyle w:val="BodyText"/>
        <w:numPr>
          <w:ilvl w:val="0"/>
          <w:numId w:val="14"/>
        </w:numPr>
        <w:spacing w:before="0" w:after="0"/>
        <w:rPr/>
      </w:pPr>
      <w:r>
        <w:rPr/>
        <w:t>PF-GOLD-LENS, twelve bounded fixture rows, four RAINBOW cards, and six SVG plates.</w:t>
      </w:r>
    </w:p>
    <w:p>
      <w:pPr>
        <w:pStyle w:val="Heading3"/>
        <w:keepNext/>
        <w:keepLines/>
        <w:rPr/>
      </w:pPr>
      <w:bookmarkStart w:id="72" w:name="clarified"/>
      <w:r>
        <w:rPr/>
        <w:t>Clarified</w:t>
      </w:r>
      <w:bookmarkEnd w:id="72"/>
    </w:p>
    <w:p>
      <w:pPr>
        <w:pStyle w:val="BodyText"/>
        <w:keepNext/>
        <w:keepLines/>
        <w:numPr>
          <w:ilvl w:val="0"/>
          <w:numId w:val="15"/>
        </w:numPr>
        <w:spacing w:before="0" w:after="0"/>
        <w:rPr/>
      </w:pPr>
      <w:r>
        <w:rPr/>
        <w:t>Structural versus resolution-qualified minimality; reachable versus total decoder; endpoint versus path; work projection versus total state; shell, boundary, orbit, history, thickness, and amplitude distinctions.</w:t>
      </w:r>
    </w:p>
    <w:p>
      <w:pPr>
        <w:pStyle w:val="BodyText"/>
        <w:numPr>
          <w:ilvl w:val="0"/>
          <w:numId w:val="15"/>
        </w:numPr>
        <w:spacing w:before="0" w:after="0"/>
        <w:rPr/>
      </w:pPr>
      <w:r>
        <w:rPr/>
        <w:t>Golden-angle exact/finite-precision separation and A1 ownership of sector readout.</w:t>
      </w:r>
    </w:p>
    <w:p>
      <w:pPr>
        <w:pStyle w:val="Heading3"/>
        <w:keepNext/>
        <w:keepLines/>
        <w:rPr/>
      </w:pPr>
      <w:bookmarkStart w:id="73" w:name="rerouted"/>
      <w:r>
        <w:rPr/>
        <w:t>Rerouted</w:t>
      </w:r>
      <w:bookmarkEnd w:id="73"/>
    </w:p>
    <w:p>
      <w:pPr>
        <w:pStyle w:val="BodyText"/>
        <w:keepNext/>
        <w:keepLines/>
        <w:numPr>
          <w:ilvl w:val="0"/>
          <w:numId w:val="16"/>
        </w:numPr>
        <w:spacing w:before="0" w:after="0"/>
        <w:rPr/>
      </w:pPr>
      <w:r>
        <w:rPr/>
        <w:t>Quantitative splits to M-A1-QSPLIT; generic interfaces to M-INTERFACE-FIBER; return/export to M-RETURN-PROJ; action receipts to M-A2-TRACE-LIFT; checkpoint re-entry to M-A12-CAPSULE; heartbeat/stutter to M-A13-STUTTER.</w:t>
      </w:r>
    </w:p>
    <w:p>
      <w:pPr>
        <w:pStyle w:val="BodyText"/>
        <w:numPr>
          <w:ilvl w:val="0"/>
          <w:numId w:val="16"/>
        </w:numPr>
        <w:spacing w:before="0" w:after="0"/>
        <w:rPr/>
      </w:pPr>
      <w:r>
        <w:rPr/>
        <w:t>GOLD and RAINBOW geometry through removable Atlas cards/plates, never through Ω or a new primitive.</w:t>
      </w:r>
    </w:p>
    <w:p>
      <w:pPr>
        <w:pStyle w:val="Heading3"/>
        <w:keepNext/>
        <w:keepLines/>
        <w:rPr/>
      </w:pPr>
      <w:bookmarkStart w:id="74" w:name="still-open"/>
      <w:r>
        <w:rPr/>
        <w:t>Still open</w:t>
      </w:r>
      <w:bookmarkEnd w:id="74"/>
    </w:p>
    <w:p>
      <w:pPr>
        <w:pStyle w:val="BodyText"/>
        <w:keepNext/>
        <w:keepLines/>
        <w:numPr>
          <w:ilvl w:val="0"/>
          <w:numId w:val="17"/>
        </w:numPr>
        <w:spacing w:before="0" w:after="0"/>
        <w:rPr/>
      </w:pPr>
      <w:r>
        <w:rPr/>
        <w:t>O04, O25, D-FIRST-OCCURRENCE, multi-parent lineage, physical interpretations, empirical amplitude/coherence sources, global geometry, and the infinite-loom branch.</w:t>
      </w:r>
    </w:p>
    <w:p>
      <w:pPr>
        <w:pStyle w:val="Heading3"/>
        <w:keepNext/>
        <w:keepLines/>
        <w:rPr/>
      </w:pPr>
      <w:bookmarkStart w:id="75" w:name="explicitly-not-promoted"/>
      <w:r>
        <w:rPr/>
        <w:t>Explicitly not promoted</w:t>
      </w:r>
      <w:bookmarkEnd w:id="75"/>
    </w:p>
    <w:p>
      <w:pPr>
        <w:pStyle w:val="BodyText"/>
        <w:keepNext/>
        <w:keepLines/>
        <w:numPr>
          <w:ilvl w:val="0"/>
          <w:numId w:val="18"/>
        </w:numPr>
        <w:spacing w:before="0" w:after="0"/>
        <w:rPr/>
      </w:pPr>
      <w:r>
        <w:rPr/>
        <w:t>No new primitive, numbered layer, claim status, authority source, universal geometry/scalar, physical law, wavefunction collapse, Lagrange dynamics, machine-consciousness claim, or independent validation.</w:t>
      </w:r>
    </w:p>
    <w:p>
      <w:pPr>
        <w:pStyle w:val="Heading1"/>
        <w:keepNext/>
        <w:keepLines/>
        <w:rPr/>
      </w:pPr>
      <w:bookmarkStart w:id="76" w:name="references"/>
      <w:r>
        <w:rPr/>
        <w:t>References</w:t>
      </w:r>
      <w:bookmarkEnd w:id="76"/>
    </w:p>
    <w:p>
      <w:pPr>
        <w:pStyle w:val="Normal"/>
        <w:keepNext/>
        <w:keepLines/>
        <w:rPr/>
      </w:pPr>
      <w:r>
        <w:rPr/>
        <w:t>The first four entries identify the public PAL lineage and active public interfaces. Remaining sources ground mathematical realization claims; they do not define the mechanical spine.</w:t>
      </w:r>
    </w:p>
    <w:p>
      <w:pPr>
        <w:pStyle w:val="BodyText"/>
        <w:numPr>
          <w:ilvl w:val="0"/>
          <w:numId w:val="19"/>
        </w:numPr>
        <w:rPr/>
      </w:pPr>
      <w:r>
        <w:rPr/>
        <w:t xml:space="preserve">[P1] Pang, C. D. (2026). PAL - Primitive Axiom Layers: Formal Structural Foundation v1.6. Zenodo. </w:t>
      </w:r>
      <w:hyperlink r:id="rId14">
        <w:r>
          <w:rPr>
            <w:rStyle w:val="Hyperlink"/>
          </w:rPr>
          <w:t>doi:10.5281/zenodo.21635188</w:t>
        </w:r>
      </w:hyperlink>
    </w:p>
    <w:p>
      <w:pPr>
        <w:pStyle w:val="BodyText"/>
        <w:numPr>
          <w:ilvl w:val="0"/>
          <w:numId w:val="19"/>
        </w:numPr>
        <w:rPr/>
      </w:pPr>
      <w:r>
        <w:rPr/>
        <w:t xml:space="preserve">[P2] Pang, C. D. (2026). PEA Core v1.1.3: Public Ethical Review Specification. Reserved release record. </w:t>
      </w:r>
      <w:hyperlink r:id="rId15">
        <w:r>
          <w:rPr>
            <w:rStyle w:val="Hyperlink"/>
          </w:rPr>
          <w:t>doi:10.5281/zenodo.21911684</w:t>
        </w:r>
      </w:hyperlink>
    </w:p>
    <w:p>
      <w:pPr>
        <w:pStyle w:val="BodyText"/>
        <w:numPr>
          <w:ilvl w:val="0"/>
          <w:numId w:val="19"/>
        </w:numPr>
        <w:rPr/>
      </w:pPr>
      <w:r>
        <w:rPr/>
        <w:t xml:space="preserve">[P3] Pang, C. D. (2026). PECAN v1.0.4: Public Protocol Specification. Zenodo. </w:t>
      </w:r>
      <w:hyperlink r:id="rId16">
        <w:r>
          <w:rPr>
            <w:rStyle w:val="Hyperlink"/>
          </w:rPr>
          <w:t>doi:10.5281/zenodo.21760884</w:t>
        </w:r>
      </w:hyperlink>
    </w:p>
    <w:p>
      <w:pPr>
        <w:pStyle w:val="BodyText"/>
        <w:numPr>
          <w:ilvl w:val="0"/>
          <w:numId w:val="19"/>
        </w:numPr>
        <w:rPr/>
      </w:pPr>
      <w:r>
        <w:rPr/>
        <w:t xml:space="preserve">[P4] Pang, C. D. (2026). SEED v0.3: Complete Release Discipline and Mathematical Realization. Zenodo. </w:t>
      </w:r>
      <w:hyperlink r:id="rId17">
        <w:r>
          <w:rPr>
            <w:rStyle w:val="Hyperlink"/>
          </w:rPr>
          <w:t>doi:10.5281/zenodo.21760893</w:t>
        </w:r>
      </w:hyperlink>
    </w:p>
    <w:p>
      <w:pPr>
        <w:pStyle w:val="BodyText"/>
        <w:numPr>
          <w:ilvl w:val="0"/>
          <w:numId w:val="19"/>
        </w:numPr>
        <w:rPr/>
      </w:pPr>
      <w:r>
        <w:rPr/>
        <w:t xml:space="preserve">[V1] Pang, C. D. (2026). PAL — Primitive Axiom Layers v2.2. Zenodo. </w:t>
      </w:r>
      <w:hyperlink r:id="rId18">
        <w:r>
          <w:rPr>
            <w:rStyle w:val="Hyperlink"/>
          </w:rPr>
          <w:t>doi:10.5281/zenodo.21891598</w:t>
        </w:r>
      </w:hyperlink>
      <w:r>
        <w:rPr/>
        <w:t>. Immediate publication predecessor; not independent confirmation of v2.3.</w:t>
      </w:r>
    </w:p>
    <w:p>
      <w:pPr>
        <w:pStyle w:val="BodyText"/>
        <w:numPr>
          <w:ilvl w:val="0"/>
          <w:numId w:val="19"/>
        </w:numPr>
        <w:rPr/>
      </w:pPr>
      <w:r>
        <w:rPr/>
        <w:t xml:space="preserve">[V2] Pang, C. D. (2026). GOLD v0.1. Zenodo. </w:t>
      </w:r>
      <w:hyperlink r:id="rId19">
        <w:r>
          <w:rPr>
            <w:rStyle w:val="Hyperlink"/>
          </w:rPr>
          <w:t>doi:10.5281/zenodo.22236848</w:t>
        </w:r>
      </w:hyperlink>
      <w:r>
        <w:rPr/>
        <w:t>.</w:t>
      </w:r>
    </w:p>
    <w:p>
      <w:pPr>
        <w:pStyle w:val="BodyText"/>
        <w:numPr>
          <w:ilvl w:val="0"/>
          <w:numId w:val="19"/>
        </w:numPr>
        <w:rPr/>
      </w:pPr>
      <w:r>
        <w:rPr/>
        <w:t xml:space="preserve">[V3] Pang, C. D. (2026). Full Bandwidth Is Not Full Trace: A PAL–FBT Synthesis v0.1. Zenodo. </w:t>
      </w:r>
      <w:hyperlink r:id="rId20">
        <w:r>
          <w:rPr>
            <w:rStyle w:val="Hyperlink"/>
          </w:rPr>
          <w:t>doi:10.5281/zenodo.22228162</w:t>
        </w:r>
      </w:hyperlink>
      <w:r>
        <w:rPr/>
        <w:t>.</w:t>
      </w:r>
    </w:p>
    <w:p>
      <w:pPr>
        <w:pStyle w:val="BodyText"/>
        <w:numPr>
          <w:ilvl w:val="0"/>
          <w:numId w:val="19"/>
        </w:numPr>
        <w:rPr/>
      </w:pPr>
      <w:r>
        <w:rPr/>
        <w:t xml:space="preserve">[V4] Pang, C. D. (2026). Golden Phase Prime Ribbons (GPPR) v0.1. Zenodo. </w:t>
      </w:r>
      <w:hyperlink r:id="rId21">
        <w:r>
          <w:rPr>
            <w:rStyle w:val="Hyperlink"/>
          </w:rPr>
          <w:t>doi:10.5281/zenodo.22225414</w:t>
        </w:r>
      </w:hyperlink>
      <w:r>
        <w:rPr/>
        <w:t>.</w:t>
      </w:r>
    </w:p>
    <w:p>
      <w:pPr>
        <w:pStyle w:val="BodyText"/>
        <w:numPr>
          <w:ilvl w:val="0"/>
          <w:numId w:val="19"/>
        </w:numPr>
        <w:rPr/>
      </w:pPr>
      <w:r>
        <w:rPr/>
        <w:t xml:space="preserve">[V5] Pang, C. D. (2026). APCI v1.0.0: Declared Interface. Zenodo. </w:t>
      </w:r>
      <w:hyperlink r:id="rId22">
        <w:r>
          <w:rPr>
            <w:rStyle w:val="Hyperlink"/>
          </w:rPr>
          <w:t>doi:10.5281/zenodo.21923290</w:t>
        </w:r>
      </w:hyperlink>
      <w:r>
        <w:rPr/>
        <w:t>.</w:t>
      </w:r>
    </w:p>
    <w:p>
      <w:pPr>
        <w:pStyle w:val="BodyText"/>
        <w:numPr>
          <w:ilvl w:val="0"/>
          <w:numId w:val="19"/>
        </w:numPr>
        <w:rPr/>
      </w:pPr>
      <w:r>
        <w:rPr/>
        <w:t xml:space="preserve">[V6] Pang, C. D. (2026). Abstract Loops v1.0. Zenodo. </w:t>
      </w:r>
      <w:hyperlink r:id="rId23">
        <w:r>
          <w:rPr>
            <w:rStyle w:val="Hyperlink"/>
          </w:rPr>
          <w:t>doi:10.5281/zenodo.21950771</w:t>
        </w:r>
      </w:hyperlink>
      <w:r>
        <w:rPr/>
        <w:t>.</w:t>
      </w:r>
    </w:p>
    <w:p>
      <w:pPr>
        <w:pStyle w:val="BodyText"/>
        <w:numPr>
          <w:ilvl w:val="0"/>
          <w:numId w:val="19"/>
        </w:numPr>
        <w:rPr/>
      </w:pPr>
      <w:r>
        <w:rPr/>
        <w:t xml:space="preserve">[V7] Pang, C. D. (2026). The Context Sets a Rhythm v0.1. Zenodo. </w:t>
      </w:r>
      <w:hyperlink r:id="rId24">
        <w:r>
          <w:rPr>
            <w:rStyle w:val="Hyperlink"/>
          </w:rPr>
          <w:t>doi:10.5281/zenodo.22214952</w:t>
        </w:r>
      </w:hyperlink>
      <w:r>
        <w:rPr/>
        <w:t>.</w:t>
      </w:r>
    </w:p>
    <w:p>
      <w:pPr>
        <w:pStyle w:val="BodyText"/>
        <w:numPr>
          <w:ilvl w:val="0"/>
          <w:numId w:val="19"/>
        </w:numPr>
        <w:rPr/>
      </w:pPr>
      <w:r>
        <w:rPr/>
        <w:t xml:space="preserve">[V8] Pang, C. D. (2026). Compactification Costs v0.2. Zenodo. </w:t>
      </w:r>
      <w:hyperlink r:id="rId25">
        <w:r>
          <w:rPr>
            <w:rStyle w:val="Hyperlink"/>
          </w:rPr>
          <w:t>doi:10.5281/zenodo.22238012</w:t>
        </w:r>
      </w:hyperlink>
      <w:r>
        <w:rPr/>
        <w:t>.</w:t>
      </w:r>
    </w:p>
    <w:p>
      <w:pPr>
        <w:pStyle w:val="BodyText"/>
        <w:numPr>
          <w:ilvl w:val="0"/>
          <w:numId w:val="19"/>
        </w:numPr>
        <w:rPr/>
      </w:pPr>
      <w:r>
        <w:rPr/>
        <w:t xml:space="preserve">[V9] Pang, C. D. (2026). PAL Single-Cut Transport Lemma (SCT) v0.2. Zenodo. </w:t>
      </w:r>
      <w:hyperlink r:id="rId26">
        <w:r>
          <w:rPr>
            <w:rStyle w:val="Hyperlink"/>
          </w:rPr>
          <w:t>doi:10.5281/zenodo.22239108</w:t>
        </w:r>
      </w:hyperlink>
      <w:r>
        <w:rPr/>
        <w:t>.</w:t>
      </w:r>
    </w:p>
    <w:p>
      <w:pPr>
        <w:pStyle w:val="BodyText"/>
        <w:numPr>
          <w:ilvl w:val="0"/>
          <w:numId w:val="19"/>
        </w:numPr>
        <w:rPr/>
      </w:pPr>
      <w:r>
        <w:rPr/>
        <w:t xml:space="preserve">[S1] Vîţă, L. S., &amp; Bridges, D. S. (2003). Separatedness in constructive topology. Documenta Mathematica, 8, 567-576. </w:t>
      </w:r>
      <w:hyperlink r:id="rId27">
        <w:r>
          <w:rPr>
            <w:rStyle w:val="Hyperlink"/>
          </w:rPr>
          <w:t>doi:10.4171/DM/151</w:t>
        </w:r>
      </w:hyperlink>
    </w:p>
    <w:p>
      <w:pPr>
        <w:pStyle w:val="BodyText"/>
        <w:numPr>
          <w:ilvl w:val="0"/>
          <w:numId w:val="19"/>
        </w:numPr>
        <w:rPr/>
      </w:pPr>
      <w:r>
        <w:rPr/>
        <w:t xml:space="preserve">[S2] Driscoll, J. R., Sarnak, N., Sleator, D. D., &amp; Tarjan, R. E. (1989). Making data structures persistent. Journal of Computer and System Sciences, 38(1), 86-124. </w:t>
      </w:r>
      <w:hyperlink r:id="rId28">
        <w:r>
          <w:rPr>
            <w:rStyle w:val="Hyperlink"/>
          </w:rPr>
          <w:t>doi:10.1016/0022-0000(89)90034-2</w:t>
        </w:r>
      </w:hyperlink>
    </w:p>
    <w:p>
      <w:pPr>
        <w:pStyle w:val="BodyText"/>
        <w:numPr>
          <w:ilvl w:val="0"/>
          <w:numId w:val="19"/>
        </w:numPr>
        <w:rPr/>
      </w:pPr>
      <w:r>
        <w:rPr/>
        <w:t xml:space="preserve">[S3] Lawvere, F. W. (1973). Metric spaces, generalized logic, and closed categories. Rendiconti del Seminario Matematico e Fisico di Milano, 43, 135-166. </w:t>
      </w:r>
      <w:hyperlink r:id="rId29">
        <w:r>
          <w:rPr>
            <w:rStyle w:val="Hyperlink"/>
          </w:rPr>
          <w:t>doi:10.1007/BF02924844</w:t>
        </w:r>
      </w:hyperlink>
    </w:p>
    <w:p>
      <w:pPr>
        <w:pStyle w:val="BodyText"/>
        <w:numPr>
          <w:ilvl w:val="0"/>
          <w:numId w:val="19"/>
        </w:numPr>
        <w:rPr/>
      </w:pPr>
      <w:r>
        <w:rPr/>
        <w:t xml:space="preserve">[S4] Joyal, A., Street, R., &amp; Verity, D. (1996). Traced monoidal categories. Mathematical Proceedings of the Cambridge Philosophical Society, 119(3), 447-468. </w:t>
      </w:r>
      <w:hyperlink r:id="rId30">
        <w:r>
          <w:rPr>
            <w:rStyle w:val="Hyperlink"/>
          </w:rPr>
          <w:t>doi:10.1017/S0305004100074338</w:t>
        </w:r>
      </w:hyperlink>
    </w:p>
    <w:p>
      <w:pPr>
        <w:pStyle w:val="BodyText"/>
        <w:numPr>
          <w:ilvl w:val="0"/>
          <w:numId w:val="19"/>
        </w:numPr>
        <w:rPr/>
      </w:pPr>
      <w:r>
        <w:rPr/>
        <w:t xml:space="preserve">[S5] Girard, J.-Y. (1987). Linear logic. Theoretical Computer Science, 50(1), 1-101. </w:t>
      </w:r>
      <w:hyperlink r:id="rId31">
        <w:r>
          <w:rPr>
            <w:rStyle w:val="Hyperlink"/>
          </w:rPr>
          <w:t>doi:10.1016/0304-3975(87)90045-4</w:t>
        </w:r>
      </w:hyperlink>
    </w:p>
    <w:p>
      <w:pPr>
        <w:pStyle w:val="BodyText"/>
        <w:numPr>
          <w:ilvl w:val="0"/>
          <w:numId w:val="19"/>
        </w:numPr>
        <w:rPr/>
      </w:pPr>
      <w:r>
        <w:rPr/>
        <w:t>[S6] Petri, C. A. (1966). Communication with Automata. Technical Report RADC-TR-65-377 (English translation; dissertation approved 1962).</w:t>
      </w:r>
    </w:p>
    <w:p>
      <w:pPr>
        <w:pStyle w:val="BodyText"/>
        <w:numPr>
          <w:ilvl w:val="0"/>
          <w:numId w:val="19"/>
        </w:numPr>
        <w:rPr/>
      </w:pPr>
      <w:r>
        <w:rPr/>
        <w:t xml:space="preserve">[S7] Green, T. J., Karvounarakis, G., &amp; Tannen, V. (2007). Provenance semirings. Proceedings of PODS, 31-40. </w:t>
      </w:r>
      <w:hyperlink r:id="rId32">
        <w:r>
          <w:rPr>
            <w:rStyle w:val="Hyperlink"/>
          </w:rPr>
          <w:t>doi:10.1145/1265530.1265535</w:t>
        </w:r>
      </w:hyperlink>
    </w:p>
    <w:p>
      <w:pPr>
        <w:pStyle w:val="BodyText"/>
        <w:numPr>
          <w:ilvl w:val="0"/>
          <w:numId w:val="19"/>
        </w:numPr>
        <w:rPr/>
      </w:pPr>
      <w:r>
        <w:rPr/>
        <w:t xml:space="preserve">[S8] Nerode, A. (1958). Linear automaton transformations. Proceedings of the American Mathematical Society, 9, 541-544. </w:t>
      </w:r>
      <w:hyperlink r:id="rId33">
        <w:r>
          <w:rPr>
            <w:rStyle w:val="Hyperlink"/>
          </w:rPr>
          <w:t>doi:10.1090/S0002-9939-1958-0135681-9</w:t>
        </w:r>
      </w:hyperlink>
    </w:p>
    <w:p>
      <w:pPr>
        <w:pStyle w:val="BodyText"/>
        <w:numPr>
          <w:ilvl w:val="0"/>
          <w:numId w:val="19"/>
        </w:numPr>
        <w:rPr/>
      </w:pPr>
      <w:r>
        <w:rPr/>
        <w:t>[S9] Littman, M. L., Sutton, R. S., &amp; Singh, S. (2001). Predictive representations of state. Advances in Neural Information Processing Systems, 14, 1555-1561.</w:t>
      </w:r>
    </w:p>
    <w:p>
      <w:pPr>
        <w:pStyle w:val="BodyText"/>
        <w:numPr>
          <w:ilvl w:val="0"/>
          <w:numId w:val="19"/>
        </w:numPr>
        <w:rPr/>
      </w:pPr>
      <w:r>
        <w:rPr/>
        <w:t>[S10] Aubin, J.-P., &amp; Cellina, A. (1982). Differential Inclusions and Viability Theory. IIASA WP-82-051.</w:t>
      </w:r>
    </w:p>
    <w:p>
      <w:pPr>
        <w:pStyle w:val="BodyText"/>
        <w:numPr>
          <w:ilvl w:val="0"/>
          <w:numId w:val="19"/>
        </w:numPr>
        <w:rPr/>
      </w:pPr>
      <w:r>
        <w:rPr/>
        <w:t xml:space="preserve">[S11] Manna, Z., &amp; Pnueli, A. (1991). Completing the temporal picture. Theoretical Computer Science, 83(1), 97-130. </w:t>
      </w:r>
      <w:hyperlink r:id="rId34">
        <w:r>
          <w:rPr>
            <w:rStyle w:val="Hyperlink"/>
          </w:rPr>
          <w:t>doi:10.1016/0304-3975(91)90041-Y</w:t>
        </w:r>
      </w:hyperlink>
    </w:p>
    <w:p>
      <w:pPr>
        <w:pStyle w:val="BodyText"/>
        <w:numPr>
          <w:ilvl w:val="0"/>
          <w:numId w:val="19"/>
        </w:numPr>
        <w:rPr/>
      </w:pPr>
      <w:r>
        <w:rPr/>
        <w:t xml:space="preserve">[S13] Doyle, J. (1979). A truth maintenance system. Artificial Intelligence, 12(3), 231-272. </w:t>
      </w:r>
      <w:hyperlink r:id="rId35">
        <w:r>
          <w:rPr>
            <w:rStyle w:val="Hyperlink"/>
          </w:rPr>
          <w:t>doi:10.1016/0004-3702(79)90008-0</w:t>
        </w:r>
      </w:hyperlink>
    </w:p>
    <w:p>
      <w:pPr>
        <w:pStyle w:val="BodyText"/>
        <w:numPr>
          <w:ilvl w:val="0"/>
          <w:numId w:val="19"/>
        </w:numPr>
        <w:rPr/>
      </w:pPr>
      <w:r>
        <w:rPr/>
        <w:t xml:space="preserve">[S14] Hansen, J., &amp; Ghrist, R. (2019). Toward a spectral theory of cellular sheaves. Journal of Applied and Computational Topology, 3, 315-358. </w:t>
      </w:r>
      <w:hyperlink r:id="rId36">
        <w:r>
          <w:rPr>
            <w:rStyle w:val="Hyperlink"/>
          </w:rPr>
          <w:t>doi:10.1007/s41468-019-00038-7</w:t>
        </w:r>
      </w:hyperlink>
    </w:p>
    <w:p>
      <w:pPr>
        <w:pStyle w:val="BodyText"/>
        <w:numPr>
          <w:ilvl w:val="0"/>
          <w:numId w:val="19"/>
        </w:numPr>
        <w:rPr/>
      </w:pPr>
      <w:r>
        <w:rPr/>
        <w:t xml:space="preserve">[S15] Sanfelice, R. G., Goebel, R., &amp; Teel, A. R. (2008). Generalized solutions to hybrid dynamical systems. ESAIM: COCV, 14(4), 699-724. </w:t>
      </w:r>
      <w:hyperlink r:id="rId37">
        <w:r>
          <w:rPr>
            <w:rStyle w:val="Hyperlink"/>
          </w:rPr>
          <w:t>doi:10.1051/cocv:2008008</w:t>
        </w:r>
      </w:hyperlink>
    </w:p>
    <w:p>
      <w:pPr>
        <w:pStyle w:val="BodyText"/>
        <w:numPr>
          <w:ilvl w:val="0"/>
          <w:numId w:val="19"/>
        </w:numPr>
        <w:rPr/>
      </w:pPr>
      <w:r>
        <w:rPr/>
        <w:t>[S16] Lean 4. Theorem Proving in Lean 4: Type Classes (Decidable propositions and effective case analysis). PAL v1.6 did not pin a commit; implementations must record the exact version used.</w:t>
      </w:r>
    </w:p>
    <w:p>
      <w:pPr>
        <w:pStyle w:val="BodyText"/>
        <w:numPr>
          <w:ilvl w:val="0"/>
          <w:numId w:val="19"/>
        </w:numPr>
        <w:rPr/>
      </w:pPr>
      <w:r>
        <w:rPr/>
        <w:t>[S17] Mathlib 4. Mathlib.Logic.Basic (constructive and classical logical infrastructure). PAL v1.6 did not pin a commit; implementations must record the exact version used.</w:t>
      </w:r>
    </w:p>
    <w:p>
      <w:pPr>
        <w:pStyle w:val="BodyText"/>
        <w:numPr>
          <w:ilvl w:val="0"/>
          <w:numId w:val="19"/>
        </w:numPr>
        <w:rPr/>
      </w:pPr>
      <w:r>
        <w:rPr/>
        <w:t>[S18] Mathlib 4. Mathlib.Order.WellFounded (well-founded relations and induction). PAL v1.6 did not pin a commit; implementations must record the exact version used.</w:t>
      </w:r>
    </w:p>
    <w:p>
      <w:pPr>
        <w:pStyle w:val="BodyText"/>
        <w:numPr>
          <w:ilvl w:val="0"/>
          <w:numId w:val="19"/>
        </w:numPr>
        <w:rPr/>
      </w:pPr>
      <w:r>
        <w:rPr/>
        <w:t xml:space="preserve">[S19] Martin-Löf, P. (1975). An intuitionistic theory of types: Predicative part. Logic Colloquium ’73, 73-118. </w:t>
      </w:r>
      <w:hyperlink r:id="rId38">
        <w:r>
          <w:rPr>
            <w:rStyle w:val="Hyperlink"/>
          </w:rPr>
          <w:t>doi:10.1016/S0049-237X(08)71945-1</w:t>
        </w:r>
      </w:hyperlink>
    </w:p>
    <w:p>
      <w:pPr>
        <w:pStyle w:val="BodyText"/>
        <w:numPr>
          <w:ilvl w:val="0"/>
          <w:numId w:val="19"/>
        </w:numPr>
        <w:rPr/>
      </w:pPr>
      <w:r>
        <w:rPr/>
        <w:t xml:space="preserve">[S25] Werner, R. F. (1989). Quantum states with Einstein-Podolsky-Rosen correlations admitting a hidden-variable model. Physical Review A, 40, 4277-4281. </w:t>
      </w:r>
      <w:hyperlink r:id="rId39">
        <w:r>
          <w:rPr>
            <w:rStyle w:val="Hyperlink"/>
          </w:rPr>
          <w:t>doi:10.1103/PhysRevA.40.4277</w:t>
        </w:r>
      </w:hyperlink>
    </w:p>
    <w:p>
      <w:pPr>
        <w:pStyle w:val="BodyText"/>
        <w:numPr>
          <w:ilvl w:val="0"/>
          <w:numId w:val="19"/>
        </w:numPr>
        <w:rPr/>
      </w:pPr>
      <w:r>
        <w:rPr/>
        <w:t xml:space="preserve">[S26] Horodecki, M., Horodecki, P., &amp; Horodecki, R. (1996). Separability of mixed states: Necessary and sufficient conditions. Physics Letters A, 223, 1-8. </w:t>
      </w:r>
      <w:hyperlink r:id="rId40">
        <w:r>
          <w:rPr>
            <w:rStyle w:val="Hyperlink"/>
          </w:rPr>
          <w:t>doi:10.1016/S0375-9601(96)00706-2</w:t>
        </w:r>
      </w:hyperlink>
    </w:p>
    <w:p>
      <w:pPr>
        <w:pStyle w:val="BodyText"/>
        <w:numPr>
          <w:ilvl w:val="0"/>
          <w:numId w:val="19"/>
        </w:numPr>
        <w:rPr/>
      </w:pPr>
      <w:r>
        <w:rPr/>
        <w:t xml:space="preserve">[S27] Bell, J. S. (1964). On the Einstein Podolsky Rosen paradox. Physics Physique Fizika, 1, 195-200. </w:t>
      </w:r>
      <w:hyperlink r:id="rId41">
        <w:r>
          <w:rPr>
            <w:rStyle w:val="Hyperlink"/>
          </w:rPr>
          <w:t>doi:10.1103/PhysicsPhysiqueFizika.1.195</w:t>
        </w:r>
      </w:hyperlink>
    </w:p>
    <w:p>
      <w:pPr>
        <w:pStyle w:val="BodyText"/>
        <w:numPr>
          <w:ilvl w:val="0"/>
          <w:numId w:val="19"/>
        </w:numPr>
        <w:rPr/>
      </w:pPr>
      <w:r>
        <w:rPr/>
        <w:t xml:space="preserve">[S28] Coecke, B., Fritz, T., &amp; Spekkens, R. W. (2016). A mathematical theory of resources. Information and Computation, 250, 59-86. </w:t>
      </w:r>
      <w:hyperlink r:id="rId42">
        <w:r>
          <w:rPr>
            <w:rStyle w:val="Hyperlink"/>
          </w:rPr>
          <w:t>doi:10.1016/j.ic.2016.02.008</w:t>
        </w:r>
      </w:hyperlink>
    </w:p>
    <w:p>
      <w:pPr>
        <w:pStyle w:val="BodyText"/>
        <w:numPr>
          <w:ilvl w:val="0"/>
          <w:numId w:val="19"/>
        </w:numPr>
        <w:rPr/>
      </w:pPr>
      <w:r>
        <w:rPr/>
        <w:t xml:space="preserve">[S29] Fritz, T. (2017). Resource convertibility and ordered commutative monoids. Mathematical Structures in Computer Science, 27(6), 850-938. </w:t>
      </w:r>
      <w:hyperlink r:id="rId43">
        <w:r>
          <w:rPr>
            <w:rStyle w:val="Hyperlink"/>
          </w:rPr>
          <w:t>doi:10.1017/S0960129515000444</w:t>
        </w:r>
      </w:hyperlink>
    </w:p>
    <w:p>
      <w:pPr>
        <w:pStyle w:val="BodyText"/>
        <w:numPr>
          <w:ilvl w:val="0"/>
          <w:numId w:val="19"/>
        </w:numPr>
        <w:rPr/>
      </w:pPr>
      <w:r>
        <w:rPr/>
        <w:t>[S30] Rockafellar, R. T. (1970). Convex Analysis. Princeton University Press.</w:t>
      </w:r>
    </w:p>
    <w:p>
      <w:pPr>
        <w:pStyle w:val="BodyText"/>
        <w:numPr>
          <w:ilvl w:val="0"/>
          <w:numId w:val="19"/>
        </w:numPr>
        <w:rPr/>
      </w:pPr>
      <w:r>
        <w:rPr/>
        <w:t>[S33] Mathlib 4. Mathlib.CategoryTheory.PathCategory.Basic (finite paths on a quiver and extension of edge maps to path composition). PAL v1.6 did not pin a commit; implementations must record the exact version used.</w:t>
      </w:r>
    </w:p>
    <w:p>
      <w:pPr>
        <w:pStyle w:val="BodyText"/>
        <w:numPr>
          <w:ilvl w:val="0"/>
          <w:numId w:val="19"/>
        </w:numPr>
        <w:rPr/>
      </w:pPr>
      <w:r>
        <w:rPr/>
        <w:t>[S36] Mathlib 4. Mathlib.Order.WellFounded (well-founded induction and absence of infinite descending chains). PAL v1.6 did not pin a commit; implementations must record the exact version used.</w:t>
      </w:r>
    </w:p>
    <w:p>
      <w:pPr>
        <w:pStyle w:val="BodyText"/>
        <w:numPr>
          <w:ilvl w:val="0"/>
          <w:numId w:val="19"/>
        </w:numPr>
        <w:rPr/>
      </w:pPr>
      <w:r>
        <w:rPr/>
        <w:t xml:space="preserve">[S39] Gabbay, M. J., &amp; Pitts, A. M. (2002). A new approach to abstract syntax with variable binding. Formal Aspects of Computing, 13, 341-363. </w:t>
      </w:r>
      <w:hyperlink r:id="rId44">
        <w:r>
          <w:rPr>
            <w:rStyle w:val="Hyperlink"/>
          </w:rPr>
          <w:t>doi:10.1007/s001650200016</w:t>
        </w:r>
      </w:hyperlink>
    </w:p>
    <w:p>
      <w:pPr>
        <w:pStyle w:val="BodyText"/>
        <w:numPr>
          <w:ilvl w:val="0"/>
          <w:numId w:val="19"/>
        </w:numPr>
        <w:rPr/>
      </w:pPr>
      <w:r>
        <w:rPr/>
        <w:t xml:space="preserve">[S40] Pitts, A. M. (2013). Nominal Sets: Names and Symmetry in Computer Science. Cambridge University Press. </w:t>
      </w:r>
      <w:hyperlink r:id="rId45">
        <w:r>
          <w:rPr>
            <w:rStyle w:val="Hyperlink"/>
          </w:rPr>
          <w:t>doi:10.1017/CBO9781139084673</w:t>
        </w:r>
      </w:hyperlink>
    </w:p>
    <w:p>
      <w:pPr>
        <w:pStyle w:val="BodyText"/>
        <w:numPr>
          <w:ilvl w:val="0"/>
          <w:numId w:val="19"/>
        </w:numPr>
        <w:rPr/>
      </w:pPr>
      <w:r>
        <w:rPr/>
        <w:t xml:space="preserve">[S41] Honda, K., Vasconcelos, V. T., &amp; Kubo, M. (1998). Language primitives and type discipline for structured communication-based programming. ESOP 1998, 122-138. </w:t>
      </w:r>
      <w:hyperlink r:id="rId46">
        <w:r>
          <w:rPr>
            <w:rStyle w:val="Hyperlink"/>
          </w:rPr>
          <w:t>doi:10.1007/BFb0053567</w:t>
        </w:r>
      </w:hyperlink>
    </w:p>
    <w:p>
      <w:pPr>
        <w:pStyle w:val="BodyText"/>
        <w:numPr>
          <w:ilvl w:val="0"/>
          <w:numId w:val="19"/>
        </w:numPr>
        <w:rPr/>
      </w:pPr>
      <w:r>
        <w:rPr/>
        <w:t>[S42] Cover, T. M., &amp; Thomas, J. A. (2006). Elements of Information Theory (2nd ed.). Wiley. doi:10.1002/047174882X</w:t>
      </w:r>
    </w:p>
    <w:p>
      <w:pPr>
        <w:pStyle w:val="BodyText"/>
        <w:numPr>
          <w:ilvl w:val="0"/>
          <w:numId w:val="19"/>
        </w:numPr>
        <w:rPr/>
      </w:pPr>
      <w:r>
        <w:rPr/>
        <w:t xml:space="preserve">[S43] Lamport, L. (1994). The temporal logic of actions. ACM Transactions on Programming Languages and Systems, 16(3), 872–923. </w:t>
      </w:r>
      <w:hyperlink r:id="rId47">
        <w:r>
          <w:rPr>
            <w:rStyle w:val="Hyperlink"/>
          </w:rPr>
          <w:t>doi:10.1145/177492.177726</w:t>
        </w:r>
      </w:hyperlink>
      <w:r>
        <w:rPr/>
        <w:t>. Neighboring source for stutter terminology; it does not supply PAL re-entry authority.</w:t>
      </w:r>
    </w:p>
    <w:p>
      <w:pPr>
        <w:pStyle w:val="BodyText"/>
        <w:numPr>
          <w:ilvl w:val="0"/>
          <w:numId w:val="19"/>
        </w:numPr>
        <w:rPr/>
      </w:pPr>
      <w:r>
        <w:rPr/>
        <w:t xml:space="preserve">[S44] Nair, U. P. (2004). Elementary results on the binary quadratic form a²+ab+b². arXiv:math/0408107. </w:t>
      </w:r>
      <w:hyperlink r:id="rId48">
        <w:r>
          <w:rPr>
            <w:rStyle w:val="Hyperlink"/>
          </w:rPr>
          <w:t>doi:10.48550/arXiv.math/0408107</w:t>
        </w:r>
      </w:hyperlink>
      <w:r>
        <w:rPr/>
        <w:t>. Used for representability; not the sole source for the general count formula.</w:t>
      </w:r>
    </w:p>
    <w:p>
      <w:pPr>
        <w:pStyle w:val="BodyText"/>
        <w:numPr>
          <w:ilvl w:val="0"/>
          <w:numId w:val="19"/>
        </w:numPr>
        <w:rPr/>
      </w:pPr>
      <w:r>
        <w:rPr/>
        <w:t xml:space="preserve">[S45] Marmon, O. (2005). Hexagonal Lattice Points on Circles. arXiv:math/0508201. </w:t>
      </w:r>
      <w:hyperlink r:id="rId49">
        <w:r>
          <w:rPr>
            <w:rStyle w:val="Hyperlink"/>
          </w:rPr>
          <w:t>doi:10.48550/arXiv.math/0508201</w:t>
        </w:r>
      </w:hyperlink>
      <w:r>
        <w:rPr/>
        <w:t>. Source for Eisenstein/hexagonal representation counts, angular packets, and associated Hecke/Dirichlet-series structure.</w:t>
      </w:r>
    </w:p>
    <w:p>
      <w:pPr>
        <w:pStyle w:val="BodyText"/>
        <w:numPr>
          <w:ilvl w:val="0"/>
          <w:numId w:val="19"/>
        </w:numPr>
        <w:rPr/>
      </w:pPr>
      <w:r>
        <w:rPr/>
        <w:t xml:space="preserve">[S46] Fung, S. P. Y. (2021). Is This the Simplest (and Most Surprising) Sorting Algorithm Ever? arXiv:2110.01111. </w:t>
      </w:r>
      <w:hyperlink r:id="rId50">
        <w:r>
          <w:rPr>
            <w:rStyle w:val="Hyperlink"/>
          </w:rPr>
          <w:t>doi:10.48550/arXiv.2110.01111</w:t>
        </w:r>
      </w:hyperlink>
      <w:r>
        <w:rPr/>
        <w:t>.</w:t>
      </w:r>
    </w:p>
    <w:p>
      <w:pPr>
        <w:pStyle w:val="BodyText"/>
        <w:numPr>
          <w:ilvl w:val="0"/>
          <w:numId w:val="19"/>
        </w:numPr>
        <w:rPr/>
      </w:pPr>
      <w:r>
        <w:rPr/>
        <w:t>[A1] Pang, C. D. (2026). RAINBOW Math Atlas SVG Plate Suite. Six author-directed static SVG figures and caption/insertion notes prepared for PAL v2.3-M. Included as release assets; not an independent authority surface.</w:t>
      </w:r>
    </w:p>
    <w:p>
      <w:pPr>
        <w:pStyle w:val="Heading1"/>
        <w:keepNext/>
        <w:keepLines/>
        <w:rPr/>
      </w:pPr>
      <w:bookmarkStart w:id="77" w:name="recommended-citation"/>
      <w:r>
        <w:rPr/>
        <w:t>Recommended citation</w:t>
      </w:r>
      <w:bookmarkEnd w:id="77"/>
    </w:p>
    <w:p>
      <w:pPr>
        <w:pStyle w:val="Normal"/>
        <w:keepNext/>
        <w:keepLines/>
        <w:rPr/>
      </w:pPr>
      <w:r>
        <w:rPr/>
        <w:t>Pang, Christopher D. (2026). PAL v2.3 — Primitive Axiom Layers. Zenodo. https://doi.org/10.5281/zenodo.22240134</w:t>
      </w:r>
    </w:p>
    <w:p>
      <w:pPr>
        <w:pStyle w:val="BodyText"/>
        <w:rPr/>
      </w:pPr>
      <w:r>
        <w:rPr/>
        <w:t>Component cited: PAL v2.3-M — Mathematical Realization Atlas. The DOI identifies the coordinated five-face package.</w:t>
      </w:r>
    </w:p>
    <w:p>
      <w:pPr>
        <w:pStyle w:val="BodyText"/>
        <w:rPr/>
      </w:pPr>
      <w:r>
        <w:rPr/>
        <w:t>DOI record: 10.5281/zenodo.22240134</w:t>
      </w:r>
    </w:p>
    <w:p>
      <w:pPr>
        <w:pStyle w:val="Heading1"/>
        <w:keepNext/>
        <w:keepLines/>
        <w:rPr/>
      </w:pPr>
      <w:bookmarkStart w:id="78" w:name="license-and-attribution"/>
      <w:r>
        <w:rPr/>
        <w:t>License and attribution</w:t>
      </w:r>
      <w:bookmarkEnd w:id="78"/>
    </w:p>
    <w:p>
      <w:pPr>
        <w:pStyle w:val="Normal"/>
        <w:keepNext/>
        <w:keepLines/>
        <w:rPr/>
      </w:pPr>
      <w:r>
        <w:rPr/>
        <w:t>© 2026 Christopher D. Pang. This work is licensed under Creative Commons Attribution 4.0 International (CC BY 4.0).</w:t>
      </w:r>
    </w:p>
    <w:p>
      <w:pPr>
        <w:pStyle w:val="BodyText"/>
        <w:rPr/>
      </w:pPr>
      <w:hyperlink r:id="rId51">
        <w:r>
          <w:rPr>
            <w:rStyle w:val="Hyperlink"/>
          </w:rPr>
          <w:t>CC BY 4.0 license</w:t>
        </w:r>
      </w:hyperlink>
    </w:p>
    <w:p>
      <w:pPr>
        <w:pStyle w:val="Heading1"/>
        <w:keepNext/>
        <w:keepLines/>
        <w:rPr/>
      </w:pPr>
      <w:bookmarkStart w:id="79" w:name="ai-assistance-authorship-and-release-tra"/>
      <w:r>
        <w:rPr/>
        <w:t>AI assistance, authorship, and release trace</w:t>
      </w:r>
      <w:bookmarkEnd w:id="79"/>
    </w:p>
    <w:p>
      <w:pPr>
        <w:pStyle w:val="Normal"/>
        <w:keepNext/>
        <w:keepLines/>
        <w:rPr/>
      </w:pPr>
      <w:r>
        <w:rPr/>
        <w:t>Christopher D. Pang originated PAL’s framework and conceptual identities, supplied its source corpus and terminology, and is its sole author, steward, and release authority. AI tools assisted drafting, editing, mathematical exploration, code and fixture development, adversarial review, source reconciliation, testing, document generation, and formatting under his direction. They are not authors, co-authors, inventors, owners, stewards, witnesses, release authorities, or independent corroborators. Model output is not privileged testimony or independent corroboration. Christopher D. Pang remains responsible for every definition, proof, citation, interpretation, framework placement, release decision, and unresolved obligation in this component.</w:t>
      </w:r>
    </w:p>
    <w:p>
      <w:pPr>
        <w:pStyle w:val="Heading1"/>
        <w:keepNext/>
        <w:keepLines/>
        <w:rPr/>
      </w:pPr>
      <w:bookmarkStart w:id="80" w:name="end-of-component-trace"/>
      <w:r>
        <w:rPr/>
        <w:t>End-of-component trace</w:t>
      </w:r>
      <w:bookmarkEnd w:id="8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Trace</w:t>
            </w:r>
          </w:p>
        </w:tc>
      </w:tr>
      <w:tr>
        <w:trPr/>
        <w:tc>
          <w:tcPr>
            <w:tcW w:w="2621" w:type="dxa"/>
            <w:tcBorders/>
            <w:vAlign w:val="top"/>
          </w:tcPr>
          <w:p>
            <w:pPr>
              <w:pStyle w:val="Normal"/>
              <w:widowControl/>
              <w:bidi w:val="0"/>
              <w:spacing w:lineRule="auto" w:line="240" w:before="0" w:after="40"/>
              <w:jc w:val="start"/>
              <w:rPr/>
            </w:pPr>
            <w:r>
              <w:rPr>
                <w:sz w:val="19"/>
              </w:rPr>
              <w:t>Release</w:t>
            </w:r>
          </w:p>
        </w:tc>
        <w:tc>
          <w:tcPr>
            <w:tcW w:w="6739" w:type="dxa"/>
            <w:tcBorders/>
            <w:vAlign w:val="top"/>
          </w:tcPr>
          <w:p>
            <w:pPr>
              <w:pStyle w:val="Normal"/>
              <w:widowControl/>
              <w:bidi w:val="0"/>
              <w:spacing w:lineRule="auto" w:line="240" w:before="0" w:after="40"/>
              <w:jc w:val="start"/>
              <w:rPr/>
            </w:pPr>
            <w:r>
              <w:rPr>
                <w:sz w:val="19"/>
              </w:rPr>
              <w:t>PAL v2.3; 2 September 2026; DOI 10.5281/zenodo.22240134</w:t>
            </w:r>
          </w:p>
        </w:tc>
      </w:tr>
      <w:tr>
        <w:trPr/>
        <w:tc>
          <w:tcPr>
            <w:tcW w:w="2621" w:type="dxa"/>
            <w:tcBorders/>
            <w:vAlign w:val="top"/>
            <w:shd w:fill="F7F9FB"/>
          </w:tcPr>
          <w:p>
            <w:pPr>
              <w:pStyle w:val="Normal"/>
              <w:widowControl/>
              <w:bidi w:val="0"/>
              <w:spacing w:lineRule="auto" w:line="240" w:before="0" w:after="40"/>
              <w:jc w:val="start"/>
              <w:rPr/>
            </w:pPr>
            <w:r>
              <w:rPr>
                <w:sz w:val="19"/>
              </w:rPr>
              <w:t>Component</w:t>
            </w:r>
          </w:p>
        </w:tc>
        <w:tc>
          <w:tcPr>
            <w:tcW w:w="6739" w:type="dxa"/>
            <w:tcBorders/>
            <w:vAlign w:val="top"/>
            <w:shd w:fill="F7F9FB"/>
          </w:tcPr>
          <w:p>
            <w:pPr>
              <w:pStyle w:val="Normal"/>
              <w:widowControl/>
              <w:bidi w:val="0"/>
              <w:spacing w:lineRule="auto" w:line="240" w:before="0" w:after="40"/>
              <w:jc w:val="start"/>
              <w:rPr/>
            </w:pPr>
            <w:r>
              <w:rPr>
                <w:sz w:val="19"/>
              </w:rPr>
              <w:t>PAL v2.3-M — Mathematical Realization Atlas</w:t>
            </w:r>
          </w:p>
        </w:tc>
      </w:tr>
      <w:tr>
        <w:trPr/>
        <w:tc>
          <w:tcPr>
            <w:tcW w:w="2621" w:type="dxa"/>
            <w:tcBorders/>
            <w:vAlign w:val="top"/>
          </w:tcPr>
          <w:p>
            <w:pPr>
              <w:pStyle w:val="Normal"/>
              <w:widowControl/>
              <w:bidi w:val="0"/>
              <w:spacing w:lineRule="auto" w:line="240" w:before="0" w:after="40"/>
              <w:jc w:val="start"/>
              <w:rPr/>
            </w:pPr>
            <w:r>
              <w:rPr>
                <w:sz w:val="19"/>
              </w:rPr>
              <w:t>Version/date/DOI</w:t>
            </w:r>
          </w:p>
        </w:tc>
        <w:tc>
          <w:tcPr>
            <w:tcW w:w="6739" w:type="dxa"/>
            <w:tcBorders/>
            <w:vAlign w:val="top"/>
          </w:tcPr>
          <w:p>
            <w:pPr>
              <w:pStyle w:val="Normal"/>
              <w:widowControl/>
              <w:bidi w:val="0"/>
              <w:spacing w:lineRule="auto" w:line="240" w:before="0" w:after="40"/>
              <w:jc w:val="start"/>
              <w:rPr/>
            </w:pPr>
            <w:r>
              <w:rPr>
                <w:sz w:val="19"/>
              </w:rPr>
              <w:t>2.3; 2 September 2026; 10.5281/zenodo.22240134</w:t>
            </w:r>
          </w:p>
        </w:tc>
      </w:tr>
      <w:tr>
        <w:trPr/>
        <w:tc>
          <w:tcPr>
            <w:tcW w:w="2621" w:type="dxa"/>
            <w:tcBorders/>
            <w:vAlign w:val="top"/>
            <w:shd w:fill="F7F9FB"/>
          </w:tcPr>
          <w:p>
            <w:pPr>
              <w:pStyle w:val="Normal"/>
              <w:widowControl/>
              <w:bidi w:val="0"/>
              <w:spacing w:lineRule="auto" w:line="240" w:before="0" w:after="40"/>
              <w:jc w:val="start"/>
              <w:rPr/>
            </w:pPr>
            <w:r>
              <w:rPr>
                <w:sz w:val="19"/>
              </w:rPr>
              <w:t>Author/steward</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Authority role</w:t>
            </w:r>
          </w:p>
        </w:tc>
        <w:tc>
          <w:tcPr>
            <w:tcW w:w="6739" w:type="dxa"/>
            <w:tcBorders/>
            <w:vAlign w:val="top"/>
          </w:tcPr>
          <w:p>
            <w:pPr>
              <w:pStyle w:val="Normal"/>
              <w:widowControl/>
              <w:bidi w:val="0"/>
              <w:spacing w:lineRule="auto" w:line="240" w:before="0" w:after="40"/>
              <w:jc w:val="start"/>
              <w:rPr/>
            </w:pPr>
            <w:r>
              <w:rPr>
                <w:sz w:val="19"/>
              </w:rPr>
              <w:t>Controls only the bounded formal claims and assumptions stated on its realization cards.</w:t>
            </w:r>
          </w:p>
        </w:tc>
      </w:tr>
      <w:tr>
        <w:trPr/>
        <w:tc>
          <w:tcPr>
            <w:tcW w:w="2621" w:type="dxa"/>
            <w:tcBorders/>
            <w:vAlign w:val="top"/>
            <w:shd w:fill="F7F9FB"/>
          </w:tcPr>
          <w:p>
            <w:pPr>
              <w:pStyle w:val="Normal"/>
              <w:widowControl/>
              <w:bidi w:val="0"/>
              <w:spacing w:lineRule="auto" w:line="240" w:before="0" w:after="40"/>
              <w:jc w:val="start"/>
              <w:rPr/>
            </w:pPr>
            <w:r>
              <w:rPr>
                <w:sz w:val="19"/>
              </w:rPr>
              <w:t>Immediate predecessor</w:t>
            </w:r>
          </w:p>
        </w:tc>
        <w:tc>
          <w:tcPr>
            <w:tcW w:w="6739" w:type="dxa"/>
            <w:tcBorders/>
            <w:vAlign w:val="top"/>
            <w:shd w:fill="F7F9FB"/>
          </w:tcPr>
          <w:p>
            <w:pPr>
              <w:pStyle w:val="Normal"/>
              <w:widowControl/>
              <w:bidi w:val="0"/>
              <w:spacing w:lineRule="auto" w:line="240" w:before="0" w:after="40"/>
              <w:jc w:val="start"/>
              <w:rPr/>
            </w:pPr>
            <w:r>
              <w:rPr>
                <w:sz w:val="19"/>
              </w:rPr>
              <w:t>PAL_v2.2-M_Mathematical_Realization_Atlas.docx; DOCX SHA-256 0c306fd44e9de3a36c8d18680770c0fff17fd01fd2de15e468a52dcaffdecf2b; PDF SHA-256 d315500d79bfcb21d07a9ab63f477680835175aa3183d9ac7a978b503ae8da11; PAL v2.2 release DOI 10.5281/zenodo.21891598</w:t>
            </w:r>
          </w:p>
        </w:tc>
      </w:tr>
      <w:tr>
        <w:trPr/>
        <w:tc>
          <w:tcPr>
            <w:tcW w:w="2621" w:type="dxa"/>
            <w:tcBorders/>
            <w:vAlign w:val="top"/>
          </w:tcPr>
          <w:p>
            <w:pPr>
              <w:pStyle w:val="Normal"/>
              <w:widowControl/>
              <w:bidi w:val="0"/>
              <w:spacing w:lineRule="auto" w:line="240" w:before="0" w:after="40"/>
              <w:jc w:val="start"/>
              <w:rPr/>
            </w:pPr>
            <w:r>
              <w:rPr>
                <w:sz w:val="19"/>
              </w:rPr>
              <w:t>Release authority</w:t>
            </w:r>
          </w:p>
        </w:tc>
        <w:tc>
          <w:tcPr>
            <w:tcW w:w="6739" w:type="dxa"/>
            <w:tcBorders/>
            <w:vAlign w:val="top"/>
          </w:tcPr>
          <w:p>
            <w:pPr>
              <w:pStyle w:val="Normal"/>
              <w:widowControl/>
              <w:bidi w:val="0"/>
              <w:spacing w:lineRule="auto" w:line="240" w:before="0" w:after="40"/>
              <w:jc w:val="start"/>
              <w:rPr/>
            </w:pPr>
            <w:r>
              <w:rPr>
                <w:sz w:val="19"/>
              </w:rPr>
              <w:t>Christopher D. Pang’s 2 September 2026 release instruction; the external non-signature AUTHOR_RELEASE_RECEIPT.json binds the final internal manifest/hash set.</w:t>
            </w:r>
          </w:p>
        </w:tc>
      </w:tr>
      <w:tr>
        <w:trPr/>
        <w:tc>
          <w:tcPr>
            <w:tcW w:w="2621" w:type="dxa"/>
            <w:tcBorders/>
            <w:vAlign w:val="top"/>
            <w:shd w:fill="F7F9FB"/>
          </w:tcPr>
          <w:p>
            <w:pPr>
              <w:pStyle w:val="Normal"/>
              <w:widowControl/>
              <w:bidi w:val="0"/>
              <w:spacing w:lineRule="auto" w:line="240" w:before="0" w:after="40"/>
              <w:jc w:val="start"/>
              <w:rPr/>
            </w:pPr>
            <w:r>
              <w:rPr>
                <w:sz w:val="19"/>
              </w:rPr>
              <w:t>External manifest</w:t>
            </w:r>
          </w:p>
        </w:tc>
        <w:tc>
          <w:tcPr>
            <w:tcW w:w="6739" w:type="dxa"/>
            <w:tcBorders/>
            <w:vAlign w:val="top"/>
            <w:shd w:fill="F7F9FB"/>
          </w:tcPr>
          <w:p>
            <w:pPr>
              <w:pStyle w:val="Normal"/>
              <w:widowControl/>
              <w:bidi w:val="0"/>
              <w:spacing w:lineRule="auto" w:line="240" w:before="0" w:after="40"/>
              <w:jc w:val="start"/>
              <w:rPr/>
            </w:pPr>
            <w:r>
              <w:rPr>
                <w:sz w:val="19"/>
              </w:rPr>
              <w:t>Final DOCX/PDF byte identities are recorded only in the external package manifest and PAL_v2.3_SHA256SUMS.txt after rendering and freeze; algorithm SHA-256.</w:t>
            </w:r>
          </w:p>
        </w:tc>
      </w:tr>
      <w:tr>
        <w:trPr/>
        <w:tc>
          <w:tcPr>
            <w:tcW w:w="2621" w:type="dxa"/>
            <w:tcBorders/>
            <w:vAlign w:val="top"/>
          </w:tcPr>
          <w:p>
            <w:pPr>
              <w:pStyle w:val="Normal"/>
              <w:widowControl/>
              <w:bidi w:val="0"/>
              <w:spacing w:lineRule="auto" w:line="240" w:before="0" w:after="40"/>
              <w:jc w:val="start"/>
              <w:rPr/>
            </w:pPr>
            <w:r>
              <w:rPr>
                <w:sz w:val="19"/>
              </w:rPr>
              <w:t>Integrity ceiling</w:t>
            </w:r>
          </w:p>
        </w:tc>
        <w:tc>
          <w:tcPr>
            <w:tcW w:w="6739" w:type="dxa"/>
            <w:tcBorders/>
            <w:vAlign w:val="top"/>
          </w:tcPr>
          <w:p>
            <w:pPr>
              <w:pStyle w:val="Normal"/>
              <w:widowControl/>
              <w:bidi w:val="0"/>
              <w:spacing w:lineRule="auto" w:line="240" w:before="0" w:after="40"/>
              <w:jc w:val="start"/>
              <w:rPr/>
            </w:pPr>
            <w:r>
              <w:rPr>
                <w:sz w:val="19"/>
              </w:rPr>
              <w:t>Hashes detect byte identity only; they do not create authorship, authenticity, consent, standing, adoption, or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Reopening/change route</w:t>
            </w:r>
          </w:p>
        </w:tc>
        <w:tc>
          <w:tcPr>
            <w:tcW w:w="6739" w:type="dxa"/>
            <w:tcBorders/>
            <w:vAlign w:val="top"/>
            <w:shd w:fill="F7F9FB"/>
          </w:tcPr>
          <w:p>
            <w:pPr>
              <w:pStyle w:val="Normal"/>
              <w:widowControl/>
              <w:bidi w:val="0"/>
              <w:spacing w:lineRule="auto" w:line="240" w:before="0" w:after="40"/>
              <w:jc w:val="start"/>
              <w:rPr/>
            </w:pPr>
            <w:r>
              <w:rPr>
                <w:sz w:val="19"/>
              </w:rPr>
              <w:t>Any material change requires a new PAL v2.3-L decision receipt and PAL v2.3-T regression evidence; prior bytes remain frozen.</w:t>
            </w:r>
          </w:p>
        </w:tc>
      </w:tr>
      <w:tr>
        <w:trPr/>
        <w:tc>
          <w:tcPr>
            <w:tcW w:w="2621" w:type="dxa"/>
            <w:tcBorders/>
            <w:vAlign w:val="top"/>
          </w:tcPr>
          <w:p>
            <w:pPr>
              <w:pStyle w:val="Normal"/>
              <w:widowControl/>
              <w:bidi w:val="0"/>
              <w:spacing w:lineRule="auto" w:line="240" w:before="0" w:after="40"/>
              <w:jc w:val="start"/>
              <w:rPr/>
            </w:pPr>
            <w:r>
              <w:rPr>
                <w:sz w:val="19"/>
              </w:rPr>
              <w:t>Assistance trace</w:t>
            </w:r>
          </w:p>
        </w:tc>
        <w:tc>
          <w:tcPr>
            <w:tcW w:w="6739" w:type="dxa"/>
            <w:tcBorders/>
            <w:vAlign w:val="top"/>
          </w:tcPr>
          <w:p>
            <w:pPr>
              <w:pStyle w:val="Normal"/>
              <w:widowControl/>
              <w:bidi w:val="0"/>
              <w:spacing w:lineRule="auto" w:line="240" w:before="0" w:after="40"/>
              <w:jc w:val="start"/>
              <w:rPr/>
            </w:pPr>
            <w:r>
              <w:rPr>
                <w:sz w:val="19"/>
              </w:rPr>
              <w:t>OpenAI ChatGPT/Codex supplied the disclosed tool assistance. Tool output is not authorship, release authority, witness testimony, or independent corroboration.</w:t>
            </w:r>
          </w:p>
        </w:tc>
      </w:tr>
    </w:tbl>
    <w:p>
      <w:pPr>
        <w:pStyle w:val="Normal"/>
        <w:keepNext/>
        <w:keepLines/>
        <w:widowControl/>
        <w:bidi w:val="0"/>
        <w:spacing w:lineRule="auto" w:line="300" w:before="0" w:after="120"/>
        <w:jc w:val="start"/>
        <w:rPr/>
      </w:pPr>
      <w:r>
        <w:rPr/>
        <w:t>This component is authoritative only within the role stated above. Later evidence appends a linked record; it does not rewrite this release or enlarge its authority.</w:t>
      </w:r>
    </w:p>
    <w:sectPr>
      <w:headerReference w:type="default" r:id="rId52"/>
      <w:headerReference w:type="first" r:id="rId53"/>
      <w:footerReference w:type="default" r:id="rId54"/>
      <w:footerReference w:type="first" r:id="rId55"/>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5A626C"/>
        <w:sz w:val="16"/>
      </w:rPr>
      <w:t xml:space="preserve">Page </w:t>
    </w:r>
    <w:r>
      <w:rPr>
        <w:rFonts w:ascii="Calibri" w:hAnsi="Calibri"/>
        <w:color w:val="5A626C"/>
        <w:sz w:val="16"/>
      </w:rPr>
      <w:fldChar w:fldCharType="begin"/>
    </w:r>
    <w:r>
      <w:rPr>
        <w:rFonts w:ascii="Calibri" w:hAnsi="Calibri"/>
        <w:color w:val="5A626C"/>
        <w:sz w:val="16"/>
      </w:rPr>
      <w:instrText xml:space="preserve"> PAGE </w:instrText>
    </w:r>
    <w:r>
      <w:rPr>
        <w:rFonts w:ascii="Calibri" w:hAnsi="Calibri"/>
        <w:color w:val="5A626C"/>
        <w:sz w:val="16"/>
      </w:rPr>
      <w:fldChar w:fldCharType="separate"/>
    </w:r>
    <w:r>
      <w:rPr>
        <w:rFonts w:ascii="Calibri" w:hAnsi="Calibri"/>
        <w:color w:val="5A626C"/>
        <w:sz w:val="16"/>
      </w:rPr>
      <w:t>87</w:t>
    </w:r>
    <w:r>
      <w:rPr>
        <w:rFonts w:ascii="Calibri" w:hAnsi="Calibri"/>
        <w:color w:val="5A626C"/>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Fonts w:ascii="Calibri" w:hAnsi="Calibri"/>
        <w:color w:val="464E58"/>
        <w:sz w:val="17"/>
      </w:rPr>
      <w:t>PAL V2.3-M  |  MATHEMATICAL REALIZATION ATLAS  |  DOI 10.5281/zenodo.22240134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00" w:before="0" w:after="120"/>
      <w:jc w:val="start"/>
    </w:pPr>
    <w:rPr>
      <w:rFonts w:ascii="Calibri" w:hAnsi="Calibri" w:eastAsia="Calibri"/>
      <w:color w:val="1F2933"/>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40" w:before="360" w:after="200"/>
      <w:outlineLvl w:val="0"/>
    </w:pPr>
    <w:rPr>
      <w:rFonts w:ascii="Calibri" w:hAnsi="Calibri" w:eastAsia="ＭＳ ゴシック" w:cs="DejaVu Sans"/>
      <w:b/>
      <w:bCs/>
      <w:color w:val="2E74B5"/>
      <w:sz w:val="32"/>
      <w:szCs w:val="28"/>
    </w:rPr>
  </w:style>
  <w:style w:type="paragraph" w:styleId="Heading2">
    <w:name w:val="heading 2"/>
    <w:basedOn w:val="Normal"/>
    <w:next w:val="Normal"/>
    <w:link w:val="Heading2Char"/>
    <w:qFormat/>
    <w:pPr>
      <w:keepNext w:val="true"/>
      <w:keepLines/>
      <w:numPr>
        <w:ilvl w:val="0"/>
        <w:numId w:val="0"/>
      </w:numPr>
      <w:spacing w:lineRule="auto" w:line="240" w:before="280" w:after="140"/>
      <w:outlineLvl w:val="1"/>
    </w:pPr>
    <w:rPr>
      <w:rFonts w:ascii="Calibri" w:hAnsi="Calibri" w:eastAsia="ＭＳ ゴシック" w:cs="DejaVu Sans"/>
      <w:b/>
      <w:bCs/>
      <w:color w:val="2E74B5"/>
      <w:sz w:val="26"/>
      <w:szCs w:val="26"/>
    </w:rPr>
  </w:style>
  <w:style w:type="paragraph" w:styleId="Heading3">
    <w:name w:val="heading 3"/>
    <w:basedOn w:val="Normal"/>
    <w:next w:val="Normal"/>
    <w:link w:val="Heading3Char"/>
    <w:qFormat/>
    <w:pPr>
      <w:keepNext w:val="true"/>
      <w:keepLines/>
      <w:numPr>
        <w:ilvl w:val="0"/>
        <w:numId w:val="0"/>
      </w:numPr>
      <w:spacing w:lineRule="auto" w:line="240" w:before="200" w:after="100"/>
      <w:outlineLvl w:val="2"/>
    </w:pPr>
    <w:rPr>
      <w:rFonts w:ascii="Calibri" w:hAnsi="Calibri" w:eastAsia="ＭＳ ゴシック" w:cs="DejaVu Sans"/>
      <w:b/>
      <w:bCs/>
      <w:color w:val="1F4D78"/>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Bullet20Symbols">
    <w:name w:val="Bullet_20_Symbols"/>
    <w:qFormat/>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rFonts w:ascii="Calibri" w:hAnsi="Calibri" w:eastAsia="Calibri"/>
      <w:lang w:val="en-US"/>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before="80" w:after="80"/>
    </w:pPr>
    <w:rPr>
      <w:rFonts w:ascii="Calibri" w:hAnsi="Calibri"/>
      <w:b w:val="false"/>
      <w:bCs/>
      <w:color w:val="5F6B76"/>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000000"/>
      <w:spacing w:val="5"/>
      <w:kern w:val="2"/>
      <w:sz w:val="48"/>
      <w:szCs w:val="52"/>
    </w:rPr>
  </w:style>
  <w:style w:type="paragraph" w:styleId="Subtitle">
    <w:name w:val="Subtitle"/>
    <w:basedOn w:val="Normal"/>
    <w:next w:val="Normal"/>
    <w:link w:val="SubtitleChar"/>
    <w:qFormat/>
    <w:pPr>
      <w:spacing w:lineRule="auto" w:line="264" w:before="0" w:after="280"/>
    </w:pPr>
    <w:rPr>
      <w:rFonts w:ascii="Calibri" w:hAnsi="Calibri" w:eastAsia="ＭＳ ゴシック" w:cs="DejaVu Sans"/>
      <w:b w:val="false"/>
      <w:i/>
      <w:iCs/>
      <w:color w:val="5F6B76"/>
      <w:spacing w:val="15"/>
      <w:sz w:val="26"/>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LeadCallout">
    <w:name w:val="Lead Callout"/>
    <w:basedOn w:val="Normal"/>
    <w:qFormat/>
    <w:pPr>
      <w:spacing w:lineRule="auto" w:line="288" w:before="160" w:after="200"/>
      <w:ind w:start="259" w:end="173"/>
    </w:pPr>
    <w:rPr>
      <w:rFonts w:ascii="Calibri" w:hAnsi="Calibri"/>
      <w:b/>
      <w:color w:val="1F4D78"/>
      <w:sz w:val="23"/>
    </w:rPr>
  </w:style>
  <w:style w:type="paragraph" w:styleId="SmallText">
    <w:name w:val="Small Text"/>
    <w:basedOn w:val="Normal"/>
    <w:qFormat/>
    <w:pPr>
      <w:spacing w:lineRule="auto" w:line="264" w:before="0" w:after="80"/>
    </w:pPr>
    <w:rPr>
      <w:rFonts w:ascii="Calibri" w:hAnsi="Calibri"/>
      <w:color w:val="5F6B76"/>
      <w:sz w:val="19"/>
    </w:rPr>
  </w:style>
  <w:style w:type="paragraph" w:styleId="CodeBlock">
    <w:name w:val="Code Block"/>
    <w:basedOn w:val="Normal"/>
    <w:qFormat/>
    <w:pPr>
      <w:spacing w:lineRule="auto" w:line="264" w:before="80" w:after="160"/>
      <w:ind w:start="288" w:end="144"/>
    </w:pPr>
    <w:rPr>
      <w:rFonts w:ascii="Consolas" w:hAnsi="Consolas"/>
      <w:color w:val="1F2933"/>
      <w:sz w:val="19"/>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image" Target="media/image11.png"/><Relationship Id="rId13" Type="http://schemas.openxmlformats.org/officeDocument/2006/relationships/image" Target="media/image12.svg"/><Relationship Id="rId14" Type="http://schemas.openxmlformats.org/officeDocument/2006/relationships/hyperlink" Target="https://doi.org/10.5281/zenodo.21635188" TargetMode="External"/><Relationship Id="rId15" Type="http://schemas.openxmlformats.org/officeDocument/2006/relationships/hyperlink" Target="https://doi.org/10.5281/zenodo.21911684" TargetMode="External"/><Relationship Id="rId16" Type="http://schemas.openxmlformats.org/officeDocument/2006/relationships/hyperlink" Target="https://doi.org/10.5281/zenodo.21760884" TargetMode="External"/><Relationship Id="rId17" Type="http://schemas.openxmlformats.org/officeDocument/2006/relationships/hyperlink" Target="https://doi.org/10.5281/zenodo.21760893" TargetMode="External"/><Relationship Id="rId18" Type="http://schemas.openxmlformats.org/officeDocument/2006/relationships/hyperlink" Target="https://doi.org/10.5281/zenodo.21891598" TargetMode="External"/><Relationship Id="rId19" Type="http://schemas.openxmlformats.org/officeDocument/2006/relationships/hyperlink" Target="https://doi.org/10.5281/zenodo.22236848" TargetMode="External"/><Relationship Id="rId20" Type="http://schemas.openxmlformats.org/officeDocument/2006/relationships/hyperlink" Target="https://doi.org/10.5281/zenodo.22228162" TargetMode="External"/><Relationship Id="rId21" Type="http://schemas.openxmlformats.org/officeDocument/2006/relationships/hyperlink" Target="https://doi.org/10.5281/zenodo.22225414" TargetMode="External"/><Relationship Id="rId22" Type="http://schemas.openxmlformats.org/officeDocument/2006/relationships/hyperlink" Target="https://doi.org/10.5281/zenodo.21923290" TargetMode="External"/><Relationship Id="rId23" Type="http://schemas.openxmlformats.org/officeDocument/2006/relationships/hyperlink" Target="https://doi.org/10.5281/zenodo.21950771" TargetMode="External"/><Relationship Id="rId24" Type="http://schemas.openxmlformats.org/officeDocument/2006/relationships/hyperlink" Target="https://doi.org/10.5281/zenodo.22214952" TargetMode="External"/><Relationship Id="rId25" Type="http://schemas.openxmlformats.org/officeDocument/2006/relationships/hyperlink" Target="https://doi.org/10.5281/zenodo.22238012" TargetMode="External"/><Relationship Id="rId26" Type="http://schemas.openxmlformats.org/officeDocument/2006/relationships/hyperlink" Target="https://doi.org/10.5281/zenodo.22239108" TargetMode="External"/><Relationship Id="rId27" Type="http://schemas.openxmlformats.org/officeDocument/2006/relationships/hyperlink" Target="https://doi.org/10.4171/DM/151" TargetMode="External"/><Relationship Id="rId28" Type="http://schemas.openxmlformats.org/officeDocument/2006/relationships/hyperlink" Target="https://doi.org/10.1016/0022-0000(89)90034-2" TargetMode="External"/><Relationship Id="rId29" Type="http://schemas.openxmlformats.org/officeDocument/2006/relationships/hyperlink" Target="https://doi.org/10.1007/BF02924844" TargetMode="External"/><Relationship Id="rId30" Type="http://schemas.openxmlformats.org/officeDocument/2006/relationships/hyperlink" Target="https://doi.org/10.1017/S0305004100074338" TargetMode="External"/><Relationship Id="rId31" Type="http://schemas.openxmlformats.org/officeDocument/2006/relationships/hyperlink" Target="https://doi.org/10.1016/0304-3975(87)90045-4" TargetMode="External"/><Relationship Id="rId32" Type="http://schemas.openxmlformats.org/officeDocument/2006/relationships/hyperlink" Target="https://doi.org/10.1145/1265530.1265535" TargetMode="External"/><Relationship Id="rId33" Type="http://schemas.openxmlformats.org/officeDocument/2006/relationships/hyperlink" Target="https://doi.org/10.1090/S0002-9939-1958-0135681-9" TargetMode="External"/><Relationship Id="rId34" Type="http://schemas.openxmlformats.org/officeDocument/2006/relationships/hyperlink" Target="https://doi.org/10.1016/0304-3975(91)90041-Y" TargetMode="External"/><Relationship Id="rId35" Type="http://schemas.openxmlformats.org/officeDocument/2006/relationships/hyperlink" Target="https://doi.org/10.1016/0004-3702(79)90008-0" TargetMode="External"/><Relationship Id="rId36" Type="http://schemas.openxmlformats.org/officeDocument/2006/relationships/hyperlink" Target="https://doi.org/10.1007/s41468-019-00038-7" TargetMode="External"/><Relationship Id="rId37" Type="http://schemas.openxmlformats.org/officeDocument/2006/relationships/hyperlink" Target="https://doi.org/10.1051/cocv:2008008" TargetMode="External"/><Relationship Id="rId38" Type="http://schemas.openxmlformats.org/officeDocument/2006/relationships/hyperlink" Target="https://doi.org/10.1016/S0049-237X(08)71945-1" TargetMode="External"/><Relationship Id="rId39" Type="http://schemas.openxmlformats.org/officeDocument/2006/relationships/hyperlink" Target="https://doi.org/10.1103/PhysRevA.40.4277" TargetMode="External"/><Relationship Id="rId40" Type="http://schemas.openxmlformats.org/officeDocument/2006/relationships/hyperlink" Target="https://doi.org/10.1016/S0375-9601(96)00706-2" TargetMode="External"/><Relationship Id="rId41" Type="http://schemas.openxmlformats.org/officeDocument/2006/relationships/hyperlink" Target="https://doi.org/10.1103/PhysicsPhysiqueFizika.1.195" TargetMode="External"/><Relationship Id="rId42" Type="http://schemas.openxmlformats.org/officeDocument/2006/relationships/hyperlink" Target="https://doi.org/10.1016/j.ic.2016.02.008" TargetMode="External"/><Relationship Id="rId43" Type="http://schemas.openxmlformats.org/officeDocument/2006/relationships/hyperlink" Target="https://doi.org/10.1017/S0960129515000444" TargetMode="External"/><Relationship Id="rId44" Type="http://schemas.openxmlformats.org/officeDocument/2006/relationships/hyperlink" Target="https://doi.org/10.1007/s001650200016" TargetMode="External"/><Relationship Id="rId45" Type="http://schemas.openxmlformats.org/officeDocument/2006/relationships/hyperlink" Target="https://doi.org/10.1017/CBO9781139084673" TargetMode="External"/><Relationship Id="rId46" Type="http://schemas.openxmlformats.org/officeDocument/2006/relationships/hyperlink" Target="https://doi.org/10.1007/BFb0053567" TargetMode="External"/><Relationship Id="rId47" Type="http://schemas.openxmlformats.org/officeDocument/2006/relationships/hyperlink" Target="https://doi.org/10.1145/177492.177726" TargetMode="External"/><Relationship Id="rId48" Type="http://schemas.openxmlformats.org/officeDocument/2006/relationships/hyperlink" Target="https://doi.org/10.48550/arXiv.math/0408107" TargetMode="External"/><Relationship Id="rId49" Type="http://schemas.openxmlformats.org/officeDocument/2006/relationships/hyperlink" Target="https://doi.org/10.48550/arXiv.math/0508201" TargetMode="External"/><Relationship Id="rId50" Type="http://schemas.openxmlformats.org/officeDocument/2006/relationships/hyperlink" Target="https://doi.org/10.48550/arXiv.2110.01111" TargetMode="External"/><Relationship Id="rId51" Type="http://schemas.openxmlformats.org/officeDocument/2006/relationships/hyperlink" Target="https://creativecommons.org/licenses/by/4.0/" TargetMode="External"/><Relationship Id="rId52" Type="http://schemas.openxmlformats.org/officeDocument/2006/relationships/header" Target="header1.xml"/><Relationship Id="rId53" Type="http://schemas.openxmlformats.org/officeDocument/2006/relationships/header" Target="header2.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2026-09-02T12:00:00Z</dcterms:created>
  <dc:creator>Christopher D. Pang</dc:creator>
  <dc:description>Author release; not peer reviewed. CC BY 4.0. DOI 10.5281/zenodo.22240134. AI assistance is disclosed in the document; AI tools are not authors or release authorities.</dc:description>
  <cp:keywords>PAL, Primitive Axiom Layers, v2.3, mathematical realization, conformance</cp:keywords>
  <dc:language>en-US</dc:language>
  <cp:lastModifiedBy>Christopher D. Pang</cp:lastModifiedBy>
  <dcterms:modified xsi:type="dcterms:W3CDTF">2026-09-02T12:00:00Z</dcterms:modified>
  <cp:revision>0</cp:revision>
  <dc:subject>PAL v2.3 coordinated author release</dc:subject>
  <dc:title>PAL v2.3 — Primitive Axiom Layers: Mathematical Realization Atlas</dc:title>
</cp:coreProperties>
</file>