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after="240"/>
        <w:jc w:val="center"/>
        <w:rPr>
          <w:b/>
          <w:bCs/>
        </w:rPr>
      </w:pPr>
      <w:r>
        <w:rPr>
          <w:rFonts w:ascii="Calibri" w:hAnsi="Calibri"/>
          <w:b/>
          <w:bCs/>
          <w:color w:val="1F4D78"/>
          <w:sz w:val="30"/>
        </w:rPr>
        <w:t>PAL — PRIMITIVE AXIOM LAYERS</w:t>
      </w:r>
    </w:p>
    <w:p>
      <w:pPr>
        <w:pStyle w:val="BodyText"/>
        <w:jc w:val="center"/>
        <w:rPr/>
      </w:pPr>
      <w:r>
        <w:rPr>
          <w:b/>
          <w:color w:val="10161E"/>
          <w:sz w:val="56"/>
        </w:rPr>
        <w:t>PAL v2.3-T</w:t>
      </w:r>
    </w:p>
    <w:p>
      <w:pPr>
        <w:pStyle w:val="BodyText"/>
        <w:jc w:val="center"/>
        <w:rPr/>
      </w:pPr>
      <w:r>
        <w:rPr>
          <w:i/>
          <w:color w:val="545E6A"/>
          <w:sz w:val="40"/>
        </w:rPr>
        <w:t>Conformance Tests</w:t>
      </w:r>
    </w:p>
    <w:p>
      <w:pPr>
        <w:pStyle w:val="BodyText"/>
        <w:spacing w:after="80"/>
        <w:jc w:val="center"/>
        <w:rPr/>
      </w:pPr>
      <w:r>
        <w:rPr/>
        <w:t>Author: Christopher D. Pang</w:t>
      </w:r>
    </w:p>
    <w:p>
      <w:pPr>
        <w:pStyle w:val="BodyText"/>
        <w:spacing w:after="80"/>
        <w:jc w:val="center"/>
        <w:rPr/>
      </w:pPr>
      <w:r>
        <w:rPr/>
        <w:t>Version: 2.3</w:t>
      </w:r>
    </w:p>
    <w:p>
      <w:pPr>
        <w:pStyle w:val="BodyText"/>
        <w:spacing w:after="80"/>
        <w:jc w:val="center"/>
        <w:rPr/>
      </w:pPr>
      <w:r>
        <w:rPr/>
        <w:t>Publication date: 2 September 2026</w:t>
      </w:r>
    </w:p>
    <w:p>
      <w:pPr>
        <w:pStyle w:val="BodyText"/>
        <w:spacing w:after="80"/>
        <w:jc w:val="center"/>
        <w:rPr/>
      </w:pPr>
      <w:r>
        <w:rPr/>
        <w:t>DOI: 10.5281/zenodo.22240134</w:t>
      </w:r>
    </w:p>
    <w:p>
      <w:pPr>
        <w:pStyle w:val="BodyText"/>
        <w:spacing w:after="80"/>
        <w:jc w:val="center"/>
        <w:rPr/>
      </w:pPr>
      <w:r>
        <w:rPr/>
        <w:t>Status: Author release; not peer reviewed</w:t>
      </w:r>
    </w:p>
    <w:p>
      <w:pPr>
        <w:pStyle w:val="BodyText"/>
        <w:spacing w:after="80"/>
        <w:jc w:val="center"/>
        <w:rPr/>
      </w:pPr>
      <w:r>
        <w:rPr>
          <w:b/>
          <w:bCs/>
        </w:rPr>
        <w:t>License:</w:t>
      </w:r>
      <w:r>
        <w:rPr/>
        <w:t xml:space="preserve"> Creative Commons Attribution 4.0 International (CC BY 4.0)</w:t>
      </w:r>
    </w:p>
    <w:p>
      <w:pPr>
        <w:pStyle w:val="BodyText"/>
        <w:spacing w:before="200" w:after="60"/>
        <w:jc w:val="center"/>
        <w:rPr>
          <w:b/>
          <w:bCs/>
        </w:rPr>
      </w:pPr>
      <w:r>
        <w:rPr>
          <w:b/>
          <w:bCs/>
          <w:color w:val="4B5662"/>
        </w:rPr>
        <w:t>Authority note</w:t>
      </w:r>
    </w:p>
    <w:p>
      <w:pPr>
        <w:pStyle w:val="BlockQuotation"/>
        <w:ind w:hanging="0" w:start="720" w:end="0"/>
        <w:jc w:val="center"/>
        <w:rPr>
          <w:b/>
          <w:bCs/>
        </w:rPr>
      </w:pPr>
      <w:r>
        <w:rPr>
          <w:b/>
          <w:bCs/>
        </w:rPr>
        <w:t>This file is one coordinated authority surface in the PAL v2.3 author release. Its authority is limited to conformance procedures, fixtures, semantic and executable bindings, and evidence-receipt requirements. Christopher D. Pang is PAL’s sole author, steward, and release authority.</w:t>
      </w:r>
    </w:p>
    <w:p>
      <w:pPr>
        <w:pStyle w:val="Normal"/>
        <w:spacing w:before="160" w:after="60"/>
        <w:jc w:val="center"/>
        <w:rPr>
          <w:b/>
          <w:bCs/>
        </w:rPr>
      </w:pPr>
      <w:r>
        <w:rPr>
          <w:b/>
          <w:bCs/>
        </w:rPr>
        <w:t>AI-use disclosure</w:t>
      </w:r>
    </w:p>
    <w:p>
      <w:pPr>
        <w:pStyle w:val="BodyText"/>
        <w:spacing w:line="240" w:lineRule="auto"/>
        <w:jc w:val="center"/>
        <w:rPr/>
      </w:pPr>
      <w:r>
        <w:rPr>
          <w:color w:val="1F4D78"/>
          <w:sz w:val="17"/>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or independent corroborators, and model output is not privileged testimony or independent corroboration.</w:t>
      </w:r>
      <w:r>
        <w:rPr>
          <w:color w:val="1F4D78"/>
          <w:sz w:val="17"/>
        </w:rPr>
        <w:br w:type="page"/>
      </w:r>
    </w:p>
    <w:p>
      <w:pPr>
        <w:pStyle w:val="Heading1"/>
        <w:keepNext/>
        <w:keepLines/>
        <w:pageBreakBefore w:val="0"/>
        <w:rPr/>
      </w:pPr>
      <w:bookmarkStart w:id="0" w:name="document-map"/>
      <w:r>
        <w:rPr/>
        <w:t>Document map</w:t>
      </w:r>
      <w:bookmarkEnd w:id="0"/>
    </w:p>
    <w:p>
      <w:pPr>
        <w:pStyle w:val="Normal"/>
        <w:keepNext/>
        <w:keepLines/>
        <w:rPr/>
      </w:pPr>
      <w:r>
        <w:rPr/>
        <w:t>Headings are the navigation authority for this source and its rendered PDF. The map below lists the major reading route; page numbers are intentionally not frozen into the editable source.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Section</w:t>
            </w:r>
          </w:p>
        </w:tc>
        <w:tc>
          <w:tcPr>
            <w:tcW w:w="6739" w:type="dxa"/>
            <w:tcBorders/>
            <w:vAlign w:val="top"/>
            <w:shd w:fill="DCE6F1"/>
          </w:tcPr>
          <w:p>
            <w:pPr>
              <w:pStyle w:val="Normal"/>
              <w:spacing w:before="0" w:after="40" w:line="240" w:lineRule="auto"/>
              <w:rPr>
                <w:b/>
                <w:bCs/>
              </w:rPr>
            </w:pPr>
            <w:r>
              <w:rPr>
                <w:b/>
                <w:bCs/>
                <w:color w:val="1F4D78"/>
                <w:sz w:val="19"/>
              </w:rPr>
              <w:t>Purpose</w:t>
            </w:r>
          </w:p>
        </w:tc>
      </w:tr>
      <w:tr>
        <w:trPr/>
        <w:tc>
          <w:tcPr>
            <w:tcW w:w="2621" w:type="dxa"/>
            <w:tcBorders/>
            <w:vAlign w:val="top"/>
          </w:tcPr>
          <w:p>
            <w:pPr>
              <w:pStyle w:val="Normal"/>
              <w:spacing w:before="0" w:after="40" w:line="240" w:lineRule="auto"/>
              <w:rPr>
                <w:b/>
                <w:bCs/>
              </w:rPr>
            </w:pPr>
            <w:r>
              <w:rPr>
                <w:b/>
                <w:bCs/>
                <w:sz w:val="19"/>
              </w:rPr>
              <w:t>1. Test authority</w:t>
            </w:r>
          </w:p>
        </w:tc>
        <w:tc>
          <w:tcPr>
            <w:tcW w:w="6739" w:type="dxa"/>
            <w:tcBorders/>
            <w:vAlign w:val="top"/>
          </w:tcPr>
          <w:p>
            <w:pPr>
              <w:pStyle w:val="Normal"/>
              <w:widowControl/>
              <w:bidi w:val="0"/>
              <w:spacing w:lineRule="auto" w:line="240" w:before="0" w:after="40"/>
              <w:jc w:val="start"/>
              <w:rPr/>
            </w:pPr>
            <w:r>
              <w:rPr>
                <w:sz w:val="19"/>
              </w:rPr>
              <w:t>What conformance means and what a test cannot prove.</w:t>
            </w:r>
          </w:p>
        </w:tc>
      </w:tr>
      <w:tr>
        <w:trPr/>
        <w:tc>
          <w:tcPr>
            <w:tcW w:w="2621" w:type="dxa"/>
            <w:tcBorders/>
            <w:vAlign w:val="top"/>
            <w:shd w:fill="F7F9FB"/>
          </w:tcPr>
          <w:p>
            <w:pPr>
              <w:pStyle w:val="Normal"/>
              <w:spacing w:before="0" w:after="40" w:line="240" w:lineRule="auto"/>
              <w:rPr>
                <w:b/>
                <w:bCs/>
              </w:rPr>
            </w:pPr>
            <w:r>
              <w:rPr>
                <w:b/>
                <w:bCs/>
                <w:sz w:val="19"/>
              </w:rPr>
              <w:t>2. Receipt schema</w:t>
            </w:r>
          </w:p>
        </w:tc>
        <w:tc>
          <w:tcPr>
            <w:tcW w:w="6739" w:type="dxa"/>
            <w:tcBorders/>
            <w:vAlign w:val="top"/>
            <w:shd w:fill="F7F9FB"/>
          </w:tcPr>
          <w:p>
            <w:pPr>
              <w:pStyle w:val="Normal"/>
              <w:widowControl/>
              <w:bidi w:val="0"/>
              <w:spacing w:lineRule="auto" w:line="240" w:before="0" w:after="40"/>
              <w:jc w:val="start"/>
              <w:rPr/>
            </w:pPr>
            <w:r>
              <w:rPr>
                <w:sz w:val="19"/>
              </w:rPr>
              <w:t>Required test input, expected output, evidence, ceiling, and reopening address.</w:t>
            </w:r>
          </w:p>
        </w:tc>
      </w:tr>
      <w:tr>
        <w:trPr/>
        <w:tc>
          <w:tcPr>
            <w:tcW w:w="2621" w:type="dxa"/>
            <w:tcBorders/>
            <w:vAlign w:val="top"/>
          </w:tcPr>
          <w:p>
            <w:pPr>
              <w:pStyle w:val="Normal"/>
              <w:spacing w:before="0" w:after="40" w:line="240" w:lineRule="auto"/>
              <w:rPr>
                <w:b/>
                <w:bCs/>
              </w:rPr>
            </w:pPr>
            <w:r>
              <w:rPr>
                <w:b/>
                <w:bCs/>
                <w:sz w:val="19"/>
              </w:rPr>
              <w:t>3. Execution convention and versioned addresses</w:t>
            </w:r>
          </w:p>
        </w:tc>
        <w:tc>
          <w:tcPr>
            <w:tcW w:w="6739" w:type="dxa"/>
            <w:tcBorders/>
            <w:vAlign w:val="top"/>
          </w:tcPr>
          <w:p>
            <w:pPr>
              <w:pStyle w:val="Normal"/>
              <w:widowControl/>
              <w:bidi w:val="0"/>
              <w:spacing w:lineRule="auto" w:line="240" w:before="0" w:after="40"/>
              <w:jc w:val="start"/>
              <w:rPr/>
            </w:pPr>
            <w:r>
              <w:rPr>
                <w:sz w:val="19"/>
              </w:rPr>
              <w:t>Fixture polarity, reruns, immutable history, and the Txx@release address rule.</w:t>
            </w:r>
          </w:p>
        </w:tc>
      </w:tr>
      <w:tr>
        <w:trPr/>
        <w:tc>
          <w:tcPr>
            <w:tcW w:w="2621" w:type="dxa"/>
            <w:tcBorders/>
            <w:vAlign w:val="top"/>
            <w:shd w:fill="F7F9FB"/>
          </w:tcPr>
          <w:p>
            <w:pPr>
              <w:pStyle w:val="Normal"/>
              <w:spacing w:before="0" w:after="40" w:line="240" w:lineRule="auto"/>
              <w:rPr>
                <w:b/>
                <w:bCs/>
              </w:rPr>
            </w:pPr>
            <w:r>
              <w:rPr>
                <w:b/>
                <w:bCs/>
                <w:sz w:val="19"/>
              </w:rPr>
              <w:t>4. Historical catalogue T01@2.2–T40@2.2</w:t>
            </w:r>
          </w:p>
        </w:tc>
        <w:tc>
          <w:tcPr>
            <w:tcW w:w="6739" w:type="dxa"/>
            <w:tcBorders/>
            <w:vAlign w:val="top"/>
            <w:shd w:fill="F7F9FB"/>
          </w:tcPr>
          <w:p>
            <w:pPr>
              <w:pStyle w:val="Normal"/>
              <w:widowControl/>
              <w:bidi w:val="0"/>
              <w:spacing w:lineRule="auto" w:line="240" w:before="0" w:after="40"/>
              <w:jc w:val="start"/>
              <w:rPr/>
            </w:pPr>
            <w:r>
              <w:rPr>
                <w:sz w:val="19"/>
              </w:rPr>
              <w:t>Frozen v2.2 release and structural test specifications.</w:t>
            </w:r>
          </w:p>
        </w:tc>
      </w:tr>
      <w:tr>
        <w:trPr/>
        <w:tc>
          <w:tcPr>
            <w:tcW w:w="2621" w:type="dxa"/>
            <w:tcBorders/>
            <w:vAlign w:val="top"/>
          </w:tcPr>
          <w:p>
            <w:pPr>
              <w:pStyle w:val="Normal"/>
              <w:spacing w:before="0" w:after="40" w:line="240" w:lineRule="auto"/>
              <w:rPr>
                <w:b/>
                <w:bCs/>
              </w:rPr>
            </w:pPr>
            <w:r>
              <w:rPr>
                <w:b/>
                <w:bCs/>
                <w:sz w:val="19"/>
              </w:rPr>
              <w:t>5. Historical catalogue T41@2.2–T48@2.2</w:t>
            </w:r>
          </w:p>
        </w:tc>
        <w:tc>
          <w:tcPr>
            <w:tcW w:w="6739" w:type="dxa"/>
            <w:tcBorders/>
            <w:vAlign w:val="top"/>
          </w:tcPr>
          <w:p>
            <w:pPr>
              <w:pStyle w:val="Normal"/>
              <w:widowControl/>
              <w:bidi w:val="0"/>
              <w:spacing w:lineRule="auto" w:line="240" w:before="0" w:after="40"/>
              <w:jc w:val="start"/>
              <w:rPr/>
            </w:pPr>
            <w:r>
              <w:rPr>
                <w:sz w:val="19"/>
              </w:rPr>
              <w:t>Frozen v2.2 receipt, account, coverage, transport, ordinary-1, and completion tests.</w:t>
            </w:r>
          </w:p>
        </w:tc>
      </w:tr>
      <w:tr>
        <w:trPr/>
        <w:tc>
          <w:tcPr>
            <w:tcW w:w="2621" w:type="dxa"/>
            <w:tcBorders/>
            <w:vAlign w:val="top"/>
            <w:shd w:fill="F7F9FB"/>
          </w:tcPr>
          <w:p>
            <w:pPr>
              <w:pStyle w:val="Normal"/>
              <w:spacing w:before="0" w:after="40" w:line="240" w:lineRule="auto"/>
              <w:rPr>
                <w:b/>
                <w:bCs/>
              </w:rPr>
            </w:pPr>
            <w:r>
              <w:rPr>
                <w:b/>
                <w:bCs/>
                <w:sz w:val="19"/>
              </w:rPr>
              <w:t>6. Preservation receipt</w:t>
            </w:r>
          </w:p>
        </w:tc>
        <w:tc>
          <w:tcPr>
            <w:tcW w:w="6739" w:type="dxa"/>
            <w:tcBorders/>
            <w:vAlign w:val="top"/>
            <w:shd w:fill="F7F9FB"/>
          </w:tcPr>
          <w:p>
            <w:pPr>
              <w:pStyle w:val="Normal"/>
              <w:widowControl/>
              <w:bidi w:val="0"/>
              <w:spacing w:lineRule="auto" w:line="240" w:before="0" w:after="40"/>
              <w:jc w:val="start"/>
              <w:rPr/>
            </w:pPr>
            <w:r>
              <w:rPr>
                <w:sz w:val="19"/>
              </w:rPr>
              <w:t>Exact predecessor identity, historical-specification digest, and no-retrofit rule.</w:t>
            </w:r>
          </w:p>
        </w:tc>
      </w:tr>
      <w:tr>
        <w:trPr/>
        <w:tc>
          <w:tcPr>
            <w:tcW w:w="2621" w:type="dxa"/>
            <w:tcBorders/>
            <w:vAlign w:val="top"/>
          </w:tcPr>
          <w:p>
            <w:pPr>
              <w:pStyle w:val="Normal"/>
              <w:spacing w:before="0" w:after="40" w:line="240" w:lineRule="auto"/>
              <w:rPr>
                <w:b/>
                <w:bCs/>
              </w:rPr>
            </w:pPr>
            <w:r>
              <w:rPr>
                <w:b/>
                <w:bCs/>
                <w:sz w:val="19"/>
              </w:rPr>
              <w:t>7. v2.3 bindings for T01–T48</w:t>
            </w:r>
          </w:p>
        </w:tc>
        <w:tc>
          <w:tcPr>
            <w:tcW w:w="6739" w:type="dxa"/>
            <w:tcBorders/>
            <w:vAlign w:val="top"/>
          </w:tcPr>
          <w:p>
            <w:pPr>
              <w:pStyle w:val="Normal"/>
              <w:widowControl/>
              <w:bidi w:val="0"/>
              <w:spacing w:lineRule="auto" w:line="240" w:before="0" w:after="40"/>
              <w:jc w:val="start"/>
              <w:rPr/>
            </w:pPr>
            <w:r>
              <w:rPr>
                <w:sz w:val="19"/>
              </w:rPr>
              <w:t>Stable-purpose bindings to v2.3 target bytes and late-directive lint.</w:t>
            </w:r>
          </w:p>
        </w:tc>
      </w:tr>
      <w:tr>
        <w:trPr/>
        <w:tc>
          <w:tcPr>
            <w:tcW w:w="2621" w:type="dxa"/>
            <w:tcBorders/>
            <w:vAlign w:val="top"/>
            <w:shd w:fill="F7F9FB"/>
          </w:tcPr>
          <w:p>
            <w:pPr>
              <w:pStyle w:val="Normal"/>
              <w:spacing w:before="0" w:after="40" w:line="240" w:lineRule="auto"/>
              <w:rPr>
                <w:b/>
                <w:bCs/>
              </w:rPr>
            </w:pPr>
            <w:r>
              <w:rPr>
                <w:b/>
                <w:bCs/>
                <w:sz w:val="19"/>
              </w:rPr>
              <w:t>8. New tests T49@2.3–T72@2.3</w:t>
            </w:r>
          </w:p>
        </w:tc>
        <w:tc>
          <w:tcPr>
            <w:tcW w:w="6739" w:type="dxa"/>
            <w:tcBorders/>
            <w:vAlign w:val="top"/>
            <w:shd w:fill="F7F9FB"/>
          </w:tcPr>
          <w:p>
            <w:pPr>
              <w:pStyle w:val="Normal"/>
              <w:widowControl/>
              <w:bidi w:val="0"/>
              <w:spacing w:lineRule="auto" w:line="240" w:before="0" w:after="40"/>
              <w:jc w:val="start"/>
              <w:rPr/>
            </w:pPr>
            <w:r>
              <w:rPr>
                <w:sz w:val="19"/>
              </w:rPr>
              <w:t>Exact additive v2.3 specifications.</w:t>
            </w:r>
          </w:p>
        </w:tc>
      </w:tr>
      <w:tr>
        <w:trPr/>
        <w:tc>
          <w:tcPr>
            <w:tcW w:w="2621" w:type="dxa"/>
            <w:tcBorders/>
            <w:vAlign w:val="top"/>
          </w:tcPr>
          <w:p>
            <w:pPr>
              <w:pStyle w:val="Normal"/>
              <w:spacing w:before="0" w:after="40" w:line="240" w:lineRule="auto"/>
              <w:rPr>
                <w:b/>
                <w:bCs/>
              </w:rPr>
            </w:pPr>
            <w:r>
              <w:rPr>
                <w:b/>
                <w:bCs/>
                <w:sz w:val="19"/>
              </w:rPr>
              <w:t>9. Executable and semantic binding register</w:t>
            </w:r>
          </w:p>
        </w:tc>
        <w:tc>
          <w:tcPr>
            <w:tcW w:w="6739" w:type="dxa"/>
            <w:tcBorders/>
            <w:vAlign w:val="top"/>
          </w:tcPr>
          <w:p>
            <w:pPr>
              <w:pStyle w:val="Normal"/>
              <w:widowControl/>
              <w:bidi w:val="0"/>
              <w:spacing w:lineRule="auto" w:line="240" w:before="0" w:after="40"/>
              <w:jc w:val="start"/>
              <w:rPr/>
            </w:pPr>
            <w:r>
              <w:rPr>
                <w:sz w:val="19"/>
              </w:rPr>
              <w:t>Checker classes, fixture families, semantic review, and late RAINBOW/SVG/math audits.</w:t>
            </w:r>
          </w:p>
        </w:tc>
      </w:tr>
      <w:tr>
        <w:trPr/>
        <w:tc>
          <w:tcPr>
            <w:tcW w:w="2621" w:type="dxa"/>
            <w:tcBorders/>
            <w:vAlign w:val="top"/>
            <w:shd w:fill="F7F9FB"/>
          </w:tcPr>
          <w:p>
            <w:pPr>
              <w:pStyle w:val="Normal"/>
              <w:spacing w:before="0" w:after="40" w:line="240" w:lineRule="auto"/>
              <w:rPr>
                <w:b/>
                <w:bCs/>
              </w:rPr>
            </w:pPr>
            <w:r>
              <w:rPr>
                <w:b/>
                <w:bCs/>
                <w:sz w:val="19"/>
              </w:rPr>
              <w:t>10. Receipt issuance and retention</w:t>
            </w:r>
          </w:p>
        </w:tc>
        <w:tc>
          <w:tcPr>
            <w:tcW w:w="6739" w:type="dxa"/>
            <w:tcBorders/>
            <w:vAlign w:val="top"/>
            <w:shd w:fill="F7F9FB"/>
          </w:tcPr>
          <w:p>
            <w:pPr>
              <w:pStyle w:val="Normal"/>
              <w:widowControl/>
              <w:bidi w:val="0"/>
              <w:spacing w:lineRule="auto" w:line="240" w:before="0" w:after="40"/>
              <w:jc w:val="start"/>
              <w:rPr/>
            </w:pPr>
            <w:r>
              <w:rPr>
                <w:sz w:val="19"/>
              </w:rPr>
              <w:t>Complete TestReceipt payload, evidence location, verdict, failure retention, and rerun rules.</w:t>
            </w:r>
          </w:p>
        </w:tc>
      </w:tr>
      <w:tr>
        <w:trPr/>
        <w:tc>
          <w:tcPr>
            <w:tcW w:w="2621" w:type="dxa"/>
            <w:tcBorders/>
            <w:vAlign w:val="top"/>
          </w:tcPr>
          <w:p>
            <w:pPr>
              <w:pStyle w:val="Normal"/>
              <w:spacing w:before="0" w:after="40" w:line="240" w:lineRule="auto"/>
              <w:rPr>
                <w:b/>
                <w:bCs/>
              </w:rPr>
            </w:pPr>
            <w:r>
              <w:rPr>
                <w:b/>
                <w:bCs/>
                <w:sz w:val="19"/>
              </w:rPr>
              <w:t>11. Minimum release gate</w:t>
            </w:r>
          </w:p>
        </w:tc>
        <w:tc>
          <w:tcPr>
            <w:tcW w:w="6739" w:type="dxa"/>
            <w:tcBorders/>
            <w:vAlign w:val="top"/>
          </w:tcPr>
          <w:p>
            <w:pPr>
              <w:pStyle w:val="Normal"/>
              <w:widowControl/>
              <w:bidi w:val="0"/>
              <w:spacing w:lineRule="auto" w:line="240" w:before="0" w:after="40"/>
              <w:jc w:val="start"/>
              <w:rPr/>
            </w:pPr>
            <w:r>
              <w:rPr>
                <w:sz w:val="19"/>
              </w:rPr>
              <w:t>Publication conditions for the author release.</w:t>
            </w:r>
          </w:p>
        </w:tc>
      </w:tr>
      <w:tr>
        <w:trPr/>
        <w:tc>
          <w:tcPr>
            <w:tcW w:w="2621" w:type="dxa"/>
            <w:tcBorders/>
            <w:vAlign w:val="top"/>
            <w:shd w:fill="F7F9FB"/>
          </w:tcPr>
          <w:p>
            <w:pPr>
              <w:pStyle w:val="Normal"/>
              <w:spacing w:before="0" w:after="40" w:line="240" w:lineRule="auto"/>
              <w:rPr>
                <w:b/>
                <w:bCs/>
              </w:rPr>
            </w:pPr>
            <w:r>
              <w:rPr>
                <w:b/>
                <w:bCs/>
                <w:sz w:val="19"/>
              </w:rPr>
              <w:t>References and disclosure</w:t>
            </w:r>
          </w:p>
        </w:tc>
        <w:tc>
          <w:tcPr>
            <w:tcW w:w="6739" w:type="dxa"/>
            <w:tcBorders/>
            <w:vAlign w:val="top"/>
            <w:shd w:fill="F7F9FB"/>
          </w:tcPr>
          <w:p>
            <w:pPr>
              <w:pStyle w:val="Normal"/>
              <w:widowControl/>
              <w:bidi w:val="0"/>
              <w:spacing w:lineRule="auto" w:line="240" w:before="0" w:after="40"/>
              <w:jc w:val="start"/>
              <w:rPr/>
            </w:pPr>
            <w:r>
              <w:rPr>
                <w:sz w:val="19"/>
              </w:rPr>
              <w:t>Source lineage, recommended citation, license, assistance account, change log, and end trace.</w:t>
            </w:r>
          </w:p>
        </w:tc>
      </w:tr>
    </w:tbl>
    <w:p>
      <w:pPr>
        <w:pStyle w:val="Heading1"/>
        <w:keepNext/>
        <w:keepLines/>
        <w:rPr/>
      </w:pPr>
      <w:bookmarkStart w:id="1" w:name="test-authority"/>
      <w:r>
        <w:rPr/>
        <w:t>1. Test authority</w:t>
      </w:r>
      <w:bookmarkEnd w:id="1"/>
    </w:p>
    <w:p>
      <w:pPr>
        <w:pStyle w:val="Normal"/>
        <w:keepNext/>
        <w:keepLines/>
        <w:rPr>
          <w:b/>
          <w:bCs/>
        </w:rPr>
      </w:pPr>
      <w:r>
        <w:rPr>
          <w:b/>
          <w:bCs/>
        </w:rPr>
        <w:t>A passing PAL test closes only the named conformance claim against the frozen fixture and source versions. It does not prove the entire framework, the empirical world, or every future implementation.</w:t>
      </w:r>
    </w:p>
    <w:p>
      <w:pPr>
        <w:pStyle w:val="BodyText"/>
        <w:rPr/>
      </w:pPr>
      <w:r>
        <w:rPr/>
        <w:t>Tests are typed. A positive fixture demonstrates that a permitted construction can be recognized. A negative fixture demonstrates that the specified failure is rejected or routed. A clean OPEN or UNRESOLVED result may conform when the test is designed to preserve an honest debt.</w:t>
      </w:r>
    </w:p>
    <w:p>
      <w:pPr>
        <w:pStyle w:val="Heading2"/>
        <w:keepNext/>
        <w:keepLines/>
        <w:rPr/>
      </w:pPr>
      <w:bookmarkStart w:id="2" w:name="claim-status-vocabulary"/>
      <w:r>
        <w:rPr/>
        <w:t>Claim-status vocabulary</w:t>
      </w:r>
      <w:bookmarkEnd w:id="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Status</w:t>
            </w:r>
          </w:p>
        </w:tc>
        <w:tc>
          <w:tcPr>
            <w:tcW w:w="6739" w:type="dxa"/>
            <w:tcBorders/>
            <w:vAlign w:val="top"/>
            <w:shd w:fill="DCE6F1"/>
          </w:tcPr>
          <w:p>
            <w:pPr>
              <w:pStyle w:val="Normal"/>
              <w:spacing w:before="0" w:after="40" w:line="240" w:lineRule="auto"/>
              <w:rPr>
                <w:b/>
                <w:bCs/>
              </w:rPr>
            </w:pPr>
            <w:r>
              <w:rPr>
                <w:b/>
                <w:bCs/>
                <w:color w:val="1F4D78"/>
                <w:sz w:val="19"/>
              </w:rPr>
              <w:t>Meaning</w:t>
            </w:r>
          </w:p>
        </w:tc>
      </w:tr>
      <w:tr>
        <w:trPr/>
        <w:tc>
          <w:tcPr>
            <w:tcW w:w="2621" w:type="dxa"/>
            <w:tcBorders/>
            <w:vAlign w:val="top"/>
          </w:tcPr>
          <w:p>
            <w:pPr>
              <w:pStyle w:val="Normal"/>
              <w:spacing w:before="0" w:after="40" w:line="240" w:lineRule="auto"/>
              <w:rPr>
                <w:b/>
                <w:bCs/>
              </w:rPr>
            </w:pPr>
            <w:r>
              <w:rPr>
                <w:b/>
                <w:bCs/>
                <w:sz w:val="19"/>
              </w:rPr>
              <w:t>CLOSED_IN_SCOPE</w:t>
            </w:r>
          </w:p>
        </w:tc>
        <w:tc>
          <w:tcPr>
            <w:tcW w:w="6739" w:type="dxa"/>
            <w:tcBorders/>
            <w:vAlign w:val="top"/>
          </w:tcPr>
          <w:p>
            <w:pPr>
              <w:pStyle w:val="Normal"/>
              <w:widowControl/>
              <w:bidi w:val="0"/>
              <w:spacing w:lineRule="auto" w:line="240" w:before="0" w:after="40"/>
              <w:jc w:val="start"/>
              <w:rPr/>
            </w:pPr>
            <w:r>
              <w:rPr>
                <w:sz w:val="19"/>
              </w:rPr>
              <w:t>The named claim passed its typed checker within the recorded scope; residuals and reopening conditions remain.</w:t>
            </w:r>
          </w:p>
        </w:tc>
      </w:tr>
      <w:tr>
        <w:trPr/>
        <w:tc>
          <w:tcPr>
            <w:tcW w:w="2621" w:type="dxa"/>
            <w:tcBorders/>
            <w:vAlign w:val="top"/>
            <w:shd w:fill="F7F9FB"/>
          </w:tcPr>
          <w:p>
            <w:pPr>
              <w:pStyle w:val="Normal"/>
              <w:spacing w:before="0" w:after="40" w:line="240" w:lineRule="auto"/>
              <w:rPr>
                <w:b/>
                <w:bCs/>
              </w:rPr>
            </w:pPr>
            <w:r>
              <w:rPr>
                <w:b/>
                <w:bCs/>
                <w:sz w:val="19"/>
              </w:rPr>
              <w:t>OPEN</w:t>
            </w:r>
          </w:p>
        </w:tc>
        <w:tc>
          <w:tcPr>
            <w:tcW w:w="6739" w:type="dxa"/>
            <w:tcBorders/>
            <w:vAlign w:val="top"/>
            <w:shd w:fill="F7F9FB"/>
          </w:tcPr>
          <w:p>
            <w:pPr>
              <w:pStyle w:val="Normal"/>
              <w:widowControl/>
              <w:bidi w:val="0"/>
              <w:spacing w:lineRule="auto" w:line="240" w:before="0" w:after="40"/>
              <w:jc w:val="start"/>
              <w:rPr/>
            </w:pPr>
            <w:r>
              <w:rPr>
                <w:sz w:val="19"/>
              </w:rPr>
              <w:t>A named obligation or witness is intentionally outstanding and has not been negatively resolved.</w:t>
            </w:r>
          </w:p>
        </w:tc>
      </w:tr>
      <w:tr>
        <w:trPr/>
        <w:tc>
          <w:tcPr>
            <w:tcW w:w="2621" w:type="dxa"/>
            <w:tcBorders/>
            <w:vAlign w:val="top"/>
          </w:tcPr>
          <w:p>
            <w:pPr>
              <w:pStyle w:val="Normal"/>
              <w:spacing w:before="0" w:after="40" w:line="240" w:lineRule="auto"/>
              <w:rPr>
                <w:b/>
                <w:bCs/>
              </w:rPr>
            </w:pPr>
            <w:r>
              <w:rPr>
                <w:b/>
                <w:bCs/>
                <w:sz w:val="19"/>
              </w:rPr>
              <w:t>UNRESOLVED</w:t>
            </w:r>
          </w:p>
        </w:tc>
        <w:tc>
          <w:tcPr>
            <w:tcW w:w="6739" w:type="dxa"/>
            <w:tcBorders/>
            <w:vAlign w:val="top"/>
          </w:tcPr>
          <w:p>
            <w:pPr>
              <w:pStyle w:val="Normal"/>
              <w:widowControl/>
              <w:bidi w:val="0"/>
              <w:spacing w:lineRule="auto" w:line="240" w:before="0" w:after="40"/>
              <w:jc w:val="start"/>
              <w:rPr/>
            </w:pPr>
            <w:r>
              <w:rPr>
                <w:sz w:val="19"/>
              </w:rPr>
              <w:t>Available evidence or rules do not license a clean classification inside the current account.</w:t>
            </w:r>
          </w:p>
        </w:tc>
      </w:tr>
      <w:tr>
        <w:trPr/>
        <w:tc>
          <w:tcPr>
            <w:tcW w:w="2621" w:type="dxa"/>
            <w:tcBorders/>
            <w:vAlign w:val="top"/>
            <w:shd w:fill="F7F9FB"/>
          </w:tcPr>
          <w:p>
            <w:pPr>
              <w:pStyle w:val="Normal"/>
              <w:spacing w:before="0" w:after="40" w:line="240" w:lineRule="auto"/>
              <w:rPr>
                <w:b/>
                <w:bCs/>
              </w:rPr>
            </w:pPr>
            <w:r>
              <w:rPr>
                <w:b/>
                <w:bCs/>
                <w:sz w:val="19"/>
              </w:rPr>
              <w:t>REOPENED</w:t>
            </w:r>
          </w:p>
        </w:tc>
        <w:tc>
          <w:tcPr>
            <w:tcW w:w="6739" w:type="dxa"/>
            <w:tcBorders/>
            <w:vAlign w:val="top"/>
            <w:shd w:fill="F7F9FB"/>
          </w:tcPr>
          <w:p>
            <w:pPr>
              <w:pStyle w:val="Normal"/>
              <w:widowControl/>
              <w:bidi w:val="0"/>
              <w:spacing w:lineRule="auto" w:line="240" w:before="0" w:after="40"/>
              <w:jc w:val="start"/>
              <w:rPr/>
            </w:pPr>
            <w:r>
              <w:rPr>
                <w:sz w:val="19"/>
              </w:rPr>
              <w:t>A formerly classified or closed claim has a material delta; the former receipt remains in the ledger.</w:t>
            </w:r>
          </w:p>
        </w:tc>
      </w:tr>
    </w:tbl>
    <w:p>
      <w:pPr>
        <w:pStyle w:val="Heading2"/>
        <w:keepNext/>
        <w:keepLines/>
        <w:rPr/>
      </w:pPr>
      <w:bookmarkStart w:id="3" w:name="conformance-verdict-vocabulary"/>
      <w:r>
        <w:rPr/>
        <w:t>Conformance-verdict vocabulary</w:t>
      </w:r>
      <w:bookmarkEnd w:id="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298"/>
        <w:gridCol w:w="8062"/>
      </w:tblGrid>
      <w:tr>
        <w:trPr>
          <w:tblHeader w:val="true"/>
        </w:trPr>
        <w:tc>
          <w:tcPr>
            <w:tcW w:w="1298" w:type="dxa"/>
            <w:tcBorders/>
            <w:vAlign w:val="top"/>
            <w:shd w:fill="DCE6F1"/>
          </w:tcPr>
          <w:p>
            <w:pPr>
              <w:pStyle w:val="Normal"/>
              <w:spacing w:before="0" w:after="40" w:line="240" w:lineRule="auto"/>
              <w:rPr>
                <w:b/>
                <w:bCs/>
              </w:rPr>
            </w:pPr>
            <w:r>
              <w:rPr>
                <w:b/>
                <w:bCs/>
                <w:color w:val="1F4D78"/>
                <w:sz w:val="19"/>
              </w:rPr>
              <w:t>Verdict</w:t>
            </w:r>
          </w:p>
        </w:tc>
        <w:tc>
          <w:tcPr>
            <w:tcW w:w="8062" w:type="dxa"/>
            <w:tcBorders/>
            <w:vAlign w:val="top"/>
            <w:shd w:fill="DCE6F1"/>
          </w:tcPr>
          <w:p>
            <w:pPr>
              <w:pStyle w:val="Normal"/>
              <w:spacing w:before="0" w:after="40" w:line="240" w:lineRule="auto"/>
              <w:rPr>
                <w:b/>
                <w:bCs/>
              </w:rPr>
            </w:pPr>
            <w:r>
              <w:rPr>
                <w:b/>
                <w:bCs/>
                <w:color w:val="1F4D78"/>
                <w:sz w:val="19"/>
              </w:rPr>
              <w:t>Meaning</w:t>
            </w:r>
          </w:p>
        </w:tc>
      </w:tr>
      <w:tr>
        <w:trPr/>
        <w:tc>
          <w:tcPr>
            <w:tcW w:w="1298" w:type="dxa"/>
            <w:tcBorders/>
            <w:vAlign w:val="top"/>
          </w:tcPr>
          <w:p>
            <w:pPr>
              <w:pStyle w:val="Normal"/>
              <w:spacing w:before="0" w:after="40" w:line="240" w:lineRule="auto"/>
              <w:rPr>
                <w:b/>
                <w:bCs/>
              </w:rPr>
            </w:pPr>
            <w:r>
              <w:rPr>
                <w:b/>
                <w:bCs/>
                <w:sz w:val="19"/>
              </w:rPr>
              <w:t>CONFORMANT</w:t>
            </w:r>
          </w:p>
        </w:tc>
        <w:tc>
          <w:tcPr>
            <w:tcW w:w="8062" w:type="dxa"/>
            <w:tcBorders/>
            <w:vAlign w:val="top"/>
          </w:tcPr>
          <w:p>
            <w:pPr>
              <w:pStyle w:val="Normal"/>
              <w:widowControl/>
              <w:bidi w:val="0"/>
              <w:spacing w:lineRule="auto" w:line="240" w:before="0" w:after="40"/>
              <w:jc w:val="start"/>
              <w:rPr/>
            </w:pPr>
            <w:r>
              <w:rPr>
                <w:sz w:val="19"/>
              </w:rPr>
              <w:t>The observed fixture/result obeys the named PAL rule, including when the correct claim status is OPEN or UNRESOLVED.</w:t>
            </w:r>
          </w:p>
        </w:tc>
      </w:tr>
      <w:tr>
        <w:trPr/>
        <w:tc>
          <w:tcPr>
            <w:tcW w:w="1298" w:type="dxa"/>
            <w:tcBorders/>
            <w:vAlign w:val="top"/>
            <w:shd w:fill="F7F9FB"/>
          </w:tcPr>
          <w:p>
            <w:pPr>
              <w:pStyle w:val="Normal"/>
              <w:spacing w:before="0" w:after="40" w:line="240" w:lineRule="auto"/>
              <w:rPr>
                <w:b/>
                <w:bCs/>
              </w:rPr>
            </w:pPr>
            <w:r>
              <w:rPr>
                <w:b/>
                <w:bCs/>
                <w:sz w:val="19"/>
              </w:rPr>
              <w:t>NONCONFORMANT</w:t>
            </w:r>
          </w:p>
        </w:tc>
        <w:tc>
          <w:tcPr>
            <w:tcW w:w="8062" w:type="dxa"/>
            <w:tcBorders/>
            <w:vAlign w:val="top"/>
            <w:shd w:fill="F7F9FB"/>
          </w:tcPr>
          <w:p>
            <w:pPr>
              <w:pStyle w:val="Normal"/>
              <w:widowControl/>
              <w:bidi w:val="0"/>
              <w:spacing w:lineRule="auto" w:line="240" w:before="0" w:after="40"/>
              <w:jc w:val="start"/>
              <w:rPr/>
            </w:pPr>
            <w:r>
              <w:rPr>
                <w:sz w:val="19"/>
              </w:rPr>
              <w:t>The tested artifact violates a required field, invariant, authority ceiling, test, or package rule.</w:t>
            </w:r>
          </w:p>
        </w:tc>
      </w:tr>
    </w:tbl>
    <w:p>
      <w:pPr>
        <w:pStyle w:val="Normal"/>
        <w:keepNext/>
        <w:keepLines/>
        <w:rPr/>
      </w:pPr>
      <w:r>
        <w:rPr/>
        <w:t>A TestReceipt records CONFORMANT or NONCONFORMANT evidence only. A distinct later ClosureReceipt may cite that immutable evidence and separately classify the substantive claim as CLOSED_IN_SCOPE, OPEN, UNRESOLVED, or REOPENED.</w:t>
      </w:r>
    </w:p>
    <w:p>
      <w:pPr>
        <w:pStyle w:val="Heading1"/>
        <w:keepNext/>
        <w:keepLines/>
        <w:rPr/>
      </w:pPr>
      <w:bookmarkStart w:id="4" w:name="receipt-schema"/>
      <w:r>
        <w:rPr/>
        <w:t>2. Receipt schema</w:t>
      </w:r>
      <w:bookmarkEnd w:id="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test_id</w:t>
            </w:r>
          </w:p>
        </w:tc>
        <w:tc>
          <w:tcPr>
            <w:tcW w:w="6739" w:type="dxa"/>
            <w:tcBorders/>
            <w:vAlign w:val="top"/>
          </w:tcPr>
          <w:p>
            <w:pPr>
              <w:pStyle w:val="Normal"/>
              <w:widowControl/>
              <w:bidi w:val="0"/>
              <w:spacing w:lineRule="auto" w:line="240" w:before="0" w:after="40"/>
              <w:jc w:val="start"/>
              <w:rPr/>
            </w:pPr>
            <w:r>
              <w:rPr>
                <w:sz w:val="19"/>
              </w:rPr>
              <w:t>Stable T-address and test version.</w:t>
            </w:r>
          </w:p>
        </w:tc>
      </w:tr>
      <w:tr>
        <w:trPr/>
        <w:tc>
          <w:tcPr>
            <w:tcW w:w="2621" w:type="dxa"/>
            <w:tcBorders/>
            <w:vAlign w:val="top"/>
            <w:shd w:fill="F7F9FB"/>
          </w:tcPr>
          <w:p>
            <w:pPr>
              <w:pStyle w:val="Normal"/>
              <w:spacing w:before="0" w:after="40" w:line="240" w:lineRule="auto"/>
              <w:rPr>
                <w:b/>
                <w:bCs/>
              </w:rPr>
            </w:pPr>
            <w:r>
              <w:rPr>
                <w:b/>
                <w:bCs/>
                <w:sz w:val="19"/>
              </w:rPr>
              <w:t>target</w:t>
            </w:r>
          </w:p>
        </w:tc>
        <w:tc>
          <w:tcPr>
            <w:tcW w:w="6739" w:type="dxa"/>
            <w:tcBorders/>
            <w:vAlign w:val="top"/>
            <w:shd w:fill="F7F9FB"/>
          </w:tcPr>
          <w:p>
            <w:pPr>
              <w:pStyle w:val="Normal"/>
              <w:widowControl/>
              <w:bidi w:val="0"/>
              <w:spacing w:lineRule="auto" w:line="240" w:before="0" w:after="40"/>
              <w:jc w:val="start"/>
              <w:rPr/>
            </w:pPr>
            <w:r>
              <w:rPr>
                <w:sz w:val="19"/>
              </w:rPr>
              <w:t>Decision, invariant, layer, realization, obligation, or release artifact under test.</w:t>
            </w:r>
          </w:p>
        </w:tc>
      </w:tr>
      <w:tr>
        <w:trPr/>
        <w:tc>
          <w:tcPr>
            <w:tcW w:w="2621" w:type="dxa"/>
            <w:tcBorders/>
            <w:vAlign w:val="top"/>
          </w:tcPr>
          <w:p>
            <w:pPr>
              <w:pStyle w:val="Normal"/>
              <w:spacing w:before="0" w:after="40" w:line="240" w:lineRule="auto"/>
              <w:rPr>
                <w:b/>
                <w:bCs/>
              </w:rPr>
            </w:pPr>
            <w:r>
              <w:rPr>
                <w:b/>
                <w:bCs/>
                <w:sz w:val="19"/>
              </w:rPr>
              <w:t>frozen_inputs</w:t>
            </w:r>
          </w:p>
        </w:tc>
        <w:tc>
          <w:tcPr>
            <w:tcW w:w="6739" w:type="dxa"/>
            <w:tcBorders/>
            <w:vAlign w:val="top"/>
          </w:tcPr>
          <w:p>
            <w:pPr>
              <w:pStyle w:val="Normal"/>
              <w:widowControl/>
              <w:bidi w:val="0"/>
              <w:spacing w:lineRule="auto" w:line="240" w:before="0" w:after="40"/>
              <w:jc w:val="start"/>
              <w:rPr/>
            </w:pPr>
            <w:r>
              <w:rPr>
                <w:sz w:val="19"/>
              </w:rPr>
              <w:t>Exact versions/hashes of sources and fixtures.</w:t>
            </w:r>
          </w:p>
        </w:tc>
      </w:tr>
      <w:tr>
        <w:trPr/>
        <w:tc>
          <w:tcPr>
            <w:tcW w:w="2621" w:type="dxa"/>
            <w:tcBorders/>
            <w:vAlign w:val="top"/>
            <w:shd w:fill="F7F9FB"/>
          </w:tcPr>
          <w:p>
            <w:pPr>
              <w:pStyle w:val="Normal"/>
              <w:spacing w:before="0" w:after="40" w:line="240" w:lineRule="auto"/>
              <w:rPr>
                <w:b/>
                <w:bCs/>
              </w:rPr>
            </w:pPr>
            <w:r>
              <w:rPr>
                <w:b/>
                <w:bCs/>
                <w:sz w:val="19"/>
              </w:rPr>
              <w:t>procedure</w:t>
            </w:r>
          </w:p>
        </w:tc>
        <w:tc>
          <w:tcPr>
            <w:tcW w:w="6739" w:type="dxa"/>
            <w:tcBorders/>
            <w:vAlign w:val="top"/>
            <w:shd w:fill="F7F9FB"/>
          </w:tcPr>
          <w:p>
            <w:pPr>
              <w:pStyle w:val="Normal"/>
              <w:widowControl/>
              <w:bidi w:val="0"/>
              <w:spacing w:lineRule="auto" w:line="240" w:before="0" w:after="40"/>
              <w:jc w:val="start"/>
              <w:rPr/>
            </w:pPr>
            <w:r>
              <w:rPr>
                <w:sz w:val="19"/>
              </w:rPr>
              <w:t>Deterministic or reviewable operations performed.</w:t>
            </w:r>
          </w:p>
        </w:tc>
      </w:tr>
      <w:tr>
        <w:trPr/>
        <w:tc>
          <w:tcPr>
            <w:tcW w:w="2621" w:type="dxa"/>
            <w:tcBorders/>
            <w:vAlign w:val="top"/>
          </w:tcPr>
          <w:p>
            <w:pPr>
              <w:pStyle w:val="Normal"/>
              <w:spacing w:before="0" w:after="40" w:line="240" w:lineRule="auto"/>
              <w:rPr>
                <w:b/>
                <w:bCs/>
              </w:rPr>
            </w:pPr>
            <w:r>
              <w:rPr>
                <w:b/>
                <w:bCs/>
                <w:sz w:val="19"/>
              </w:rPr>
              <w:t>positive_result</w:t>
            </w:r>
          </w:p>
        </w:tc>
        <w:tc>
          <w:tcPr>
            <w:tcW w:w="6739" w:type="dxa"/>
            <w:tcBorders/>
            <w:vAlign w:val="top"/>
          </w:tcPr>
          <w:p>
            <w:pPr>
              <w:pStyle w:val="Normal"/>
              <w:widowControl/>
              <w:bidi w:val="0"/>
              <w:spacing w:lineRule="auto" w:line="240" w:before="0" w:after="40"/>
              <w:jc w:val="start"/>
              <w:rPr/>
            </w:pPr>
            <w:r>
              <w:rPr>
                <w:sz w:val="19"/>
              </w:rPr>
              <w:t>Observed positive fixture receipt.</w:t>
            </w:r>
          </w:p>
        </w:tc>
      </w:tr>
      <w:tr>
        <w:trPr/>
        <w:tc>
          <w:tcPr>
            <w:tcW w:w="2621" w:type="dxa"/>
            <w:tcBorders/>
            <w:vAlign w:val="top"/>
            <w:shd w:fill="F7F9FB"/>
          </w:tcPr>
          <w:p>
            <w:pPr>
              <w:pStyle w:val="Normal"/>
              <w:spacing w:before="0" w:after="40" w:line="240" w:lineRule="auto"/>
              <w:rPr>
                <w:b/>
                <w:bCs/>
              </w:rPr>
            </w:pPr>
            <w:r>
              <w:rPr>
                <w:b/>
                <w:bCs/>
                <w:sz w:val="19"/>
              </w:rPr>
              <w:t>negative_result</w:t>
            </w:r>
          </w:p>
        </w:tc>
        <w:tc>
          <w:tcPr>
            <w:tcW w:w="6739" w:type="dxa"/>
            <w:tcBorders/>
            <w:vAlign w:val="top"/>
            <w:shd w:fill="F7F9FB"/>
          </w:tcPr>
          <w:p>
            <w:pPr>
              <w:pStyle w:val="Normal"/>
              <w:widowControl/>
              <w:bidi w:val="0"/>
              <w:spacing w:lineRule="auto" w:line="240" w:before="0" w:after="40"/>
              <w:jc w:val="start"/>
              <w:rPr/>
            </w:pPr>
            <w:r>
              <w:rPr>
                <w:sz w:val="19"/>
              </w:rPr>
              <w:t>Observed negative fixture receipt.</w:t>
            </w:r>
          </w:p>
        </w:tc>
      </w:tr>
      <w:tr>
        <w:trPr/>
        <w:tc>
          <w:tcPr>
            <w:tcW w:w="2621" w:type="dxa"/>
            <w:tcBorders/>
            <w:vAlign w:val="top"/>
          </w:tcPr>
          <w:p>
            <w:pPr>
              <w:pStyle w:val="Normal"/>
              <w:spacing w:before="0" w:after="40" w:line="240" w:lineRule="auto"/>
              <w:rPr>
                <w:b/>
                <w:bCs/>
              </w:rPr>
            </w:pPr>
            <w:r>
              <w:rPr>
                <w:b/>
                <w:bCs/>
                <w:sz w:val="19"/>
              </w:rPr>
              <w:t>conformance_verdict</w:t>
            </w:r>
          </w:p>
        </w:tc>
        <w:tc>
          <w:tcPr>
            <w:tcW w:w="6739" w:type="dxa"/>
            <w:tcBorders/>
            <w:vAlign w:val="top"/>
          </w:tcPr>
          <w:p>
            <w:pPr>
              <w:pStyle w:val="Normal"/>
              <w:widowControl/>
              <w:bidi w:val="0"/>
              <w:spacing w:lineRule="auto" w:line="240" w:before="0" w:after="40"/>
              <w:jc w:val="start"/>
              <w:rPr/>
            </w:pPr>
            <w:r>
              <w:rPr>
                <w:sz w:val="19"/>
              </w:rPr>
              <w:t>CONFORMANT or NONCONFORMANT.</w:t>
            </w:r>
          </w:p>
        </w:tc>
      </w:tr>
      <w:tr>
        <w:trPr/>
        <w:tc>
          <w:tcPr>
            <w:tcW w:w="2621" w:type="dxa"/>
            <w:tcBorders/>
            <w:vAlign w:val="top"/>
            <w:shd w:fill="F7F9FB"/>
          </w:tcPr>
          <w:p>
            <w:pPr>
              <w:pStyle w:val="Normal"/>
              <w:spacing w:before="0" w:after="40" w:line="240" w:lineRule="auto"/>
              <w:rPr>
                <w:b/>
                <w:bCs/>
              </w:rPr>
            </w:pPr>
            <w:r>
              <w:rPr>
                <w:b/>
                <w:bCs/>
                <w:sz w:val="19"/>
              </w:rPr>
              <w:t>evidence</w:t>
            </w:r>
          </w:p>
        </w:tc>
        <w:tc>
          <w:tcPr>
            <w:tcW w:w="6739" w:type="dxa"/>
            <w:tcBorders/>
            <w:vAlign w:val="top"/>
            <w:shd w:fill="F7F9FB"/>
          </w:tcPr>
          <w:p>
            <w:pPr>
              <w:pStyle w:val="Normal"/>
              <w:widowControl/>
              <w:bidi w:val="0"/>
              <w:spacing w:lineRule="auto" w:line="240" w:before="0" w:after="40"/>
              <w:jc w:val="start"/>
              <w:rPr/>
            </w:pPr>
            <w:r>
              <w:rPr>
                <w:sz w:val="19"/>
              </w:rPr>
              <w:t>Logs, hashes, excerpts, screenshots, proofs, or reviewer receipt.</w:t>
            </w:r>
          </w:p>
        </w:tc>
      </w:tr>
      <w:tr>
        <w:trPr/>
        <w:tc>
          <w:tcPr>
            <w:tcW w:w="2621" w:type="dxa"/>
            <w:tcBorders/>
            <w:vAlign w:val="top"/>
          </w:tcPr>
          <w:p>
            <w:pPr>
              <w:pStyle w:val="Normal"/>
              <w:spacing w:before="0" w:after="40" w:line="240" w:lineRule="auto"/>
              <w:rPr>
                <w:b/>
                <w:bCs/>
              </w:rPr>
            </w:pPr>
            <w:r>
              <w:rPr>
                <w:b/>
                <w:bCs/>
                <w:sz w:val="19"/>
              </w:rPr>
              <w:t>authority_ceiling</w:t>
            </w:r>
          </w:p>
        </w:tc>
        <w:tc>
          <w:tcPr>
            <w:tcW w:w="6739" w:type="dxa"/>
            <w:tcBorders/>
            <w:vAlign w:val="top"/>
          </w:tcPr>
          <w:p>
            <w:pPr>
              <w:pStyle w:val="Normal"/>
              <w:widowControl/>
              <w:bidi w:val="0"/>
              <w:spacing w:lineRule="auto" w:line="240" w:before="0" w:after="40"/>
              <w:jc w:val="start"/>
              <w:rPr/>
            </w:pPr>
            <w:r>
              <w:rPr>
                <w:sz w:val="19"/>
              </w:rPr>
              <w:t>Claim the test still cannot make.</w:t>
            </w:r>
          </w:p>
        </w:tc>
      </w:tr>
      <w:tr>
        <w:trPr/>
        <w:tc>
          <w:tcPr>
            <w:tcW w:w="2621" w:type="dxa"/>
            <w:tcBorders/>
            <w:vAlign w:val="top"/>
            <w:shd w:fill="F7F9FB"/>
          </w:tcPr>
          <w:p>
            <w:pPr>
              <w:pStyle w:val="Normal"/>
              <w:widowControl/>
              <w:bidi w:val="0"/>
              <w:spacing w:lineRule="auto" w:line="240" w:before="0" w:after="40"/>
              <w:jc w:val="start"/>
              <w:rPr/>
            </w:pPr>
            <w:r>
              <w:rPr>
                <w:sz w:val="19"/>
              </w:rPr>
              <w:t>material_reopening_condition</w:t>
            </w:r>
          </w:p>
        </w:tc>
        <w:tc>
          <w:tcPr>
            <w:tcW w:w="6739" w:type="dxa"/>
            <w:tcBorders/>
            <w:vAlign w:val="top"/>
            <w:shd w:fill="F7F9FB"/>
          </w:tcPr>
          <w:p>
            <w:pPr>
              <w:pStyle w:val="Normal"/>
              <w:widowControl/>
              <w:bidi w:val="0"/>
              <w:spacing w:lineRule="auto" w:line="240" w:before="0" w:after="40"/>
              <w:jc w:val="start"/>
              <w:rPr/>
            </w:pPr>
            <w:r>
              <w:rPr>
                <w:sz w:val="19"/>
              </w:rPr>
              <w:t>Invalidation predicate and route; an address alone is insufficient.</w:t>
            </w:r>
          </w:p>
        </w:tc>
      </w:tr>
      <w:tr>
        <w:trPr/>
        <w:tc>
          <w:tcPr>
            <w:tcW w:w="2621" w:type="dxa"/>
            <w:tcBorders/>
            <w:vAlign w:val="top"/>
          </w:tcPr>
          <w:p>
            <w:pPr>
              <w:pStyle w:val="Normal"/>
              <w:widowControl/>
              <w:bidi w:val="0"/>
              <w:spacing w:lineRule="auto" w:line="240" w:before="0" w:after="40"/>
              <w:jc w:val="start"/>
              <w:rPr/>
            </w:pPr>
            <w:r>
              <w:rPr>
                <w:sz w:val="19"/>
              </w:rPr>
              <w:t>canonical_claim_semantics</w:t>
            </w:r>
          </w:p>
        </w:tc>
        <w:tc>
          <w:tcPr>
            <w:tcW w:w="6739" w:type="dxa"/>
            <w:tcBorders/>
            <w:vAlign w:val="top"/>
          </w:tcPr>
          <w:p>
            <w:pPr>
              <w:pStyle w:val="Normal"/>
              <w:widowControl/>
              <w:bidi w:val="0"/>
              <w:spacing w:lineRule="auto" w:line="240" w:before="0" w:after="40"/>
              <w:jc w:val="start"/>
              <w:rPr/>
            </w:pPr>
            <w:r>
              <w:rPr>
                <w:sz w:val="19"/>
              </w:rPr>
              <w:t>Structured predicate or exact canonical text; claim_id alone is not semantic identity.</w:t>
            </w:r>
          </w:p>
        </w:tc>
      </w:tr>
      <w:tr>
        <w:trPr/>
        <w:tc>
          <w:tcPr>
            <w:tcW w:w="2621" w:type="dxa"/>
            <w:tcBorders/>
            <w:vAlign w:val="top"/>
            <w:shd w:fill="F7F9FB"/>
          </w:tcPr>
          <w:p>
            <w:pPr>
              <w:pStyle w:val="Normal"/>
              <w:widowControl/>
              <w:bidi w:val="0"/>
              <w:spacing w:lineRule="auto" w:line="240" w:before="0" w:after="40"/>
              <w:jc w:val="start"/>
              <w:rPr/>
            </w:pPr>
            <w:r>
              <w:rPr>
                <w:sz w:val="19"/>
              </w:rPr>
              <w:t>scope</w:t>
            </w:r>
          </w:p>
        </w:tc>
        <w:tc>
          <w:tcPr>
            <w:tcW w:w="6739" w:type="dxa"/>
            <w:tcBorders/>
            <w:vAlign w:val="top"/>
            <w:shd w:fill="F7F9FB"/>
          </w:tcPr>
          <w:p>
            <w:pPr>
              <w:pStyle w:val="Normal"/>
              <w:widowControl/>
              <w:bidi w:val="0"/>
              <w:spacing w:lineRule="auto" w:line="240" w:before="0" w:after="40"/>
              <w:jc w:val="start"/>
              <w:rPr/>
            </w:pPr>
            <w:r>
              <w:rPr>
                <w:sz w:val="19"/>
              </w:rPr>
              <w:t>Exact bounded scope under test.</w:t>
            </w:r>
          </w:p>
        </w:tc>
      </w:tr>
      <w:tr>
        <w:trPr/>
        <w:tc>
          <w:tcPr>
            <w:tcW w:w="2621" w:type="dxa"/>
            <w:tcBorders/>
            <w:vAlign w:val="top"/>
          </w:tcPr>
          <w:p>
            <w:pPr>
              <w:pStyle w:val="Normal"/>
              <w:widowControl/>
              <w:bidi w:val="0"/>
              <w:spacing w:lineRule="auto" w:line="240" w:before="0" w:after="40"/>
              <w:jc w:val="start"/>
              <w:rPr/>
            </w:pPr>
            <w:r>
              <w:rPr>
                <w:sz w:val="19"/>
              </w:rPr>
              <w:t>dependency_version_slice</w:t>
            </w:r>
          </w:p>
        </w:tc>
        <w:tc>
          <w:tcPr>
            <w:tcW w:w="6739" w:type="dxa"/>
            <w:tcBorders/>
            <w:vAlign w:val="top"/>
          </w:tcPr>
          <w:p>
            <w:pPr>
              <w:pStyle w:val="Normal"/>
              <w:widowControl/>
              <w:bidi w:val="0"/>
              <w:spacing w:lineRule="auto" w:line="240" w:before="0" w:after="40"/>
              <w:jc w:val="start"/>
              <w:rPr/>
            </w:pPr>
            <w:r>
              <w:rPr>
                <w:sz w:val="19"/>
              </w:rPr>
              <w:t>Complete source, schema, model, and fixture versions.</w:t>
            </w:r>
          </w:p>
        </w:tc>
      </w:tr>
      <w:tr>
        <w:trPr/>
        <w:tc>
          <w:tcPr>
            <w:tcW w:w="2621" w:type="dxa"/>
            <w:tcBorders/>
            <w:vAlign w:val="top"/>
            <w:shd w:fill="F7F9FB"/>
          </w:tcPr>
          <w:p>
            <w:pPr>
              <w:pStyle w:val="Normal"/>
              <w:widowControl/>
              <w:bidi w:val="0"/>
              <w:spacing w:lineRule="auto" w:line="240" w:before="0" w:after="40"/>
              <w:jc w:val="start"/>
              <w:rPr/>
            </w:pPr>
            <w:r>
              <w:rPr>
                <w:sz w:val="19"/>
              </w:rPr>
              <w:t>checker_and_version</w:t>
            </w:r>
          </w:p>
        </w:tc>
        <w:tc>
          <w:tcPr>
            <w:tcW w:w="6739" w:type="dxa"/>
            <w:tcBorders/>
            <w:vAlign w:val="top"/>
            <w:shd w:fill="F7F9FB"/>
          </w:tcPr>
          <w:p>
            <w:pPr>
              <w:pStyle w:val="Normal"/>
              <w:widowControl/>
              <w:bidi w:val="0"/>
              <w:spacing w:lineRule="auto" w:line="240" w:before="0" w:after="40"/>
              <w:jc w:val="start"/>
              <w:rPr/>
            </w:pPr>
            <w:r>
              <w:rPr>
                <w:sz w:val="19"/>
              </w:rPr>
              <w:t>Executable checker/tool version or named human reviewer and procedure.</w:t>
            </w:r>
          </w:p>
        </w:tc>
      </w:tr>
      <w:tr>
        <w:trPr/>
        <w:tc>
          <w:tcPr>
            <w:tcW w:w="2621" w:type="dxa"/>
            <w:tcBorders/>
            <w:vAlign w:val="top"/>
          </w:tcPr>
          <w:p>
            <w:pPr>
              <w:pStyle w:val="Normal"/>
              <w:widowControl/>
              <w:bidi w:val="0"/>
              <w:spacing w:lineRule="auto" w:line="240" w:before="0" w:after="40"/>
              <w:jc w:val="start"/>
              <w:rPr/>
            </w:pPr>
            <w:r>
              <w:rPr>
                <w:sz w:val="19"/>
              </w:rPr>
              <w:t>tolerance</w:t>
            </w:r>
          </w:p>
        </w:tc>
        <w:tc>
          <w:tcPr>
            <w:tcW w:w="6739" w:type="dxa"/>
            <w:tcBorders/>
            <w:vAlign w:val="top"/>
          </w:tcPr>
          <w:p>
            <w:pPr>
              <w:pStyle w:val="Normal"/>
              <w:widowControl/>
              <w:bidi w:val="0"/>
              <w:spacing w:lineRule="auto" w:line="240" w:before="0" w:after="40"/>
              <w:jc w:val="start"/>
              <w:rPr/>
            </w:pPr>
            <w:r>
              <w:rPr>
                <w:sz w:val="19"/>
              </w:rPr>
              <w:t>Declared tolerance or typed NOT_APPLICABLE.</w:t>
            </w:r>
          </w:p>
        </w:tc>
      </w:tr>
      <w:tr>
        <w:trPr/>
        <w:tc>
          <w:tcPr>
            <w:tcW w:w="2621" w:type="dxa"/>
            <w:tcBorders/>
            <w:vAlign w:val="top"/>
            <w:shd w:fill="F7F9FB"/>
          </w:tcPr>
          <w:p>
            <w:pPr>
              <w:pStyle w:val="Normal"/>
              <w:widowControl/>
              <w:bidi w:val="0"/>
              <w:spacing w:lineRule="auto" w:line="240" w:before="0" w:after="40"/>
              <w:jc w:val="start"/>
              <w:rPr/>
            </w:pPr>
            <w:r>
              <w:rPr>
                <w:sz w:val="19"/>
              </w:rPr>
              <w:t>resource_profile</w:t>
            </w:r>
          </w:p>
        </w:tc>
        <w:tc>
          <w:tcPr>
            <w:tcW w:w="6739" w:type="dxa"/>
            <w:tcBorders/>
            <w:vAlign w:val="top"/>
            <w:shd w:fill="F7F9FB"/>
          </w:tcPr>
          <w:p>
            <w:pPr>
              <w:pStyle w:val="Normal"/>
              <w:widowControl/>
              <w:bidi w:val="0"/>
              <w:spacing w:lineRule="auto" w:line="240" w:before="0" w:after="40"/>
              <w:jc w:val="start"/>
              <w:rPr/>
            </w:pPr>
            <w:r>
              <w:rPr>
                <w:sz w:val="19"/>
              </w:rPr>
              <w:t>Declared resource ceiling or typed NOT_APPLICABLE.</w:t>
            </w:r>
          </w:p>
        </w:tc>
      </w:tr>
      <w:tr>
        <w:trPr/>
        <w:tc>
          <w:tcPr>
            <w:tcW w:w="2621" w:type="dxa"/>
            <w:tcBorders/>
            <w:vAlign w:val="top"/>
          </w:tcPr>
          <w:p>
            <w:pPr>
              <w:pStyle w:val="Normal"/>
              <w:widowControl/>
              <w:bidi w:val="0"/>
              <w:spacing w:lineRule="auto" w:line="240" w:before="0" w:after="40"/>
              <w:jc w:val="start"/>
              <w:rPr/>
            </w:pPr>
            <w:r>
              <w:rPr>
                <w:sz w:val="19"/>
              </w:rPr>
              <w:t>contrary_evidence_and_limits</w:t>
            </w:r>
          </w:p>
        </w:tc>
        <w:tc>
          <w:tcPr>
            <w:tcW w:w="6739" w:type="dxa"/>
            <w:tcBorders/>
            <w:vAlign w:val="top"/>
          </w:tcPr>
          <w:p>
            <w:pPr>
              <w:pStyle w:val="Normal"/>
              <w:widowControl/>
              <w:bidi w:val="0"/>
              <w:spacing w:lineRule="auto" w:line="240" w:before="0" w:after="40"/>
              <w:jc w:val="start"/>
              <w:rPr/>
            </w:pPr>
            <w:r>
              <w:rPr>
                <w:sz w:val="19"/>
              </w:rPr>
              <w:t>Known failures, unresolved cases, and checker/model limits.</w:t>
            </w:r>
          </w:p>
        </w:tc>
      </w:tr>
    </w:tbl>
    <w:p>
      <w:pPr>
        <w:pStyle w:val="Heading1"/>
        <w:keepNext/>
        <w:keepLines/>
        <w:rPr/>
      </w:pPr>
      <w:bookmarkStart w:id="5" w:name="execution-convention-and-versioned-addre"/>
      <w:r>
        <w:rPr/>
        <w:t>3. Execution convention and versioned addresses</w:t>
      </w:r>
      <w:bookmarkEnd w:id="5"/>
    </w:p>
    <w:p>
      <w:pPr>
        <w:pStyle w:val="Normal"/>
        <w:keepNext/>
        <w:keepLines/>
        <w:rPr/>
      </w:pPr>
      <w:r>
        <w:rPr/>
        <w:t>The canonical v2.2 definitions and old receipts remain T01@2.2–T48@2.2. The same stable test addresses and purposes bind v2.3 target bytes as T01@2.3–T48@2.3; those bindings create new fixtures and execution receipts, never edits to predecessor receipts. The additive tests are T49@2.3–T72@2.3. An unversioned address such as T49 names the stable purpose only; a receipt must use its fully versioned address.</w:t>
      </w:r>
    </w:p>
    <w:p>
      <w:pPr>
        <w:pStyle w:val="BodyText"/>
        <w:rPr/>
      </w:pPr>
      <w:r>
        <w:rPr/>
        <w:t>Every test uses the existing TestReceipt schema and returns only CONFORMANT or NONCONFORMANT. A conformant test may preserve a substantive OPEN or UNRESOLVED claim when that is the expected claim-status result. TestReceipt evidence remains internal conformance evidence—not independent validation, author release authority, an A15 status, or proof beyond its frozen fixture.</w:t>
      </w:r>
    </w:p>
    <w:p>
      <w:pPr>
        <w:pStyle w:val="BodyText"/>
        <w:numPr>
          <w:ilvl w:val="0"/>
          <w:numId w:val="8"/>
        </w:numPr>
        <w:rPr/>
      </w:pPr>
      <w:r>
        <w:rPr/>
        <w:t>Freeze the five canonical sources and their hashes before running cross-surface tests.</w:t>
      </w:r>
    </w:p>
    <w:p>
      <w:pPr>
        <w:pStyle w:val="BodyText"/>
        <w:numPr>
          <w:ilvl w:val="0"/>
          <w:numId w:val="8"/>
        </w:numPr>
        <w:rPr/>
      </w:pPr>
      <w:r>
        <w:rPr/>
        <w:t>Run the positive and negative fixtures independently; do not let a positive result conceal a negative-fixture failure.</w:t>
      </w:r>
    </w:p>
    <w:p>
      <w:pPr>
        <w:pStyle w:val="BodyText"/>
        <w:numPr>
          <w:ilvl w:val="0"/>
          <w:numId w:val="8"/>
        </w:numPr>
        <w:rPr/>
      </w:pPr>
      <w:r>
        <w:rPr/>
        <w:t>Record OPEN and UNRESOLVED outcomes when the expected authority ceiling requires them.</w:t>
      </w:r>
    </w:p>
    <w:p>
      <w:pPr>
        <w:pStyle w:val="BodyText"/>
        <w:numPr>
          <w:ilvl w:val="0"/>
          <w:numId w:val="8"/>
        </w:numPr>
        <w:rPr/>
      </w:pPr>
      <w:r>
        <w:rPr/>
        <w:t>Route every NONCONFORMANT result to the earliest named decision or obligation; do not patch only the final surface.</w:t>
      </w:r>
    </w:p>
    <w:p>
      <w:pPr>
        <w:pStyle w:val="BodyText"/>
        <w:numPr>
          <w:ilvl w:val="0"/>
          <w:numId w:val="8"/>
        </w:numPr>
        <w:rPr/>
      </w:pPr>
      <w:r>
        <w:rPr/>
        <w:t>After a material repair, append a new test receipt and retain the failed receipt.</w:t>
      </w:r>
    </w:p>
    <w:p>
      <w:pPr>
        <w:pStyle w:val="BodyText"/>
        <w:numPr>
          <w:ilvl w:val="0"/>
          <w:numId w:val="8"/>
        </w:numPr>
        <w:rPr/>
      </w:pPr>
      <w:r>
        <w:rPr/>
        <w:t>Human editorial tests require a named reviewer and exact source hashes; automated checks require tool/version and logs.</w:t>
      </w:r>
    </w:p>
    <w:p>
      <w:pPr>
        <w:pStyle w:val="BodyText"/>
        <w:numPr>
          <w:ilvl w:val="0"/>
          <w:numId w:val="8"/>
        </w:numPr>
        <w:rPr/>
      </w:pPr>
      <w:r>
        <w:rPr/>
        <w:t>Execute every applicable machine binding and semantic binding. A lexical match cannot substitute for semantic review, and semantic review cannot waive a failed deterministic check.</w:t>
      </w:r>
    </w:p>
    <w:p>
      <w:pPr>
        <w:pStyle w:val="BodyText"/>
        <w:numPr>
          <w:ilvl w:val="0"/>
          <w:numId w:val="8"/>
        </w:numPr>
        <w:rPr/>
      </w:pPr>
      <w:r>
        <w:rPr/>
        <w:t>Bind each fixture and observation to the external release manifest. Final DOCX and PDF digests live in the package manifest and checksum file, never inside the component whose bytes they identify.</w:t>
      </w:r>
    </w:p>
    <w:p>
      <w:pPr>
        <w:pStyle w:val="Heading1"/>
        <w:keepNext/>
        <w:keepLines/>
        <w:rPr/>
      </w:pPr>
      <w:bookmarkStart w:id="6" w:name="historical-catalogue-t012.2t402.2"/>
      <w:r>
        <w:rPr/>
        <w:t>4. Historical catalogue T01@2.2–T40@2.2</w:t>
      </w:r>
      <w:bookmarkEnd w:id="6"/>
    </w:p>
    <w:p>
      <w:pPr>
        <w:pStyle w:val="Normal"/>
        <w:keepNext/>
        <w:keepLines/>
        <w:rPr/>
      </w:pPr>
      <w:r>
        <w:rPr/>
        <w:t>The specifications below are reproduced as the frozen v2.2 definitions. Their internal v2.2 targets, DOI values, routes, and vocabulary are historical content, not present-tense v2.3 metadata. No v2.3 field is inferred into them. Their v2.3 rerun bindings are stated separately in §7.</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4387"/>
        <w:gridCol w:w="4037"/>
      </w:tblGrid>
      <w:tr>
        <w:trPr>
          <w:tblHeader w:val="true"/>
        </w:trPr>
        <w:tc>
          <w:tcPr>
            <w:tcW w:w="936" w:type="dxa"/>
            <w:tcBorders/>
            <w:vAlign w:val="top"/>
            <w:shd w:fill="DCE6F1"/>
          </w:tcPr>
          <w:p>
            <w:pPr>
              <w:pStyle w:val="Normal"/>
              <w:spacing w:before="0" w:after="40" w:line="240" w:lineRule="auto"/>
              <w:rPr>
                <w:b/>
                <w:bCs/>
              </w:rPr>
            </w:pPr>
            <w:r>
              <w:rPr>
                <w:b/>
                <w:bCs/>
                <w:color w:val="1F4D78"/>
                <w:sz w:val="18"/>
              </w:rPr>
              <w:t>ID</w:t>
            </w:r>
          </w:p>
        </w:tc>
        <w:tc>
          <w:tcPr>
            <w:tcW w:w="4387" w:type="dxa"/>
            <w:tcBorders/>
            <w:vAlign w:val="top"/>
            <w:shd w:fill="DCE6F1"/>
          </w:tcPr>
          <w:p>
            <w:pPr>
              <w:pStyle w:val="Normal"/>
              <w:spacing w:before="0" w:after="40" w:line="240" w:lineRule="auto"/>
              <w:rPr>
                <w:b/>
                <w:bCs/>
              </w:rPr>
            </w:pPr>
            <w:r>
              <w:rPr>
                <w:b/>
                <w:bCs/>
                <w:color w:val="1F4D78"/>
                <w:sz w:val="18"/>
              </w:rPr>
              <w:t>Test</w:t>
            </w:r>
          </w:p>
        </w:tc>
        <w:tc>
          <w:tcPr>
            <w:tcW w:w="4037" w:type="dxa"/>
            <w:tcBorders/>
            <w:vAlign w:val="top"/>
            <w:shd w:fill="DCE6F1"/>
          </w:tcPr>
          <w:p>
            <w:pPr>
              <w:pStyle w:val="Normal"/>
              <w:spacing w:before="0" w:after="40" w:line="240" w:lineRule="auto"/>
              <w:rPr>
                <w:b/>
                <w:bCs/>
              </w:rPr>
            </w:pPr>
            <w:r>
              <w:rPr>
                <w:b/>
                <w:bCs/>
                <w:color w:val="1F4D78"/>
                <w:sz w:val="18"/>
              </w:rPr>
              <w:t>Earliest reopening</w:t>
            </w:r>
          </w:p>
        </w:tc>
      </w:tr>
      <w:tr>
        <w:trPr/>
        <w:tc>
          <w:tcPr>
            <w:tcW w:w="936" w:type="dxa"/>
            <w:tcBorders/>
            <w:vAlign w:val="top"/>
          </w:tcPr>
          <w:p>
            <w:pPr>
              <w:pStyle w:val="Normal"/>
              <w:spacing w:before="0" w:after="40" w:line="240" w:lineRule="auto"/>
              <w:rPr>
                <w:b/>
                <w:bCs/>
              </w:rPr>
            </w:pPr>
            <w:r>
              <w:rPr>
                <w:b/>
                <w:bCs/>
                <w:sz w:val="18"/>
              </w:rPr>
              <w:t>T01</w:t>
            </w:r>
          </w:p>
        </w:tc>
        <w:tc>
          <w:tcPr>
            <w:tcW w:w="4387" w:type="dxa"/>
            <w:tcBorders/>
            <w:vAlign w:val="top"/>
          </w:tcPr>
          <w:p>
            <w:pPr>
              <w:pStyle w:val="Normal"/>
              <w:widowControl/>
              <w:bidi w:val="0"/>
              <w:spacing w:lineRule="auto" w:line="240" w:before="0" w:after="40"/>
              <w:jc w:val="start"/>
              <w:rPr/>
            </w:pPr>
            <w:r>
              <w:rPr>
                <w:sz w:val="18"/>
              </w:rPr>
              <w:t>Five-surface manifest</w:t>
            </w:r>
          </w:p>
        </w:tc>
        <w:tc>
          <w:tcPr>
            <w:tcW w:w="4037" w:type="dxa"/>
            <w:tcBorders/>
            <w:vAlign w:val="top"/>
          </w:tcPr>
          <w:p>
            <w:pPr>
              <w:pStyle w:val="Normal"/>
              <w:widowControl/>
              <w:bidi w:val="0"/>
              <w:spacing w:lineRule="auto" w:line="240" w:before="0" w:after="40"/>
              <w:jc w:val="start"/>
              <w:rPr/>
            </w:pPr>
            <w:r>
              <w:rPr>
                <w:sz w:val="18"/>
              </w:rPr>
              <w:t>D13 / package architecture</w:t>
            </w:r>
          </w:p>
        </w:tc>
      </w:tr>
      <w:tr>
        <w:trPr/>
        <w:tc>
          <w:tcPr>
            <w:tcW w:w="936" w:type="dxa"/>
            <w:tcBorders/>
            <w:vAlign w:val="top"/>
            <w:shd w:fill="F7F9FB"/>
          </w:tcPr>
          <w:p>
            <w:pPr>
              <w:pStyle w:val="Normal"/>
              <w:spacing w:before="0" w:after="40" w:line="240" w:lineRule="auto"/>
              <w:rPr>
                <w:b/>
                <w:bCs/>
              </w:rPr>
            </w:pPr>
            <w:r>
              <w:rPr>
                <w:b/>
                <w:bCs/>
                <w:sz w:val="18"/>
              </w:rPr>
              <w:t>T02</w:t>
            </w:r>
          </w:p>
        </w:tc>
        <w:tc>
          <w:tcPr>
            <w:tcW w:w="4387" w:type="dxa"/>
            <w:tcBorders/>
            <w:vAlign w:val="top"/>
            <w:shd w:fill="F7F9FB"/>
          </w:tcPr>
          <w:p>
            <w:pPr>
              <w:pStyle w:val="Normal"/>
              <w:widowControl/>
              <w:bidi w:val="0"/>
              <w:spacing w:lineRule="auto" w:line="240" w:before="0" w:after="40"/>
              <w:jc w:val="start"/>
              <w:rPr/>
            </w:pPr>
            <w:r>
              <w:rPr>
                <w:sz w:val="18"/>
              </w:rPr>
              <w:t>Zenodo metadata</w:t>
            </w:r>
          </w:p>
        </w:tc>
        <w:tc>
          <w:tcPr>
            <w:tcW w:w="4037" w:type="dxa"/>
            <w:tcBorders/>
            <w:vAlign w:val="top"/>
            <w:shd w:fill="F7F9FB"/>
          </w:tcPr>
          <w:p>
            <w:pPr>
              <w:pStyle w:val="Normal"/>
              <w:widowControl/>
              <w:bidi w:val="0"/>
              <w:spacing w:lineRule="auto" w:line="240" w:before="0" w:after="40"/>
              <w:jc w:val="start"/>
              <w:rPr/>
            </w:pPr>
            <w:r>
              <w:rPr>
                <w:sz w:val="18"/>
              </w:rPr>
              <w:t>release metadata receipt</w:t>
            </w:r>
          </w:p>
        </w:tc>
      </w:tr>
      <w:tr>
        <w:trPr/>
        <w:tc>
          <w:tcPr>
            <w:tcW w:w="936" w:type="dxa"/>
            <w:tcBorders/>
            <w:vAlign w:val="top"/>
          </w:tcPr>
          <w:p>
            <w:pPr>
              <w:pStyle w:val="Normal"/>
              <w:spacing w:before="0" w:after="40" w:line="240" w:lineRule="auto"/>
              <w:rPr>
                <w:b/>
                <w:bCs/>
              </w:rPr>
            </w:pPr>
            <w:r>
              <w:rPr>
                <w:b/>
                <w:bCs/>
                <w:sz w:val="18"/>
              </w:rPr>
              <w:t>T03</w:t>
            </w:r>
          </w:p>
        </w:tc>
        <w:tc>
          <w:tcPr>
            <w:tcW w:w="4387" w:type="dxa"/>
            <w:tcBorders/>
            <w:vAlign w:val="top"/>
          </w:tcPr>
          <w:p>
            <w:pPr>
              <w:pStyle w:val="Normal"/>
              <w:widowControl/>
              <w:bidi w:val="0"/>
              <w:spacing w:lineRule="auto" w:line="240" w:before="0" w:after="40"/>
              <w:jc w:val="start"/>
              <w:rPr/>
            </w:pPr>
            <w:r>
              <w:rPr>
                <w:sz w:val="18"/>
              </w:rPr>
              <w:t>Obligation checksum</w:t>
            </w:r>
          </w:p>
        </w:tc>
        <w:tc>
          <w:tcPr>
            <w:tcW w:w="4037" w:type="dxa"/>
            <w:tcBorders/>
            <w:vAlign w:val="top"/>
          </w:tcPr>
          <w:p>
            <w:pPr>
              <w:pStyle w:val="Normal"/>
              <w:widowControl/>
              <w:bidi w:val="0"/>
              <w:spacing w:lineRule="auto" w:line="240" w:before="0" w:after="40"/>
              <w:jc w:val="start"/>
              <w:rPr/>
            </w:pPr>
            <w:r>
              <w:rPr>
                <w:sz w:val="18"/>
              </w:rPr>
              <w:t>v2.2-L baseline / O01-O51</w:t>
            </w:r>
          </w:p>
        </w:tc>
      </w:tr>
      <w:tr>
        <w:trPr/>
        <w:tc>
          <w:tcPr>
            <w:tcW w:w="936" w:type="dxa"/>
            <w:tcBorders/>
            <w:vAlign w:val="top"/>
            <w:shd w:fill="F7F9FB"/>
          </w:tcPr>
          <w:p>
            <w:pPr>
              <w:pStyle w:val="Normal"/>
              <w:spacing w:before="0" w:after="40" w:line="240" w:lineRule="auto"/>
              <w:rPr>
                <w:b/>
                <w:bCs/>
              </w:rPr>
            </w:pPr>
            <w:r>
              <w:rPr>
                <w:b/>
                <w:bCs/>
                <w:sz w:val="18"/>
              </w:rPr>
              <w:t>T04</w:t>
            </w:r>
          </w:p>
        </w:tc>
        <w:tc>
          <w:tcPr>
            <w:tcW w:w="4387" w:type="dxa"/>
            <w:tcBorders/>
            <w:vAlign w:val="top"/>
            <w:shd w:fill="F7F9FB"/>
          </w:tcPr>
          <w:p>
            <w:pPr>
              <w:pStyle w:val="Normal"/>
              <w:widowControl/>
              <w:bidi w:val="0"/>
              <w:spacing w:lineRule="auto" w:line="240" w:before="0" w:after="40"/>
              <w:jc w:val="start"/>
              <w:rPr/>
            </w:pPr>
            <w:r>
              <w:rPr>
                <w:sz w:val="18"/>
              </w:rPr>
              <w:t>One-debt alias</w:t>
            </w:r>
          </w:p>
        </w:tc>
        <w:tc>
          <w:tcPr>
            <w:tcW w:w="4037" w:type="dxa"/>
            <w:tcBorders/>
            <w:vAlign w:val="top"/>
            <w:shd w:fill="F7F9FB"/>
          </w:tcPr>
          <w:p>
            <w:pPr>
              <w:pStyle w:val="Normal"/>
              <w:widowControl/>
              <w:bidi w:val="0"/>
              <w:spacing w:lineRule="auto" w:line="240" w:before="0" w:after="40"/>
              <w:jc w:val="start"/>
              <w:rPr/>
            </w:pPr>
            <w:r>
              <w:rPr>
                <w:sz w:val="18"/>
              </w:rPr>
              <w:t>O04/O25</w:t>
            </w:r>
          </w:p>
        </w:tc>
      </w:tr>
      <w:tr>
        <w:trPr/>
        <w:tc>
          <w:tcPr>
            <w:tcW w:w="936" w:type="dxa"/>
            <w:tcBorders/>
            <w:vAlign w:val="top"/>
          </w:tcPr>
          <w:p>
            <w:pPr>
              <w:pStyle w:val="Normal"/>
              <w:spacing w:before="0" w:after="40" w:line="240" w:lineRule="auto"/>
              <w:rPr>
                <w:b/>
                <w:bCs/>
              </w:rPr>
            </w:pPr>
            <w:r>
              <w:rPr>
                <w:b/>
                <w:bCs/>
                <w:sz w:val="18"/>
              </w:rPr>
              <w:t>T05</w:t>
            </w:r>
          </w:p>
        </w:tc>
        <w:tc>
          <w:tcPr>
            <w:tcW w:w="4387" w:type="dxa"/>
            <w:tcBorders/>
            <w:vAlign w:val="top"/>
          </w:tcPr>
          <w:p>
            <w:pPr>
              <w:pStyle w:val="Normal"/>
              <w:widowControl/>
              <w:bidi w:val="0"/>
              <w:spacing w:lineRule="auto" w:line="240" w:before="0" w:after="40"/>
              <w:jc w:val="start"/>
              <w:rPr/>
            </w:pPr>
            <w:r>
              <w:rPr>
                <w:sz w:val="18"/>
              </w:rPr>
              <w:t>Omega identity/firewall</w:t>
            </w:r>
          </w:p>
        </w:tc>
        <w:tc>
          <w:tcPr>
            <w:tcW w:w="4037" w:type="dxa"/>
            <w:tcBorders/>
            <w:vAlign w:val="top"/>
          </w:tcPr>
          <w:p>
            <w:pPr>
              <w:pStyle w:val="Normal"/>
              <w:widowControl/>
              <w:bidi w:val="0"/>
              <w:spacing w:lineRule="auto" w:line="240" w:before="0" w:after="40"/>
              <w:jc w:val="start"/>
              <w:rPr/>
            </w:pPr>
            <w:r>
              <w:rPr>
                <w:sz w:val="18"/>
              </w:rPr>
              <w:t>D02 / O01</w:t>
            </w:r>
          </w:p>
        </w:tc>
      </w:tr>
      <w:tr>
        <w:trPr/>
        <w:tc>
          <w:tcPr>
            <w:tcW w:w="936" w:type="dxa"/>
            <w:tcBorders/>
            <w:vAlign w:val="top"/>
            <w:shd w:fill="F7F9FB"/>
          </w:tcPr>
          <w:p>
            <w:pPr>
              <w:pStyle w:val="Normal"/>
              <w:spacing w:before="0" w:after="40" w:line="240" w:lineRule="auto"/>
              <w:rPr>
                <w:b/>
                <w:bCs/>
              </w:rPr>
            </w:pPr>
            <w:r>
              <w:rPr>
                <w:b/>
                <w:bCs/>
                <w:sz w:val="18"/>
              </w:rPr>
              <w:t>T06</w:t>
            </w:r>
          </w:p>
        </w:tc>
        <w:tc>
          <w:tcPr>
            <w:tcW w:w="4387" w:type="dxa"/>
            <w:tcBorders/>
            <w:vAlign w:val="top"/>
            <w:shd w:fill="F7F9FB"/>
          </w:tcPr>
          <w:p>
            <w:pPr>
              <w:pStyle w:val="Normal"/>
              <w:widowControl/>
              <w:bidi w:val="0"/>
              <w:spacing w:lineRule="auto" w:line="240" w:before="0" w:after="40"/>
              <w:jc w:val="start"/>
              <w:rPr/>
            </w:pPr>
            <w:r>
              <w:rPr>
                <w:sz w:val="18"/>
              </w:rPr>
              <w:t>A0 cut</w:t>
            </w:r>
          </w:p>
        </w:tc>
        <w:tc>
          <w:tcPr>
            <w:tcW w:w="4037" w:type="dxa"/>
            <w:tcBorders/>
            <w:vAlign w:val="top"/>
            <w:shd w:fill="F7F9FB"/>
          </w:tcPr>
          <w:p>
            <w:pPr>
              <w:pStyle w:val="Normal"/>
              <w:widowControl/>
              <w:bidi w:val="0"/>
              <w:spacing w:lineRule="auto" w:line="240" w:before="0" w:after="40"/>
              <w:jc w:val="start"/>
              <w:rPr/>
            </w:pPr>
            <w:r>
              <w:rPr>
                <w:sz w:val="18"/>
              </w:rPr>
              <w:t>D03 / O02</w:t>
            </w:r>
          </w:p>
        </w:tc>
      </w:tr>
      <w:tr>
        <w:trPr/>
        <w:tc>
          <w:tcPr>
            <w:tcW w:w="936" w:type="dxa"/>
            <w:tcBorders/>
            <w:vAlign w:val="top"/>
          </w:tcPr>
          <w:p>
            <w:pPr>
              <w:pStyle w:val="Normal"/>
              <w:spacing w:before="0" w:after="40" w:line="240" w:lineRule="auto"/>
              <w:rPr>
                <w:b/>
                <w:bCs/>
              </w:rPr>
            </w:pPr>
            <w:r>
              <w:rPr>
                <w:b/>
                <w:bCs/>
                <w:sz w:val="18"/>
              </w:rPr>
              <w:t>T07</w:t>
            </w:r>
          </w:p>
        </w:tc>
        <w:tc>
          <w:tcPr>
            <w:tcW w:w="4387" w:type="dxa"/>
            <w:tcBorders/>
            <w:vAlign w:val="top"/>
          </w:tcPr>
          <w:p>
            <w:pPr>
              <w:pStyle w:val="Normal"/>
              <w:widowControl/>
              <w:bidi w:val="0"/>
              <w:spacing w:lineRule="auto" w:line="240" w:before="0" w:after="40"/>
              <w:jc w:val="start"/>
              <w:rPr/>
            </w:pPr>
            <w:r>
              <w:rPr>
                <w:sz w:val="18"/>
              </w:rPr>
              <w:t>Omega-star reflection</w:t>
            </w:r>
          </w:p>
        </w:tc>
        <w:tc>
          <w:tcPr>
            <w:tcW w:w="4037" w:type="dxa"/>
            <w:tcBorders/>
            <w:vAlign w:val="top"/>
          </w:tcPr>
          <w:p>
            <w:pPr>
              <w:pStyle w:val="Normal"/>
              <w:widowControl/>
              <w:bidi w:val="0"/>
              <w:spacing w:lineRule="auto" w:line="240" w:before="0" w:after="40"/>
              <w:jc w:val="start"/>
              <w:rPr/>
            </w:pPr>
            <w:r>
              <w:rPr>
                <w:sz w:val="18"/>
              </w:rPr>
              <w:t>D04 / O02/O29</w:t>
            </w:r>
          </w:p>
        </w:tc>
      </w:tr>
      <w:tr>
        <w:trPr/>
        <w:tc>
          <w:tcPr>
            <w:tcW w:w="936" w:type="dxa"/>
            <w:tcBorders/>
            <w:vAlign w:val="top"/>
            <w:shd w:fill="F7F9FB"/>
          </w:tcPr>
          <w:p>
            <w:pPr>
              <w:pStyle w:val="Normal"/>
              <w:spacing w:before="0" w:after="40" w:line="240" w:lineRule="auto"/>
              <w:rPr>
                <w:b/>
                <w:bCs/>
              </w:rPr>
            </w:pPr>
            <w:r>
              <w:rPr>
                <w:b/>
                <w:bCs/>
                <w:sz w:val="18"/>
              </w:rPr>
              <w:t>T08</w:t>
            </w:r>
          </w:p>
        </w:tc>
        <w:tc>
          <w:tcPr>
            <w:tcW w:w="4387" w:type="dxa"/>
            <w:tcBorders/>
            <w:vAlign w:val="top"/>
            <w:shd w:fill="F7F9FB"/>
          </w:tcPr>
          <w:p>
            <w:pPr>
              <w:pStyle w:val="Normal"/>
              <w:widowControl/>
              <w:bidi w:val="0"/>
              <w:spacing w:lineRule="auto" w:line="240" w:before="0" w:after="40"/>
              <w:jc w:val="start"/>
              <w:rPr/>
            </w:pPr>
            <w:r>
              <w:rPr>
                <w:sz w:val="18"/>
              </w:rPr>
              <w:t>Residue correction</w:t>
            </w:r>
          </w:p>
        </w:tc>
        <w:tc>
          <w:tcPr>
            <w:tcW w:w="4037" w:type="dxa"/>
            <w:tcBorders/>
            <w:vAlign w:val="top"/>
            <w:shd w:fill="F7F9FB"/>
          </w:tcPr>
          <w:p>
            <w:pPr>
              <w:pStyle w:val="Normal"/>
              <w:widowControl/>
              <w:bidi w:val="0"/>
              <w:spacing w:lineRule="auto" w:line="240" w:before="0" w:after="40"/>
              <w:jc w:val="start"/>
              <w:rPr/>
            </w:pPr>
            <w:r>
              <w:rPr>
                <w:sz w:val="18"/>
              </w:rPr>
              <w:t>D05 / O34</w:t>
            </w:r>
          </w:p>
        </w:tc>
      </w:tr>
      <w:tr>
        <w:trPr/>
        <w:tc>
          <w:tcPr>
            <w:tcW w:w="936" w:type="dxa"/>
            <w:tcBorders/>
            <w:vAlign w:val="top"/>
          </w:tcPr>
          <w:p>
            <w:pPr>
              <w:pStyle w:val="Normal"/>
              <w:spacing w:before="0" w:after="40" w:line="240" w:lineRule="auto"/>
              <w:rPr>
                <w:b/>
                <w:bCs/>
              </w:rPr>
            </w:pPr>
            <w:r>
              <w:rPr>
                <w:b/>
                <w:bCs/>
                <w:sz w:val="18"/>
              </w:rPr>
              <w:t>T09</w:t>
            </w:r>
          </w:p>
        </w:tc>
        <w:tc>
          <w:tcPr>
            <w:tcW w:w="4387" w:type="dxa"/>
            <w:tcBorders/>
            <w:vAlign w:val="top"/>
          </w:tcPr>
          <w:p>
            <w:pPr>
              <w:pStyle w:val="Normal"/>
              <w:widowControl/>
              <w:bidi w:val="0"/>
              <w:spacing w:lineRule="auto" w:line="240" w:before="0" w:after="40"/>
              <w:jc w:val="start"/>
              <w:rPr/>
            </w:pPr>
            <w:r>
              <w:rPr>
                <w:sz w:val="18"/>
              </w:rPr>
              <w:t>Theta authority and nonimplication</w:t>
            </w:r>
          </w:p>
        </w:tc>
        <w:tc>
          <w:tcPr>
            <w:tcW w:w="4037" w:type="dxa"/>
            <w:tcBorders/>
            <w:vAlign w:val="top"/>
          </w:tcPr>
          <w:p>
            <w:pPr>
              <w:pStyle w:val="Normal"/>
              <w:widowControl/>
              <w:bidi w:val="0"/>
              <w:spacing w:lineRule="auto" w:line="240" w:before="0" w:after="40"/>
              <w:jc w:val="start"/>
              <w:rPr/>
            </w:pPr>
            <w:r>
              <w:rPr>
                <w:sz w:val="18"/>
              </w:rPr>
              <w:t>D06 / O03/O29</w:t>
            </w:r>
          </w:p>
        </w:tc>
      </w:tr>
      <w:tr>
        <w:trPr/>
        <w:tc>
          <w:tcPr>
            <w:tcW w:w="936" w:type="dxa"/>
            <w:tcBorders/>
            <w:vAlign w:val="top"/>
            <w:shd w:fill="F7F9FB"/>
          </w:tcPr>
          <w:p>
            <w:pPr>
              <w:pStyle w:val="Normal"/>
              <w:spacing w:before="0" w:after="40" w:line="240" w:lineRule="auto"/>
              <w:rPr>
                <w:b/>
                <w:bCs/>
              </w:rPr>
            </w:pPr>
            <w:r>
              <w:rPr>
                <w:b/>
                <w:bCs/>
                <w:sz w:val="18"/>
              </w:rPr>
              <w:t>T10</w:t>
            </w:r>
          </w:p>
        </w:tc>
        <w:tc>
          <w:tcPr>
            <w:tcW w:w="4387" w:type="dxa"/>
            <w:tcBorders/>
            <w:vAlign w:val="top"/>
            <w:shd w:fill="F7F9FB"/>
          </w:tcPr>
          <w:p>
            <w:pPr>
              <w:pStyle w:val="Normal"/>
              <w:widowControl/>
              <w:bidi w:val="0"/>
              <w:spacing w:lineRule="auto" w:line="240" w:before="0" w:after="40"/>
              <w:jc w:val="start"/>
              <w:rPr/>
            </w:pPr>
            <w:r>
              <w:rPr>
                <w:sz w:val="18"/>
              </w:rPr>
              <w:t>Primitive placement</w:t>
            </w:r>
          </w:p>
        </w:tc>
        <w:tc>
          <w:tcPr>
            <w:tcW w:w="4037" w:type="dxa"/>
            <w:tcBorders/>
            <w:vAlign w:val="top"/>
            <w:shd w:fill="F7F9FB"/>
          </w:tcPr>
          <w:p>
            <w:pPr>
              <w:pStyle w:val="Normal"/>
              <w:widowControl/>
              <w:bidi w:val="0"/>
              <w:spacing w:lineRule="auto" w:line="240" w:before="0" w:after="40"/>
              <w:jc w:val="start"/>
              <w:rPr/>
            </w:pPr>
            <w:r>
              <w:rPr>
                <w:sz w:val="18"/>
              </w:rPr>
              <w:t>D04/D06</w:t>
            </w:r>
          </w:p>
        </w:tc>
      </w:tr>
      <w:tr>
        <w:trPr/>
        <w:tc>
          <w:tcPr>
            <w:tcW w:w="936" w:type="dxa"/>
            <w:tcBorders/>
            <w:vAlign w:val="top"/>
          </w:tcPr>
          <w:p>
            <w:pPr>
              <w:pStyle w:val="Normal"/>
              <w:spacing w:before="0" w:after="40" w:line="240" w:lineRule="auto"/>
              <w:rPr>
                <w:b/>
                <w:bCs/>
              </w:rPr>
            </w:pPr>
            <w:r>
              <w:rPr>
                <w:b/>
                <w:bCs/>
                <w:sz w:val="18"/>
              </w:rPr>
              <w:t>T11</w:t>
            </w:r>
          </w:p>
        </w:tc>
        <w:tc>
          <w:tcPr>
            <w:tcW w:w="4387" w:type="dxa"/>
            <w:tcBorders/>
            <w:vAlign w:val="top"/>
          </w:tcPr>
          <w:p>
            <w:pPr>
              <w:pStyle w:val="Normal"/>
              <w:widowControl/>
              <w:bidi w:val="0"/>
              <w:spacing w:lineRule="auto" w:line="240" w:before="0" w:after="40"/>
              <w:jc w:val="start"/>
              <w:rPr/>
            </w:pPr>
            <w:r>
              <w:rPr>
                <w:sz w:val="18"/>
              </w:rPr>
              <w:t>A0-A1-A2 separation</w:t>
            </w:r>
          </w:p>
        </w:tc>
        <w:tc>
          <w:tcPr>
            <w:tcW w:w="4037" w:type="dxa"/>
            <w:tcBorders/>
            <w:vAlign w:val="top"/>
          </w:tcPr>
          <w:p>
            <w:pPr>
              <w:pStyle w:val="Normal"/>
              <w:widowControl/>
              <w:bidi w:val="0"/>
              <w:spacing w:lineRule="auto" w:line="240" w:before="0" w:after="40"/>
              <w:jc w:val="start"/>
              <w:rPr/>
            </w:pPr>
            <w:r>
              <w:rPr>
                <w:sz w:val="18"/>
              </w:rPr>
              <w:t>D03/D07/D08; O05/O06</w:t>
            </w:r>
          </w:p>
        </w:tc>
      </w:tr>
      <w:tr>
        <w:trPr/>
        <w:tc>
          <w:tcPr>
            <w:tcW w:w="936" w:type="dxa"/>
            <w:tcBorders/>
            <w:vAlign w:val="top"/>
            <w:shd w:fill="F7F9FB"/>
          </w:tcPr>
          <w:p>
            <w:pPr>
              <w:pStyle w:val="Normal"/>
              <w:spacing w:before="0" w:after="40" w:line="240" w:lineRule="auto"/>
              <w:rPr>
                <w:b/>
                <w:bCs/>
              </w:rPr>
            </w:pPr>
            <w:r>
              <w:rPr>
                <w:b/>
                <w:bCs/>
                <w:sz w:val="18"/>
              </w:rPr>
              <w:t>T12</w:t>
            </w:r>
          </w:p>
        </w:tc>
        <w:tc>
          <w:tcPr>
            <w:tcW w:w="4387" w:type="dxa"/>
            <w:tcBorders/>
            <w:vAlign w:val="top"/>
            <w:shd w:fill="F7F9FB"/>
          </w:tcPr>
          <w:p>
            <w:pPr>
              <w:pStyle w:val="Normal"/>
              <w:widowControl/>
              <w:bidi w:val="0"/>
              <w:spacing w:lineRule="auto" w:line="240" w:before="0" w:after="40"/>
              <w:jc w:val="start"/>
              <w:rPr/>
            </w:pPr>
            <w:r>
              <w:rPr>
                <w:sz w:val="18"/>
              </w:rPr>
              <w:t>Delete-the-math</w:t>
            </w:r>
          </w:p>
        </w:tc>
        <w:tc>
          <w:tcPr>
            <w:tcW w:w="4037" w:type="dxa"/>
            <w:tcBorders/>
            <w:vAlign w:val="top"/>
            <w:shd w:fill="F7F9FB"/>
          </w:tcPr>
          <w:p>
            <w:pPr>
              <w:pStyle w:val="Normal"/>
              <w:widowControl/>
              <w:bidi w:val="0"/>
              <w:spacing w:lineRule="auto" w:line="240" w:before="0" w:after="40"/>
              <w:jc w:val="start"/>
              <w:rPr/>
            </w:pPr>
            <w:r>
              <w:rPr>
                <w:sz w:val="18"/>
              </w:rPr>
              <w:t>D01 / target layer / O20</w:t>
            </w:r>
          </w:p>
        </w:tc>
      </w:tr>
      <w:tr>
        <w:trPr/>
        <w:tc>
          <w:tcPr>
            <w:tcW w:w="936" w:type="dxa"/>
            <w:tcBorders/>
            <w:vAlign w:val="top"/>
          </w:tcPr>
          <w:p>
            <w:pPr>
              <w:pStyle w:val="Normal"/>
              <w:spacing w:before="0" w:after="40" w:line="240" w:lineRule="auto"/>
              <w:rPr>
                <w:b/>
                <w:bCs/>
              </w:rPr>
            </w:pPr>
            <w:r>
              <w:rPr>
                <w:b/>
                <w:bCs/>
                <w:sz w:val="18"/>
              </w:rPr>
              <w:t>T13</w:t>
            </w:r>
          </w:p>
        </w:tc>
        <w:tc>
          <w:tcPr>
            <w:tcW w:w="4387" w:type="dxa"/>
            <w:tcBorders/>
            <w:vAlign w:val="top"/>
          </w:tcPr>
          <w:p>
            <w:pPr>
              <w:pStyle w:val="Normal"/>
              <w:widowControl/>
              <w:bidi w:val="0"/>
              <w:spacing w:lineRule="auto" w:line="240" w:before="0" w:after="40"/>
              <w:jc w:val="start"/>
              <w:rPr/>
            </w:pPr>
            <w:r>
              <w:rPr>
                <w:sz w:val="18"/>
              </w:rPr>
              <w:t>Swap-the-realization</w:t>
            </w:r>
          </w:p>
        </w:tc>
        <w:tc>
          <w:tcPr>
            <w:tcW w:w="4037" w:type="dxa"/>
            <w:tcBorders/>
            <w:vAlign w:val="top"/>
          </w:tcPr>
          <w:p>
            <w:pPr>
              <w:pStyle w:val="Normal"/>
              <w:widowControl/>
              <w:bidi w:val="0"/>
              <w:spacing w:lineRule="auto" w:line="240" w:before="0" w:after="40"/>
              <w:jc w:val="start"/>
              <w:rPr/>
            </w:pPr>
            <w:r>
              <w:rPr>
                <w:sz w:val="18"/>
              </w:rPr>
              <w:t>D01 / target layer / O24/O37/O38</w:t>
            </w:r>
          </w:p>
        </w:tc>
      </w:tr>
      <w:tr>
        <w:trPr/>
        <w:tc>
          <w:tcPr>
            <w:tcW w:w="936" w:type="dxa"/>
            <w:tcBorders/>
            <w:vAlign w:val="top"/>
            <w:shd w:fill="F7F9FB"/>
          </w:tcPr>
          <w:p>
            <w:pPr>
              <w:pStyle w:val="Normal"/>
              <w:spacing w:before="0" w:after="40" w:line="240" w:lineRule="auto"/>
              <w:rPr>
                <w:b/>
                <w:bCs/>
              </w:rPr>
            </w:pPr>
            <w:r>
              <w:rPr>
                <w:b/>
                <w:bCs/>
                <w:sz w:val="18"/>
              </w:rPr>
              <w:t>T14</w:t>
            </w:r>
          </w:p>
        </w:tc>
        <w:tc>
          <w:tcPr>
            <w:tcW w:w="4387" w:type="dxa"/>
            <w:tcBorders/>
            <w:vAlign w:val="top"/>
            <w:shd w:fill="F7F9FB"/>
          </w:tcPr>
          <w:p>
            <w:pPr>
              <w:pStyle w:val="Normal"/>
              <w:widowControl/>
              <w:bidi w:val="0"/>
              <w:spacing w:lineRule="auto" w:line="240" w:before="0" w:after="40"/>
              <w:jc w:val="start"/>
              <w:rPr/>
            </w:pPr>
            <w:r>
              <w:rPr>
                <w:sz w:val="18"/>
              </w:rPr>
              <w:t>Predecessor strictness</w:t>
            </w:r>
          </w:p>
        </w:tc>
        <w:tc>
          <w:tcPr>
            <w:tcW w:w="4037" w:type="dxa"/>
            <w:tcBorders/>
            <w:vAlign w:val="top"/>
            <w:shd w:fill="F7F9FB"/>
          </w:tcPr>
          <w:p>
            <w:pPr>
              <w:pStyle w:val="Normal"/>
              <w:widowControl/>
              <w:bidi w:val="0"/>
              <w:spacing w:lineRule="auto" w:line="240" w:before="0" w:after="40"/>
              <w:jc w:val="start"/>
              <w:rPr/>
            </w:pPr>
            <w:r>
              <w:rPr>
                <w:sz w:val="18"/>
              </w:rPr>
              <w:t>target layer / O20</w:t>
            </w:r>
          </w:p>
        </w:tc>
      </w:tr>
      <w:tr>
        <w:trPr/>
        <w:tc>
          <w:tcPr>
            <w:tcW w:w="936" w:type="dxa"/>
            <w:tcBorders/>
            <w:vAlign w:val="top"/>
          </w:tcPr>
          <w:p>
            <w:pPr>
              <w:pStyle w:val="Normal"/>
              <w:spacing w:before="0" w:after="40" w:line="240" w:lineRule="auto"/>
              <w:rPr>
                <w:b/>
                <w:bCs/>
              </w:rPr>
            </w:pPr>
            <w:r>
              <w:rPr>
                <w:b/>
                <w:bCs/>
                <w:sz w:val="18"/>
              </w:rPr>
              <w:t>T15</w:t>
            </w:r>
          </w:p>
        </w:tc>
        <w:tc>
          <w:tcPr>
            <w:tcW w:w="4387" w:type="dxa"/>
            <w:tcBorders/>
            <w:vAlign w:val="top"/>
          </w:tcPr>
          <w:p>
            <w:pPr>
              <w:pStyle w:val="Normal"/>
              <w:widowControl/>
              <w:bidi w:val="0"/>
              <w:spacing w:lineRule="auto" w:line="240" w:before="0" w:after="40"/>
              <w:jc w:val="start"/>
              <w:rPr/>
            </w:pPr>
            <w:r>
              <w:rPr>
                <w:sz w:val="18"/>
              </w:rPr>
              <w:t>Witness nonmanufacture</w:t>
            </w:r>
          </w:p>
        </w:tc>
        <w:tc>
          <w:tcPr>
            <w:tcW w:w="4037" w:type="dxa"/>
            <w:tcBorders/>
            <w:vAlign w:val="top"/>
          </w:tcPr>
          <w:p>
            <w:pPr>
              <w:pStyle w:val="Normal"/>
              <w:widowControl/>
              <w:bidi w:val="0"/>
              <w:spacing w:lineRule="auto" w:line="240" w:before="0" w:after="40"/>
              <w:jc w:val="start"/>
              <w:rPr/>
            </w:pPr>
            <w:r>
              <w:rPr>
                <w:sz w:val="18"/>
              </w:rPr>
              <w:t>O04/O05/O25/O26</w:t>
            </w:r>
          </w:p>
        </w:tc>
      </w:tr>
      <w:tr>
        <w:trPr/>
        <w:tc>
          <w:tcPr>
            <w:tcW w:w="936" w:type="dxa"/>
            <w:tcBorders/>
            <w:vAlign w:val="top"/>
            <w:shd w:fill="F7F9FB"/>
          </w:tcPr>
          <w:p>
            <w:pPr>
              <w:pStyle w:val="Normal"/>
              <w:spacing w:before="0" w:after="40" w:line="240" w:lineRule="auto"/>
              <w:rPr>
                <w:b/>
                <w:bCs/>
              </w:rPr>
            </w:pPr>
            <w:r>
              <w:rPr>
                <w:b/>
                <w:bCs/>
                <w:sz w:val="18"/>
              </w:rPr>
              <w:t>T16</w:t>
            </w:r>
          </w:p>
        </w:tc>
        <w:tc>
          <w:tcPr>
            <w:tcW w:w="4387" w:type="dxa"/>
            <w:tcBorders/>
            <w:vAlign w:val="top"/>
            <w:shd w:fill="F7F9FB"/>
          </w:tcPr>
          <w:p>
            <w:pPr>
              <w:pStyle w:val="Normal"/>
              <w:widowControl/>
              <w:bidi w:val="0"/>
              <w:spacing w:lineRule="auto" w:line="240" w:before="0" w:after="40"/>
              <w:jc w:val="start"/>
              <w:rPr/>
            </w:pPr>
            <w:r>
              <w:rPr>
                <w:sz w:val="18"/>
              </w:rPr>
              <w:t>Trace recovery and immutability</w:t>
            </w:r>
          </w:p>
        </w:tc>
        <w:tc>
          <w:tcPr>
            <w:tcW w:w="4037" w:type="dxa"/>
            <w:tcBorders/>
            <w:vAlign w:val="top"/>
            <w:shd w:fill="F7F9FB"/>
          </w:tcPr>
          <w:p>
            <w:pPr>
              <w:pStyle w:val="Normal"/>
              <w:widowControl/>
              <w:bidi w:val="0"/>
              <w:spacing w:lineRule="auto" w:line="240" w:before="0" w:after="40"/>
              <w:jc w:val="start"/>
              <w:rPr/>
            </w:pPr>
            <w:r>
              <w:rPr>
                <w:sz w:val="18"/>
              </w:rPr>
              <w:t>A2 / O06/O20/O40/O42</w:t>
            </w:r>
          </w:p>
        </w:tc>
      </w:tr>
      <w:tr>
        <w:trPr/>
        <w:tc>
          <w:tcPr>
            <w:tcW w:w="936" w:type="dxa"/>
            <w:tcBorders/>
            <w:vAlign w:val="top"/>
          </w:tcPr>
          <w:p>
            <w:pPr>
              <w:pStyle w:val="Normal"/>
              <w:spacing w:before="0" w:after="40" w:line="240" w:lineRule="auto"/>
              <w:rPr>
                <w:b/>
                <w:bCs/>
              </w:rPr>
            </w:pPr>
            <w:r>
              <w:rPr>
                <w:b/>
                <w:bCs/>
                <w:sz w:val="18"/>
              </w:rPr>
              <w:t>T17</w:t>
            </w:r>
          </w:p>
        </w:tc>
        <w:tc>
          <w:tcPr>
            <w:tcW w:w="4387" w:type="dxa"/>
            <w:tcBorders/>
            <w:vAlign w:val="top"/>
          </w:tcPr>
          <w:p>
            <w:pPr>
              <w:pStyle w:val="Normal"/>
              <w:widowControl/>
              <w:bidi w:val="0"/>
              <w:spacing w:lineRule="auto" w:line="240" w:before="0" w:after="40"/>
              <w:jc w:val="start"/>
              <w:rPr/>
            </w:pPr>
            <w:r>
              <w:rPr>
                <w:sz w:val="18"/>
              </w:rPr>
              <w:t>No authority backflow</w:t>
            </w:r>
          </w:p>
        </w:tc>
        <w:tc>
          <w:tcPr>
            <w:tcW w:w="4037" w:type="dxa"/>
            <w:tcBorders/>
            <w:vAlign w:val="top"/>
          </w:tcPr>
          <w:p>
            <w:pPr>
              <w:pStyle w:val="Normal"/>
              <w:widowControl/>
              <w:bidi w:val="0"/>
              <w:spacing w:lineRule="auto" w:line="240" w:before="0" w:after="40"/>
              <w:jc w:val="start"/>
              <w:rPr/>
            </w:pPr>
            <w:r>
              <w:rPr>
                <w:sz w:val="18"/>
              </w:rPr>
              <w:t>O27/O40/O51; no-backflow invariant</w:t>
            </w:r>
          </w:p>
        </w:tc>
      </w:tr>
      <w:tr>
        <w:trPr/>
        <w:tc>
          <w:tcPr>
            <w:tcW w:w="936" w:type="dxa"/>
            <w:tcBorders/>
            <w:vAlign w:val="top"/>
            <w:shd w:fill="F7F9FB"/>
          </w:tcPr>
          <w:p>
            <w:pPr>
              <w:pStyle w:val="Normal"/>
              <w:spacing w:before="0" w:after="40" w:line="240" w:lineRule="auto"/>
              <w:rPr>
                <w:b/>
                <w:bCs/>
              </w:rPr>
            </w:pPr>
            <w:r>
              <w:rPr>
                <w:b/>
                <w:bCs/>
                <w:sz w:val="18"/>
              </w:rPr>
              <w:t>T18</w:t>
            </w:r>
          </w:p>
        </w:tc>
        <w:tc>
          <w:tcPr>
            <w:tcW w:w="4387" w:type="dxa"/>
            <w:tcBorders/>
            <w:vAlign w:val="top"/>
            <w:shd w:fill="F7F9FB"/>
          </w:tcPr>
          <w:p>
            <w:pPr>
              <w:pStyle w:val="Normal"/>
              <w:widowControl/>
              <w:bidi w:val="0"/>
              <w:spacing w:lineRule="auto" w:line="240" w:before="0" w:after="40"/>
              <w:jc w:val="start"/>
              <w:rPr/>
            </w:pPr>
            <w:r>
              <w:rPr>
                <w:sz w:val="18"/>
              </w:rPr>
              <w:t>Residual routing</w:t>
            </w:r>
          </w:p>
        </w:tc>
        <w:tc>
          <w:tcPr>
            <w:tcW w:w="4037" w:type="dxa"/>
            <w:tcBorders/>
            <w:vAlign w:val="top"/>
            <w:shd w:fill="F7F9FB"/>
          </w:tcPr>
          <w:p>
            <w:pPr>
              <w:pStyle w:val="Normal"/>
              <w:widowControl/>
              <w:bidi w:val="0"/>
              <w:spacing w:lineRule="auto" w:line="240" w:before="0" w:after="40"/>
              <w:jc w:val="start"/>
              <w:rPr/>
            </w:pPr>
            <w:r>
              <w:rPr>
                <w:sz w:val="18"/>
              </w:rPr>
              <w:t>O31/O33/O34</w:t>
            </w:r>
          </w:p>
        </w:tc>
      </w:tr>
      <w:tr>
        <w:trPr/>
        <w:tc>
          <w:tcPr>
            <w:tcW w:w="936" w:type="dxa"/>
            <w:tcBorders/>
            <w:vAlign w:val="top"/>
          </w:tcPr>
          <w:p>
            <w:pPr>
              <w:pStyle w:val="Normal"/>
              <w:spacing w:before="0" w:after="40" w:line="240" w:lineRule="auto"/>
              <w:rPr>
                <w:b/>
                <w:bCs/>
              </w:rPr>
            </w:pPr>
            <w:r>
              <w:rPr>
                <w:b/>
                <w:bCs/>
                <w:sz w:val="18"/>
              </w:rPr>
              <w:t>T19</w:t>
            </w:r>
          </w:p>
        </w:tc>
        <w:tc>
          <w:tcPr>
            <w:tcW w:w="4387" w:type="dxa"/>
            <w:tcBorders/>
            <w:vAlign w:val="top"/>
          </w:tcPr>
          <w:p>
            <w:pPr>
              <w:pStyle w:val="Normal"/>
              <w:widowControl/>
              <w:bidi w:val="0"/>
              <w:spacing w:lineRule="auto" w:line="240" w:before="0" w:after="40"/>
              <w:jc w:val="start"/>
              <w:rPr/>
            </w:pPr>
            <w:r>
              <w:rPr>
                <w:sz w:val="18"/>
              </w:rPr>
              <w:t>Branch removal</w:t>
            </w:r>
          </w:p>
        </w:tc>
        <w:tc>
          <w:tcPr>
            <w:tcW w:w="4037" w:type="dxa"/>
            <w:tcBorders/>
            <w:vAlign w:val="top"/>
          </w:tcPr>
          <w:p>
            <w:pPr>
              <w:pStyle w:val="Normal"/>
              <w:widowControl/>
              <w:bidi w:val="0"/>
              <w:spacing w:lineRule="auto" w:line="240" w:before="0" w:after="40"/>
              <w:jc w:val="start"/>
              <w:rPr/>
            </w:pPr>
            <w:r>
              <w:rPr>
                <w:sz w:val="18"/>
              </w:rPr>
              <w:t>D01 / no-branch-absorption / O24/O50/O51</w:t>
            </w:r>
          </w:p>
        </w:tc>
      </w:tr>
      <w:tr>
        <w:trPr/>
        <w:tc>
          <w:tcPr>
            <w:tcW w:w="936" w:type="dxa"/>
            <w:tcBorders/>
            <w:vAlign w:val="top"/>
            <w:shd w:fill="F7F9FB"/>
          </w:tcPr>
          <w:p>
            <w:pPr>
              <w:pStyle w:val="Normal"/>
              <w:spacing w:before="0" w:after="40" w:line="240" w:lineRule="auto"/>
              <w:rPr>
                <w:b/>
                <w:bCs/>
              </w:rPr>
            </w:pPr>
            <w:r>
              <w:rPr>
                <w:b/>
                <w:bCs/>
                <w:sz w:val="18"/>
              </w:rPr>
              <w:t>T20</w:t>
            </w:r>
          </w:p>
        </w:tc>
        <w:tc>
          <w:tcPr>
            <w:tcW w:w="4387" w:type="dxa"/>
            <w:tcBorders/>
            <w:vAlign w:val="top"/>
            <w:shd w:fill="F7F9FB"/>
          </w:tcPr>
          <w:p>
            <w:pPr>
              <w:pStyle w:val="Normal"/>
              <w:widowControl/>
              <w:bidi w:val="0"/>
              <w:spacing w:lineRule="auto" w:line="240" w:before="0" w:after="40"/>
              <w:jc w:val="start"/>
              <w:rPr/>
            </w:pPr>
            <w:r>
              <w:rPr>
                <w:sz w:val="18"/>
              </w:rPr>
              <w:t>A11 coequal admissions</w:t>
            </w:r>
          </w:p>
        </w:tc>
        <w:tc>
          <w:tcPr>
            <w:tcW w:w="4037" w:type="dxa"/>
            <w:tcBorders/>
            <w:vAlign w:val="top"/>
            <w:shd w:fill="F7F9FB"/>
          </w:tcPr>
          <w:p>
            <w:pPr>
              <w:pStyle w:val="Normal"/>
              <w:widowControl/>
              <w:bidi w:val="0"/>
              <w:spacing w:lineRule="auto" w:line="240" w:before="0" w:after="40"/>
              <w:jc w:val="start"/>
              <w:rPr/>
            </w:pPr>
            <w:r>
              <w:rPr>
                <w:sz w:val="18"/>
              </w:rPr>
              <w:t>D11 / O15/O43-O46</w:t>
            </w:r>
          </w:p>
        </w:tc>
      </w:tr>
      <w:tr>
        <w:trPr/>
        <w:tc>
          <w:tcPr>
            <w:tcW w:w="936" w:type="dxa"/>
            <w:tcBorders/>
            <w:vAlign w:val="top"/>
          </w:tcPr>
          <w:p>
            <w:pPr>
              <w:pStyle w:val="Normal"/>
              <w:spacing w:before="0" w:after="40" w:line="240" w:lineRule="auto"/>
              <w:rPr>
                <w:b/>
                <w:bCs/>
              </w:rPr>
            </w:pPr>
            <w:r>
              <w:rPr>
                <w:b/>
                <w:bCs/>
                <w:sz w:val="18"/>
              </w:rPr>
              <w:t>T21</w:t>
            </w:r>
          </w:p>
        </w:tc>
        <w:tc>
          <w:tcPr>
            <w:tcW w:w="4387" w:type="dxa"/>
            <w:tcBorders/>
            <w:vAlign w:val="top"/>
          </w:tcPr>
          <w:p>
            <w:pPr>
              <w:pStyle w:val="Normal"/>
              <w:widowControl/>
              <w:bidi w:val="0"/>
              <w:spacing w:lineRule="auto" w:line="240" w:before="0" w:after="40"/>
              <w:jc w:val="start"/>
              <w:rPr/>
            </w:pPr>
            <w:r>
              <w:rPr>
                <w:sz w:val="18"/>
              </w:rPr>
              <w:t>A15 receipt completeness</w:t>
            </w:r>
          </w:p>
        </w:tc>
        <w:tc>
          <w:tcPr>
            <w:tcW w:w="4037" w:type="dxa"/>
            <w:tcBorders/>
            <w:vAlign w:val="top"/>
          </w:tcPr>
          <w:p>
            <w:pPr>
              <w:pStyle w:val="Normal"/>
              <w:widowControl/>
              <w:bidi w:val="0"/>
              <w:spacing w:lineRule="auto" w:line="240" w:before="0" w:after="40"/>
              <w:jc w:val="start"/>
              <w:rPr/>
            </w:pPr>
            <w:r>
              <w:rPr>
                <w:sz w:val="18"/>
              </w:rPr>
              <w:t>D12 / O19/O24/O49</w:t>
            </w:r>
          </w:p>
        </w:tc>
      </w:tr>
      <w:tr>
        <w:trPr/>
        <w:tc>
          <w:tcPr>
            <w:tcW w:w="936" w:type="dxa"/>
            <w:tcBorders/>
            <w:vAlign w:val="top"/>
            <w:shd w:fill="F7F9FB"/>
          </w:tcPr>
          <w:p>
            <w:pPr>
              <w:pStyle w:val="Normal"/>
              <w:spacing w:before="0" w:after="40" w:line="240" w:lineRule="auto"/>
              <w:rPr>
                <w:b/>
                <w:bCs/>
              </w:rPr>
            </w:pPr>
            <w:r>
              <w:rPr>
                <w:b/>
                <w:bCs/>
                <w:sz w:val="18"/>
              </w:rPr>
              <w:t>T22</w:t>
            </w:r>
          </w:p>
        </w:tc>
        <w:tc>
          <w:tcPr>
            <w:tcW w:w="4387" w:type="dxa"/>
            <w:tcBorders/>
            <w:vAlign w:val="top"/>
            <w:shd w:fill="F7F9FB"/>
          </w:tcPr>
          <w:p>
            <w:pPr>
              <w:pStyle w:val="Normal"/>
              <w:widowControl/>
              <w:bidi w:val="0"/>
              <w:spacing w:lineRule="auto" w:line="240" w:before="0" w:after="40"/>
              <w:jc w:val="start"/>
              <w:rPr/>
            </w:pPr>
            <w:r>
              <w:rPr>
                <w:sz w:val="18"/>
              </w:rPr>
              <w:t>A15 realization separation</w:t>
            </w:r>
          </w:p>
        </w:tc>
        <w:tc>
          <w:tcPr>
            <w:tcW w:w="4037" w:type="dxa"/>
            <w:tcBorders/>
            <w:vAlign w:val="top"/>
            <w:shd w:fill="F7F9FB"/>
          </w:tcPr>
          <w:p>
            <w:pPr>
              <w:pStyle w:val="Normal"/>
              <w:widowControl/>
              <w:bidi w:val="0"/>
              <w:spacing w:lineRule="auto" w:line="240" w:before="0" w:after="40"/>
              <w:jc w:val="start"/>
              <w:rPr/>
            </w:pPr>
            <w:r>
              <w:rPr>
                <w:sz w:val="18"/>
              </w:rPr>
              <w:t>D12 / O19/O47/O48</w:t>
            </w:r>
          </w:p>
        </w:tc>
      </w:tr>
      <w:tr>
        <w:trPr/>
        <w:tc>
          <w:tcPr>
            <w:tcW w:w="936" w:type="dxa"/>
            <w:tcBorders/>
            <w:vAlign w:val="top"/>
          </w:tcPr>
          <w:p>
            <w:pPr>
              <w:pStyle w:val="Normal"/>
              <w:spacing w:before="0" w:after="40" w:line="240" w:lineRule="auto"/>
              <w:rPr>
                <w:b/>
                <w:bCs/>
              </w:rPr>
            </w:pPr>
            <w:r>
              <w:rPr>
                <w:b/>
                <w:bCs/>
                <w:sz w:val="18"/>
              </w:rPr>
              <w:t>T23</w:t>
            </w:r>
          </w:p>
        </w:tc>
        <w:tc>
          <w:tcPr>
            <w:tcW w:w="4387" w:type="dxa"/>
            <w:tcBorders/>
            <w:vAlign w:val="top"/>
          </w:tcPr>
          <w:p>
            <w:pPr>
              <w:pStyle w:val="Normal"/>
              <w:widowControl/>
              <w:bidi w:val="0"/>
              <w:spacing w:lineRule="auto" w:line="240" w:before="0" w:after="40"/>
              <w:jc w:val="start"/>
              <w:rPr/>
            </w:pPr>
            <w:r>
              <w:rPr>
                <w:sz w:val="18"/>
              </w:rPr>
              <w:t>Material-delta reopening</w:t>
            </w:r>
          </w:p>
        </w:tc>
        <w:tc>
          <w:tcPr>
            <w:tcW w:w="4037" w:type="dxa"/>
            <w:tcBorders/>
            <w:vAlign w:val="top"/>
          </w:tcPr>
          <w:p>
            <w:pPr>
              <w:pStyle w:val="Normal"/>
              <w:widowControl/>
              <w:bidi w:val="0"/>
              <w:spacing w:lineRule="auto" w:line="240" w:before="0" w:after="40"/>
              <w:jc w:val="start"/>
              <w:rPr/>
            </w:pPr>
            <w:r>
              <w:rPr>
                <w:sz w:val="18"/>
              </w:rPr>
              <w:t>O49 / A15</w:t>
            </w:r>
          </w:p>
        </w:tc>
      </w:tr>
      <w:tr>
        <w:trPr/>
        <w:tc>
          <w:tcPr>
            <w:tcW w:w="936" w:type="dxa"/>
            <w:tcBorders/>
            <w:vAlign w:val="top"/>
            <w:shd w:fill="F7F9FB"/>
          </w:tcPr>
          <w:p>
            <w:pPr>
              <w:pStyle w:val="Normal"/>
              <w:spacing w:before="0" w:after="40" w:line="240" w:lineRule="auto"/>
              <w:rPr>
                <w:b/>
                <w:bCs/>
              </w:rPr>
            </w:pPr>
            <w:r>
              <w:rPr>
                <w:b/>
                <w:bCs/>
                <w:sz w:val="18"/>
              </w:rPr>
              <w:t>T24</w:t>
            </w:r>
          </w:p>
        </w:tc>
        <w:tc>
          <w:tcPr>
            <w:tcW w:w="4387" w:type="dxa"/>
            <w:tcBorders/>
            <w:vAlign w:val="top"/>
            <w:shd w:fill="F7F9FB"/>
          </w:tcPr>
          <w:p>
            <w:pPr>
              <w:pStyle w:val="Normal"/>
              <w:widowControl/>
              <w:bidi w:val="0"/>
              <w:spacing w:lineRule="auto" w:line="240" w:before="0" w:after="40"/>
              <w:jc w:val="start"/>
              <w:rPr/>
            </w:pPr>
            <w:r>
              <w:rPr>
                <w:sz w:val="18"/>
              </w:rPr>
              <w:t>Finite-check ceiling</w:t>
            </w:r>
          </w:p>
        </w:tc>
        <w:tc>
          <w:tcPr>
            <w:tcW w:w="4037" w:type="dxa"/>
            <w:tcBorders/>
            <w:vAlign w:val="top"/>
            <w:shd w:fill="F7F9FB"/>
          </w:tcPr>
          <w:p>
            <w:pPr>
              <w:pStyle w:val="Normal"/>
              <w:widowControl/>
              <w:bidi w:val="0"/>
              <w:spacing w:lineRule="auto" w:line="240" w:before="0" w:after="40"/>
              <w:jc w:val="start"/>
              <w:rPr/>
            </w:pPr>
            <w:r>
              <w:rPr>
                <w:sz w:val="18"/>
              </w:rPr>
              <w:t>O19/O28/O38; A15 ceiling</w:t>
            </w:r>
          </w:p>
        </w:tc>
      </w:tr>
      <w:tr>
        <w:trPr/>
        <w:tc>
          <w:tcPr>
            <w:tcW w:w="936" w:type="dxa"/>
            <w:tcBorders/>
            <w:vAlign w:val="top"/>
          </w:tcPr>
          <w:p>
            <w:pPr>
              <w:pStyle w:val="Normal"/>
              <w:spacing w:before="0" w:after="40" w:line="240" w:lineRule="auto"/>
              <w:rPr>
                <w:b/>
                <w:bCs/>
              </w:rPr>
            </w:pPr>
            <w:r>
              <w:rPr>
                <w:b/>
                <w:bCs/>
                <w:sz w:val="18"/>
              </w:rPr>
              <w:t>T25</w:t>
            </w:r>
          </w:p>
        </w:tc>
        <w:tc>
          <w:tcPr>
            <w:tcW w:w="4387" w:type="dxa"/>
            <w:tcBorders/>
            <w:vAlign w:val="top"/>
          </w:tcPr>
          <w:p>
            <w:pPr>
              <w:pStyle w:val="Normal"/>
              <w:widowControl/>
              <w:bidi w:val="0"/>
              <w:spacing w:lineRule="auto" w:line="240" w:before="0" w:after="40"/>
              <w:jc w:val="start"/>
              <w:rPr/>
            </w:pPr>
            <w:r>
              <w:rPr>
                <w:sz w:val="18"/>
              </w:rPr>
              <w:t>Compatibility coverage</w:t>
            </w:r>
          </w:p>
        </w:tc>
        <w:tc>
          <w:tcPr>
            <w:tcW w:w="4037" w:type="dxa"/>
            <w:tcBorders/>
            <w:vAlign w:val="top"/>
          </w:tcPr>
          <w:p>
            <w:pPr>
              <w:pStyle w:val="Normal"/>
              <w:widowControl/>
              <w:bidi w:val="0"/>
              <w:spacing w:lineRule="auto" w:line="240" w:before="0" w:after="40"/>
              <w:jc w:val="start"/>
              <w:rPr/>
            </w:pPr>
            <w:r>
              <w:rPr>
                <w:sz w:val="18"/>
              </w:rPr>
              <w:t>v2.1-C / affected decision</w:t>
            </w:r>
          </w:p>
        </w:tc>
      </w:tr>
      <w:tr>
        <w:trPr/>
        <w:tc>
          <w:tcPr>
            <w:tcW w:w="936" w:type="dxa"/>
            <w:tcBorders/>
            <w:vAlign w:val="top"/>
            <w:shd w:fill="F7F9FB"/>
          </w:tcPr>
          <w:p>
            <w:pPr>
              <w:pStyle w:val="Normal"/>
              <w:spacing w:before="0" w:after="40" w:line="240" w:lineRule="auto"/>
              <w:rPr>
                <w:b/>
                <w:bCs/>
              </w:rPr>
            </w:pPr>
            <w:r>
              <w:rPr>
                <w:b/>
                <w:bCs/>
                <w:sz w:val="18"/>
              </w:rPr>
              <w:t>T26</w:t>
            </w:r>
          </w:p>
        </w:tc>
        <w:tc>
          <w:tcPr>
            <w:tcW w:w="4387" w:type="dxa"/>
            <w:tcBorders/>
            <w:vAlign w:val="top"/>
            <w:shd w:fill="F7F9FB"/>
          </w:tcPr>
          <w:p>
            <w:pPr>
              <w:pStyle w:val="Normal"/>
              <w:widowControl/>
              <w:bidi w:val="0"/>
              <w:spacing w:lineRule="auto" w:line="240" w:before="0" w:after="40"/>
              <w:jc w:val="start"/>
              <w:rPr/>
            </w:pPr>
            <w:r>
              <w:rPr>
                <w:sz w:val="18"/>
              </w:rPr>
              <w:t>Cross-surface consistency</w:t>
            </w:r>
          </w:p>
        </w:tc>
        <w:tc>
          <w:tcPr>
            <w:tcW w:w="4037" w:type="dxa"/>
            <w:tcBorders/>
            <w:vAlign w:val="top"/>
            <w:shd w:fill="F7F9FB"/>
          </w:tcPr>
          <w:p>
            <w:pPr>
              <w:pStyle w:val="Normal"/>
              <w:widowControl/>
              <w:bidi w:val="0"/>
              <w:spacing w:lineRule="auto" w:line="240" w:before="0" w:after="40"/>
              <w:jc w:val="start"/>
              <w:rPr/>
            </w:pPr>
            <w:r>
              <w:rPr>
                <w:sz w:val="18"/>
              </w:rPr>
              <w:t>earliest conflicting decision/obligation</w:t>
            </w:r>
          </w:p>
        </w:tc>
      </w:tr>
      <w:tr>
        <w:trPr/>
        <w:tc>
          <w:tcPr>
            <w:tcW w:w="936" w:type="dxa"/>
            <w:tcBorders/>
            <w:vAlign w:val="top"/>
          </w:tcPr>
          <w:p>
            <w:pPr>
              <w:pStyle w:val="Normal"/>
              <w:spacing w:before="0" w:after="40" w:line="240" w:lineRule="auto"/>
              <w:rPr>
                <w:b/>
                <w:bCs/>
              </w:rPr>
            </w:pPr>
            <w:r>
              <w:rPr>
                <w:b/>
                <w:bCs/>
                <w:sz w:val="18"/>
              </w:rPr>
              <w:t>T27</w:t>
            </w:r>
          </w:p>
        </w:tc>
        <w:tc>
          <w:tcPr>
            <w:tcW w:w="4387" w:type="dxa"/>
            <w:tcBorders/>
            <w:vAlign w:val="top"/>
          </w:tcPr>
          <w:p>
            <w:pPr>
              <w:pStyle w:val="Normal"/>
              <w:widowControl/>
              <w:bidi w:val="0"/>
              <w:spacing w:lineRule="auto" w:line="240" w:before="0" w:after="40"/>
              <w:jc w:val="start"/>
              <w:rPr/>
            </w:pPr>
            <w:r>
              <w:rPr>
                <w:sz w:val="18"/>
              </w:rPr>
              <w:t>Plain-language recital</w:t>
            </w:r>
          </w:p>
        </w:tc>
        <w:tc>
          <w:tcPr>
            <w:tcW w:w="4037" w:type="dxa"/>
            <w:tcBorders/>
            <w:vAlign w:val="top"/>
          </w:tcPr>
          <w:p>
            <w:pPr>
              <w:pStyle w:val="Normal"/>
              <w:widowControl/>
              <w:bidi w:val="0"/>
              <w:spacing w:lineRule="auto" w:line="240" w:before="0" w:after="40"/>
              <w:jc w:val="start"/>
              <w:rPr/>
            </w:pPr>
            <w:r>
              <w:rPr>
                <w:sz w:val="18"/>
              </w:rPr>
              <w:t>D01 / target layer</w:t>
            </w:r>
          </w:p>
        </w:tc>
      </w:tr>
      <w:tr>
        <w:trPr/>
        <w:tc>
          <w:tcPr>
            <w:tcW w:w="936" w:type="dxa"/>
            <w:tcBorders/>
            <w:vAlign w:val="top"/>
            <w:shd w:fill="F7F9FB"/>
          </w:tcPr>
          <w:p>
            <w:pPr>
              <w:pStyle w:val="Normal"/>
              <w:spacing w:before="0" w:after="40" w:line="240" w:lineRule="auto"/>
              <w:rPr>
                <w:b/>
                <w:bCs/>
              </w:rPr>
            </w:pPr>
            <w:r>
              <w:rPr>
                <w:b/>
                <w:bCs/>
                <w:sz w:val="18"/>
              </w:rPr>
              <w:t>T28</w:t>
            </w:r>
          </w:p>
        </w:tc>
        <w:tc>
          <w:tcPr>
            <w:tcW w:w="4387" w:type="dxa"/>
            <w:tcBorders/>
            <w:vAlign w:val="top"/>
            <w:shd w:fill="F7F9FB"/>
          </w:tcPr>
          <w:p>
            <w:pPr>
              <w:pStyle w:val="Normal"/>
              <w:widowControl/>
              <w:bidi w:val="0"/>
              <w:spacing w:lineRule="auto" w:line="240" w:before="0" w:after="40"/>
              <w:jc w:val="start"/>
              <w:rPr/>
            </w:pPr>
            <w:r>
              <w:rPr>
                <w:sz w:val="18"/>
              </w:rPr>
              <w:t>Source/provenance audit</w:t>
            </w:r>
          </w:p>
        </w:tc>
        <w:tc>
          <w:tcPr>
            <w:tcW w:w="4037" w:type="dxa"/>
            <w:tcBorders/>
            <w:vAlign w:val="top"/>
            <w:shd w:fill="F7F9FB"/>
          </w:tcPr>
          <w:p>
            <w:pPr>
              <w:pStyle w:val="Normal"/>
              <w:widowControl/>
              <w:bidi w:val="0"/>
              <w:spacing w:lineRule="auto" w:line="240" w:before="0" w:after="40"/>
              <w:jc w:val="start"/>
              <w:rPr/>
            </w:pPr>
            <w:r>
              <w:rPr>
                <w:sz w:val="18"/>
              </w:rPr>
              <w:t>O24/O40-O42</w:t>
            </w:r>
          </w:p>
        </w:tc>
      </w:tr>
      <w:tr>
        <w:trPr/>
        <w:tc>
          <w:tcPr>
            <w:tcW w:w="936" w:type="dxa"/>
            <w:tcBorders/>
            <w:vAlign w:val="top"/>
          </w:tcPr>
          <w:p>
            <w:pPr>
              <w:pStyle w:val="Normal"/>
              <w:spacing w:before="0" w:after="40" w:line="240" w:lineRule="auto"/>
              <w:rPr>
                <w:b/>
                <w:bCs/>
              </w:rPr>
            </w:pPr>
            <w:r>
              <w:rPr>
                <w:b/>
                <w:bCs/>
                <w:sz w:val="18"/>
              </w:rPr>
              <w:t>T29</w:t>
            </w:r>
          </w:p>
        </w:tc>
        <w:tc>
          <w:tcPr>
            <w:tcW w:w="4387" w:type="dxa"/>
            <w:tcBorders/>
            <w:vAlign w:val="top"/>
          </w:tcPr>
          <w:p>
            <w:pPr>
              <w:pStyle w:val="Normal"/>
              <w:widowControl/>
              <w:bidi w:val="0"/>
              <w:spacing w:lineRule="auto" w:line="240" w:before="0" w:after="40"/>
              <w:jc w:val="start"/>
              <w:rPr/>
            </w:pPr>
            <w:r>
              <w:rPr>
                <w:sz w:val="18"/>
              </w:rPr>
              <w:t>Deprecated-phrase lint with semantic review</w:t>
            </w:r>
          </w:p>
        </w:tc>
        <w:tc>
          <w:tcPr>
            <w:tcW w:w="4037" w:type="dxa"/>
            <w:tcBorders/>
            <w:vAlign w:val="top"/>
          </w:tcPr>
          <w:p>
            <w:pPr>
              <w:pStyle w:val="Normal"/>
              <w:widowControl/>
              <w:bidi w:val="0"/>
              <w:spacing w:lineRule="auto" w:line="240" w:before="0" w:after="40"/>
              <w:jc w:val="start"/>
              <w:rPr/>
            </w:pPr>
            <w:r>
              <w:rPr>
                <w:sz w:val="18"/>
              </w:rPr>
              <w:t>corresponding D02-D04/D10/D12</w:t>
            </w:r>
          </w:p>
        </w:tc>
      </w:tr>
      <w:tr>
        <w:trPr/>
        <w:tc>
          <w:tcPr>
            <w:tcW w:w="936" w:type="dxa"/>
            <w:tcBorders/>
            <w:vAlign w:val="top"/>
            <w:shd w:fill="F7F9FB"/>
          </w:tcPr>
          <w:p>
            <w:pPr>
              <w:pStyle w:val="Normal"/>
              <w:spacing w:before="0" w:after="40" w:line="240" w:lineRule="auto"/>
              <w:rPr>
                <w:b/>
                <w:bCs/>
              </w:rPr>
            </w:pPr>
            <w:r>
              <w:rPr>
                <w:b/>
                <w:bCs/>
                <w:sz w:val="18"/>
              </w:rPr>
              <w:t>T30</w:t>
            </w:r>
          </w:p>
        </w:tc>
        <w:tc>
          <w:tcPr>
            <w:tcW w:w="4387" w:type="dxa"/>
            <w:tcBorders/>
            <w:vAlign w:val="top"/>
            <w:shd w:fill="F7F9FB"/>
          </w:tcPr>
          <w:p>
            <w:pPr>
              <w:pStyle w:val="Normal"/>
              <w:widowControl/>
              <w:bidi w:val="0"/>
              <w:spacing w:lineRule="auto" w:line="240" w:before="0" w:after="40"/>
              <w:jc w:val="start"/>
              <w:rPr/>
            </w:pPr>
            <w:r>
              <w:rPr>
                <w:sz w:val="18"/>
              </w:rPr>
              <w:t>Omnibus reproducibility</w:t>
            </w:r>
          </w:p>
        </w:tc>
        <w:tc>
          <w:tcPr>
            <w:tcW w:w="4037" w:type="dxa"/>
            <w:tcBorders/>
            <w:vAlign w:val="top"/>
            <w:shd w:fill="F7F9FB"/>
          </w:tcPr>
          <w:p>
            <w:pPr>
              <w:pStyle w:val="Normal"/>
              <w:widowControl/>
              <w:bidi w:val="0"/>
              <w:spacing w:lineRule="auto" w:line="240" w:before="0" w:after="40"/>
              <w:jc w:val="start"/>
              <w:rPr/>
            </w:pPr>
            <w:r>
              <w:rPr>
                <w:sz w:val="18"/>
              </w:rPr>
              <w:t>D13 / release build receipt</w:t>
            </w:r>
          </w:p>
        </w:tc>
      </w:tr>
      <w:tr>
        <w:trPr/>
        <w:tc>
          <w:tcPr>
            <w:tcW w:w="936" w:type="dxa"/>
            <w:tcBorders/>
            <w:vAlign w:val="top"/>
          </w:tcPr>
          <w:p>
            <w:pPr>
              <w:pStyle w:val="Normal"/>
              <w:spacing w:before="0" w:after="40" w:line="240" w:lineRule="auto"/>
              <w:rPr>
                <w:b/>
                <w:bCs/>
              </w:rPr>
            </w:pPr>
            <w:r>
              <w:rPr>
                <w:b/>
                <w:bCs/>
                <w:sz w:val="18"/>
              </w:rPr>
              <w:t>T31</w:t>
            </w:r>
          </w:p>
        </w:tc>
        <w:tc>
          <w:tcPr>
            <w:tcW w:w="4387" w:type="dxa"/>
            <w:tcBorders/>
            <w:vAlign w:val="top"/>
          </w:tcPr>
          <w:p>
            <w:pPr>
              <w:pStyle w:val="Normal"/>
              <w:widowControl/>
              <w:bidi w:val="0"/>
              <w:spacing w:lineRule="auto" w:line="240" w:before="0" w:after="40"/>
              <w:jc w:val="start"/>
              <w:rPr/>
            </w:pPr>
            <w:r>
              <w:rPr>
                <w:sz w:val="18"/>
              </w:rPr>
              <w:t>Seed / useful-room review</w:t>
            </w:r>
          </w:p>
        </w:tc>
        <w:tc>
          <w:tcPr>
            <w:tcW w:w="4037" w:type="dxa"/>
            <w:tcBorders/>
            <w:vAlign w:val="top"/>
          </w:tcPr>
          <w:p>
            <w:pPr>
              <w:pStyle w:val="Normal"/>
              <w:widowControl/>
              <w:bidi w:val="0"/>
              <w:spacing w:lineRule="auto" w:line="240" w:before="0" w:after="40"/>
              <w:jc w:val="start"/>
              <w:rPr/>
            </w:pPr>
            <w:r>
              <w:rPr>
                <w:sz w:val="18"/>
              </w:rPr>
              <w:t>D01 / card authority ceiling</w:t>
            </w:r>
          </w:p>
        </w:tc>
      </w:tr>
      <w:tr>
        <w:trPr/>
        <w:tc>
          <w:tcPr>
            <w:tcW w:w="936" w:type="dxa"/>
            <w:tcBorders/>
            <w:vAlign w:val="top"/>
            <w:shd w:fill="F7F9FB"/>
          </w:tcPr>
          <w:p>
            <w:pPr>
              <w:pStyle w:val="Normal"/>
              <w:spacing w:before="0" w:after="40" w:line="240" w:lineRule="auto"/>
              <w:rPr>
                <w:b/>
                <w:bCs/>
              </w:rPr>
            </w:pPr>
            <w:r>
              <w:rPr>
                <w:b/>
                <w:bCs/>
                <w:sz w:val="18"/>
              </w:rPr>
              <w:t>T32</w:t>
            </w:r>
          </w:p>
        </w:tc>
        <w:tc>
          <w:tcPr>
            <w:tcW w:w="4387" w:type="dxa"/>
            <w:tcBorders/>
            <w:vAlign w:val="top"/>
            <w:shd w:fill="F7F9FB"/>
          </w:tcPr>
          <w:p>
            <w:pPr>
              <w:pStyle w:val="Normal"/>
              <w:widowControl/>
              <w:bidi w:val="0"/>
              <w:spacing w:lineRule="auto" w:line="240" w:before="0" w:after="40"/>
              <w:jc w:val="start"/>
              <w:rPr/>
            </w:pPr>
            <w:r>
              <w:rPr>
                <w:sz w:val="18"/>
              </w:rPr>
              <w:t>Tone and modesty review</w:t>
            </w:r>
          </w:p>
        </w:tc>
        <w:tc>
          <w:tcPr>
            <w:tcW w:w="4037" w:type="dxa"/>
            <w:tcBorders/>
            <w:vAlign w:val="top"/>
            <w:shd w:fill="F7F9FB"/>
          </w:tcPr>
          <w:p>
            <w:pPr>
              <w:pStyle w:val="Normal"/>
              <w:widowControl/>
              <w:bidi w:val="0"/>
              <w:spacing w:lineRule="auto" w:line="240" w:before="0" w:after="40"/>
              <w:jc w:val="start"/>
              <w:rPr/>
            </w:pPr>
            <w:r>
              <w:rPr>
                <w:sz w:val="18"/>
              </w:rPr>
              <w:t>D01/D02/D12</w:t>
            </w:r>
          </w:p>
        </w:tc>
      </w:tr>
      <w:tr>
        <w:trPr/>
        <w:tc>
          <w:tcPr>
            <w:tcW w:w="936" w:type="dxa"/>
            <w:tcBorders/>
            <w:vAlign w:val="top"/>
          </w:tcPr>
          <w:p>
            <w:pPr>
              <w:pStyle w:val="Normal"/>
              <w:spacing w:before="0" w:after="40" w:line="240" w:lineRule="auto"/>
              <w:rPr>
                <w:b/>
                <w:bCs/>
              </w:rPr>
            </w:pPr>
            <w:r>
              <w:rPr>
                <w:b/>
                <w:bCs/>
                <w:sz w:val="18"/>
              </w:rPr>
              <w:t>T33</w:t>
            </w:r>
          </w:p>
        </w:tc>
        <w:tc>
          <w:tcPr>
            <w:tcW w:w="4387" w:type="dxa"/>
            <w:tcBorders/>
            <w:vAlign w:val="top"/>
          </w:tcPr>
          <w:p>
            <w:pPr>
              <w:pStyle w:val="Normal"/>
              <w:widowControl/>
              <w:bidi w:val="0"/>
              <w:spacing w:lineRule="auto" w:line="240" w:before="0" w:after="40"/>
              <w:jc w:val="start"/>
              <w:rPr/>
            </w:pPr>
            <w:r>
              <w:rPr>
                <w:sz w:val="18"/>
              </w:rPr>
              <w:t>Account-relative primacy</w:t>
            </w:r>
          </w:p>
        </w:tc>
        <w:tc>
          <w:tcPr>
            <w:tcW w:w="4037" w:type="dxa"/>
            <w:tcBorders/>
            <w:vAlign w:val="top"/>
          </w:tcPr>
          <w:p>
            <w:pPr>
              <w:pStyle w:val="Normal"/>
              <w:widowControl/>
              <w:bidi w:val="0"/>
              <w:spacing w:lineRule="auto" w:line="240" w:before="0" w:after="40"/>
              <w:jc w:val="start"/>
              <w:rPr/>
            </w:pPr>
            <w:r>
              <w:rPr>
                <w:sz w:val="18"/>
              </w:rPr>
              <w:t>D16/D03/O04; conditional O14</w:t>
            </w:r>
          </w:p>
        </w:tc>
      </w:tr>
      <w:tr>
        <w:trPr/>
        <w:tc>
          <w:tcPr>
            <w:tcW w:w="936" w:type="dxa"/>
            <w:tcBorders/>
            <w:vAlign w:val="top"/>
            <w:shd w:fill="F7F9FB"/>
          </w:tcPr>
          <w:p>
            <w:pPr>
              <w:pStyle w:val="Normal"/>
              <w:spacing w:before="0" w:after="40" w:line="240" w:lineRule="auto"/>
              <w:rPr>
                <w:b/>
                <w:bCs/>
              </w:rPr>
            </w:pPr>
            <w:r>
              <w:rPr>
                <w:b/>
                <w:bCs/>
                <w:sz w:val="18"/>
              </w:rPr>
              <w:t>T34</w:t>
            </w:r>
          </w:p>
        </w:tc>
        <w:tc>
          <w:tcPr>
            <w:tcW w:w="4387" w:type="dxa"/>
            <w:tcBorders/>
            <w:vAlign w:val="top"/>
            <w:shd w:fill="F7F9FB"/>
          </w:tcPr>
          <w:p>
            <w:pPr>
              <w:pStyle w:val="Normal"/>
              <w:widowControl/>
              <w:bidi w:val="0"/>
              <w:spacing w:lineRule="auto" w:line="240" w:before="0" w:after="40"/>
              <w:jc w:val="start"/>
              <w:rPr/>
            </w:pPr>
            <w:r>
              <w:rPr>
                <w:sz w:val="18"/>
              </w:rPr>
              <w:t>Typed cost-bearing admission</w:t>
            </w:r>
          </w:p>
        </w:tc>
        <w:tc>
          <w:tcPr>
            <w:tcW w:w="4037" w:type="dxa"/>
            <w:tcBorders/>
            <w:vAlign w:val="top"/>
            <w:shd w:fill="F7F9FB"/>
          </w:tcPr>
          <w:p>
            <w:pPr>
              <w:pStyle w:val="Normal"/>
              <w:widowControl/>
              <w:bidi w:val="0"/>
              <w:spacing w:lineRule="auto" w:line="240" w:before="0" w:after="40"/>
              <w:jc w:val="start"/>
              <w:rPr/>
            </w:pPr>
            <w:r>
              <w:rPr>
                <w:sz w:val="18"/>
              </w:rPr>
              <w:t>D17/SC-01/L01/O24/D15</w:t>
            </w:r>
          </w:p>
        </w:tc>
      </w:tr>
      <w:tr>
        <w:trPr/>
        <w:tc>
          <w:tcPr>
            <w:tcW w:w="936" w:type="dxa"/>
            <w:tcBorders/>
            <w:vAlign w:val="top"/>
          </w:tcPr>
          <w:p>
            <w:pPr>
              <w:pStyle w:val="Normal"/>
              <w:spacing w:before="0" w:after="40" w:line="240" w:lineRule="auto"/>
              <w:rPr>
                <w:b/>
                <w:bCs/>
              </w:rPr>
            </w:pPr>
            <w:r>
              <w:rPr>
                <w:b/>
                <w:bCs/>
                <w:sz w:val="18"/>
              </w:rPr>
              <w:t>T35</w:t>
            </w:r>
          </w:p>
        </w:tc>
        <w:tc>
          <w:tcPr>
            <w:tcW w:w="4387" w:type="dxa"/>
            <w:tcBorders/>
            <w:vAlign w:val="top"/>
          </w:tcPr>
          <w:p>
            <w:pPr>
              <w:pStyle w:val="Normal"/>
              <w:widowControl/>
              <w:bidi w:val="0"/>
              <w:spacing w:lineRule="auto" w:line="240" w:before="0" w:after="40"/>
              <w:jc w:val="start"/>
              <w:rPr/>
            </w:pPr>
            <w:r>
              <w:rPr>
                <w:sz w:val="18"/>
              </w:rPr>
              <w:t>Scoped occurrence and open source</w:t>
            </w:r>
          </w:p>
        </w:tc>
        <w:tc>
          <w:tcPr>
            <w:tcW w:w="4037" w:type="dxa"/>
            <w:tcBorders/>
            <w:vAlign w:val="top"/>
          </w:tcPr>
          <w:p>
            <w:pPr>
              <w:pStyle w:val="Normal"/>
              <w:widowControl/>
              <w:bidi w:val="0"/>
              <w:spacing w:lineRule="auto" w:line="240" w:before="0" w:after="40"/>
              <w:jc w:val="start"/>
              <w:rPr/>
            </w:pPr>
            <w:r>
              <w:rPr>
                <w:sz w:val="18"/>
              </w:rPr>
              <w:t>D18/D08/D12/D14/O04/O25</w:t>
            </w:r>
          </w:p>
        </w:tc>
      </w:tr>
      <w:tr>
        <w:trPr/>
        <w:tc>
          <w:tcPr>
            <w:tcW w:w="936" w:type="dxa"/>
            <w:tcBorders/>
            <w:vAlign w:val="top"/>
            <w:shd w:fill="F7F9FB"/>
          </w:tcPr>
          <w:p>
            <w:pPr>
              <w:pStyle w:val="Normal"/>
              <w:spacing w:before="0" w:after="40" w:line="240" w:lineRule="auto"/>
              <w:rPr>
                <w:b/>
                <w:bCs/>
              </w:rPr>
            </w:pPr>
            <w:r>
              <w:rPr>
                <w:b/>
                <w:bCs/>
                <w:sz w:val="18"/>
              </w:rPr>
              <w:t>T36</w:t>
            </w:r>
          </w:p>
        </w:tc>
        <w:tc>
          <w:tcPr>
            <w:tcW w:w="4387" w:type="dxa"/>
            <w:tcBorders/>
            <w:vAlign w:val="top"/>
            <w:shd w:fill="F7F9FB"/>
          </w:tcPr>
          <w:p>
            <w:pPr>
              <w:pStyle w:val="Normal"/>
              <w:widowControl/>
              <w:bidi w:val="0"/>
              <w:spacing w:lineRule="auto" w:line="240" w:before="0" w:after="40"/>
              <w:jc w:val="start"/>
              <w:rPr/>
            </w:pPr>
            <w:r>
              <w:rPr>
                <w:sz w:val="18"/>
              </w:rPr>
              <w:t>Account order versus primacy evidence</w:t>
            </w:r>
          </w:p>
        </w:tc>
        <w:tc>
          <w:tcPr>
            <w:tcW w:w="4037" w:type="dxa"/>
            <w:tcBorders/>
            <w:vAlign w:val="top"/>
            <w:shd w:fill="F7F9FB"/>
          </w:tcPr>
          <w:p>
            <w:pPr>
              <w:pStyle w:val="Normal"/>
              <w:widowControl/>
              <w:bidi w:val="0"/>
              <w:spacing w:lineRule="auto" w:line="240" w:before="0" w:after="40"/>
              <w:jc w:val="start"/>
              <w:rPr/>
            </w:pPr>
            <w:r>
              <w:rPr>
                <w:sz w:val="18"/>
              </w:rPr>
              <w:t>D19/D03/O04; conditional O14</w:t>
            </w:r>
          </w:p>
        </w:tc>
      </w:tr>
      <w:tr>
        <w:trPr/>
        <w:tc>
          <w:tcPr>
            <w:tcW w:w="936" w:type="dxa"/>
            <w:tcBorders/>
            <w:vAlign w:val="top"/>
          </w:tcPr>
          <w:p>
            <w:pPr>
              <w:pStyle w:val="Normal"/>
              <w:spacing w:before="0" w:after="40" w:line="240" w:lineRule="auto"/>
              <w:rPr>
                <w:b/>
                <w:bCs/>
              </w:rPr>
            </w:pPr>
            <w:r>
              <w:rPr>
                <w:b/>
                <w:bCs/>
                <w:sz w:val="18"/>
              </w:rPr>
              <w:t>T37</w:t>
            </w:r>
          </w:p>
        </w:tc>
        <w:tc>
          <w:tcPr>
            <w:tcW w:w="4387" w:type="dxa"/>
            <w:tcBorders/>
            <w:vAlign w:val="top"/>
          </w:tcPr>
          <w:p>
            <w:pPr>
              <w:pStyle w:val="Normal"/>
              <w:widowControl/>
              <w:bidi w:val="0"/>
              <w:spacing w:lineRule="auto" w:line="240" w:before="0" w:after="40"/>
              <w:jc w:val="start"/>
              <w:rPr/>
            </w:pPr>
            <w:r>
              <w:rPr>
                <w:sz w:val="18"/>
              </w:rPr>
              <w:t>Supplied inquiry-event witness</w:t>
            </w:r>
          </w:p>
        </w:tc>
        <w:tc>
          <w:tcPr>
            <w:tcW w:w="4037" w:type="dxa"/>
            <w:tcBorders/>
            <w:vAlign w:val="top"/>
          </w:tcPr>
          <w:p>
            <w:pPr>
              <w:pStyle w:val="Normal"/>
              <w:widowControl/>
              <w:bidi w:val="0"/>
              <w:spacing w:lineRule="auto" w:line="240" w:before="0" w:after="40"/>
              <w:jc w:val="start"/>
              <w:rPr/>
            </w:pPr>
            <w:r>
              <w:rPr>
                <w:sz w:val="18"/>
              </w:rPr>
              <w:t>D20/L05/O04/O25/D15</w:t>
            </w:r>
          </w:p>
        </w:tc>
      </w:tr>
      <w:tr>
        <w:trPr/>
        <w:tc>
          <w:tcPr>
            <w:tcW w:w="936" w:type="dxa"/>
            <w:tcBorders/>
            <w:vAlign w:val="top"/>
            <w:shd w:fill="F7F9FB"/>
          </w:tcPr>
          <w:p>
            <w:pPr>
              <w:pStyle w:val="Normal"/>
              <w:spacing w:before="0" w:after="40" w:line="240" w:lineRule="auto"/>
              <w:rPr>
                <w:b/>
                <w:bCs/>
              </w:rPr>
            </w:pPr>
            <w:r>
              <w:rPr>
                <w:b/>
                <w:bCs/>
                <w:sz w:val="18"/>
              </w:rPr>
              <w:t>T38</w:t>
            </w:r>
          </w:p>
        </w:tc>
        <w:tc>
          <w:tcPr>
            <w:tcW w:w="4387" w:type="dxa"/>
            <w:tcBorders/>
            <w:vAlign w:val="top"/>
            <w:shd w:fill="F7F9FB"/>
          </w:tcPr>
          <w:p>
            <w:pPr>
              <w:pStyle w:val="Normal"/>
              <w:widowControl/>
              <w:bidi w:val="0"/>
              <w:spacing w:lineRule="auto" w:line="240" w:before="0" w:after="40"/>
              <w:jc w:val="start"/>
              <w:rPr/>
            </w:pPr>
            <w:r>
              <w:rPr>
                <w:sz w:val="18"/>
              </w:rPr>
              <w:t>Cut-only source underdetermination</w:t>
            </w:r>
          </w:p>
        </w:tc>
        <w:tc>
          <w:tcPr>
            <w:tcW w:w="4037" w:type="dxa"/>
            <w:tcBorders/>
            <w:vAlign w:val="top"/>
            <w:shd w:fill="F7F9FB"/>
          </w:tcPr>
          <w:p>
            <w:pPr>
              <w:pStyle w:val="Normal"/>
              <w:widowControl/>
              <w:bidi w:val="0"/>
              <w:spacing w:lineRule="auto" w:line="240" w:before="0" w:after="40"/>
              <w:jc w:val="start"/>
              <w:rPr/>
            </w:pPr>
            <w:r>
              <w:rPr>
                <w:sz w:val="18"/>
              </w:rPr>
              <w:t>D21/O04/O24</w:t>
            </w:r>
          </w:p>
        </w:tc>
      </w:tr>
      <w:tr>
        <w:trPr/>
        <w:tc>
          <w:tcPr>
            <w:tcW w:w="936" w:type="dxa"/>
            <w:tcBorders/>
            <w:vAlign w:val="top"/>
          </w:tcPr>
          <w:p>
            <w:pPr>
              <w:pStyle w:val="Normal"/>
              <w:spacing w:before="0" w:after="40" w:line="240" w:lineRule="auto"/>
              <w:rPr>
                <w:b/>
                <w:bCs/>
              </w:rPr>
            </w:pPr>
            <w:r>
              <w:rPr>
                <w:b/>
                <w:bCs/>
                <w:sz w:val="18"/>
              </w:rPr>
              <w:t>T39</w:t>
            </w:r>
          </w:p>
        </w:tc>
        <w:tc>
          <w:tcPr>
            <w:tcW w:w="4387" w:type="dxa"/>
            <w:tcBorders/>
            <w:vAlign w:val="top"/>
          </w:tcPr>
          <w:p>
            <w:pPr>
              <w:pStyle w:val="Normal"/>
              <w:widowControl/>
              <w:bidi w:val="0"/>
              <w:spacing w:lineRule="auto" w:line="240" w:before="0" w:after="40"/>
              <w:jc w:val="start"/>
              <w:rPr/>
            </w:pPr>
            <w:r>
              <w:rPr>
                <w:sz w:val="18"/>
              </w:rPr>
              <w:t>Witnessed further inquiry</w:t>
            </w:r>
          </w:p>
        </w:tc>
        <w:tc>
          <w:tcPr>
            <w:tcW w:w="4037" w:type="dxa"/>
            <w:tcBorders/>
            <w:vAlign w:val="top"/>
          </w:tcPr>
          <w:p>
            <w:pPr>
              <w:pStyle w:val="Normal"/>
              <w:widowControl/>
              <w:bidi w:val="0"/>
              <w:spacing w:lineRule="auto" w:line="240" w:before="0" w:after="40"/>
              <w:jc w:val="start"/>
              <w:rPr/>
            </w:pPr>
            <w:r>
              <w:rPr>
                <w:sz w:val="18"/>
              </w:rPr>
              <w:t>D22/L01/L04/L05/L08/O04/O25</w:t>
            </w:r>
          </w:p>
        </w:tc>
      </w:tr>
      <w:tr>
        <w:trPr/>
        <w:tc>
          <w:tcPr>
            <w:tcW w:w="936" w:type="dxa"/>
            <w:tcBorders/>
            <w:vAlign w:val="top"/>
            <w:shd w:fill="F7F9FB"/>
          </w:tcPr>
          <w:p>
            <w:pPr>
              <w:pStyle w:val="Normal"/>
              <w:spacing w:before="0" w:after="40" w:line="240" w:lineRule="auto"/>
              <w:rPr>
                <w:b/>
                <w:bCs/>
              </w:rPr>
            </w:pPr>
            <w:r>
              <w:rPr>
                <w:b/>
                <w:bCs/>
                <w:sz w:val="18"/>
              </w:rPr>
              <w:t>T40</w:t>
            </w:r>
          </w:p>
        </w:tc>
        <w:tc>
          <w:tcPr>
            <w:tcW w:w="4387" w:type="dxa"/>
            <w:tcBorders/>
            <w:vAlign w:val="top"/>
            <w:shd w:fill="F7F9FB"/>
          </w:tcPr>
          <w:p>
            <w:pPr>
              <w:pStyle w:val="Normal"/>
              <w:widowControl/>
              <w:bidi w:val="0"/>
              <w:spacing w:lineRule="auto" w:line="240" w:before="0" w:after="40"/>
              <w:jc w:val="start"/>
              <w:rPr/>
            </w:pPr>
            <w:r>
              <w:rPr>
                <w:sz w:val="18"/>
              </w:rPr>
              <w:t>Append without backflow</w:t>
            </w:r>
          </w:p>
        </w:tc>
        <w:tc>
          <w:tcPr>
            <w:tcW w:w="4037" w:type="dxa"/>
            <w:tcBorders/>
            <w:vAlign w:val="top"/>
            <w:shd w:fill="F7F9FB"/>
          </w:tcPr>
          <w:p>
            <w:pPr>
              <w:pStyle w:val="Normal"/>
              <w:widowControl/>
              <w:bidi w:val="0"/>
              <w:spacing w:lineRule="auto" w:line="240" w:before="0" w:after="40"/>
              <w:jc w:val="start"/>
              <w:rPr/>
            </w:pPr>
            <w:r>
              <w:rPr>
                <w:sz w:val="18"/>
              </w:rPr>
              <w:t>D23/O27/O40/O51</w:t>
            </w:r>
          </w:p>
        </w:tc>
      </w:tr>
    </w:tbl>
    <w:p>
      <w:pPr>
        <w:pStyle w:val="Heading2"/>
        <w:keepNext/>
        <w:keepLines/>
        <w:rPr/>
      </w:pPr>
      <w:bookmarkStart w:id="7" w:name="t01---five-surface-manifest"/>
      <w:r>
        <w:rPr/>
        <w:t>T01 - Five-surface manifest</w:t>
      </w:r>
      <w:bookmarkEnd w:id="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Parse the release manifest; require one spine, M, L, T, and C source with distinct authority labels.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Five distinct sources; optional omnibus marked generated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Missing surface, merged authority, or independently editable omnibus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D13 / package architecture</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8" w:name="t02---zenodo-metadata"/>
      <w:r>
        <w:rPr/>
        <w:t>T02 - Zenodo metadata</w:t>
      </w:r>
      <w:bookmarkEnd w:id="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Compare title/version/author/DOI/license/date/description across metadata, cover pages, and manifest.</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DOI is 10.5281/zenodo.21891598; Christopher D. Pang is author; AI is assistance only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Wrong DOI, inconsistent version, AI listed as coauthor/owner, or missing license -&gt; NONCONFORMANT TestReceipt evidence -&gt; later ClosureReceipt: OPEN before publication; REOPENED after freeze.</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release metadata receipt</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9" w:name="t03---obligation-checksum"/>
      <w:r>
        <w:rPr/>
        <w:t>T03 - Obligation checksum</w:t>
      </w:r>
      <w:bookmarkEnd w:id="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Parse unique IDs and statuses from v2.2-L while preserving frozen v2.1 history.</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51 IDs; 23 CORE CLOSED + 19 PARAMETERIZED + 7 BRANCH + 2 OPEN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Missing/duplicate ID or any other total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v2.2-L baseline / O01-O51</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0" w:name="t04---one-debt-alias"/>
      <w:r>
        <w:rPr/>
        <w:t>T04 - One-debt alias</w:t>
      </w:r>
      <w:bookmarkEnd w:id="1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Require O04 and O25 to share D-FIRST-OCCURRENCE while remaining separate rows.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Two rows, one debt link, neither closed; a valid local A0 or occurrence receipt closes neither interface → CONFORMANT TestReceipt evidence -&gt; later ClosureReceipt: OPEN.</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Two independent debts, merged/deleted row, either source claimed derived, or local receipt promoted to debt closure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O04/O25</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1" w:name="t05---omega-identityfirewall"/>
      <w:r>
        <w:rPr/>
        <w:t>T05 - Omega identity/firewall</w:t>
      </w:r>
      <w:bookmarkEnd w:id="1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canonical definition and all constructor signatures; exempt compatibility quotations explicitly labeled rejected.</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w:t>
            </w:r>
            <w:r>
              <w:rPr>
                <w:sz w:val="19"/>
              </w:rPr>
              <w:t>Omega names unresolved possibility”; no constructor consumes it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w:t>
            </w:r>
            <w:r>
              <w:rPr>
                <w:sz w:val="19"/>
              </w:rPr>
              <w:t>Omega is unresolved exterior/residue/model/set” or F(Omega)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D02 / O01</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2" w:name="t06---a0-cut"/>
      <w:r>
        <w:rPr/>
        <w:t>T06 - A0 cut</w:t>
      </w:r>
      <w:bookmarkEnd w:id="1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the A0 keeper/card and atlas addressing.</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A0 is the first admitted supplied cut of a declared account; its distinct CutReceipt fields are present; the universal-equivalence model is an attached realization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A0 defined as model envelope/carrier/Omega, promoted to global firstness, or cost/source/authority fields collapsed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D03 / O02</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3" w:name="t07---omega-star-reflection"/>
      <w:r>
        <w:rPr/>
        <w:t>T07 - Omega-star reflection</w:t>
      </w:r>
      <w:bookmarkEnd w:id="1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primitive-floor dependency and nonidentity clauses.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Omega-star is the reflection/symmetry formed by the A0 cut; distinct from A0 and Omega; both imperfect -&gt; CONFORMANT TestReceipt evidence -&gt; later ClosureReceipt: CLOSED_IN_SCOPE for identity, with placement separately gated.</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Omega-star equals A0/Omega/residue, or is used indiscriminately for prompts/traces/outputs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D04 / O02/O29</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4" w:name="t08---residue-correction"/>
      <w:r>
        <w:rPr/>
        <w:t>T08 - Residue correction</w:t>
      </w:r>
      <w:bookmarkEnd w:id="1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all primitive definitional occurrences of “exterior” and “residue.”</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Excluded remainder is post-cut unresolved residue; Omega remains unresolved possibility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Residue promoted to Omega or treated as directly measurable content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D05 / O34</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5" w:name="t09---theta-authority-and-nonimplication"/>
      <w:r>
        <w:rPr/>
        <w:t>T09 - Theta authority and nonimplication</w:t>
      </w:r>
      <w:bookmarkEnd w:id="1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Check final theta statement against its atlas theorem.</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The adopted D06 statement carries a prior turn/asymmetry trace, selects no side, has no A1 eliminator, and leaves geometric angle optional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Theta selects a side, causes an occurrence, is canonically the golden angle, or proves A1 -&gt;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D06 / O03/O29</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6" w:name="t10---primitive-placement"/>
      <w:r>
        <w:rPr/>
        <w:t>T10 - Primitive placement</w:t>
      </w:r>
      <w:bookmarkEnd w:id="1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Require the explicit order A0[c] -&gt; Ω*[c] -&gt; θ[c] -&gt; A1[c], with Ω remaining outside constructor domains and residue indexed only to c.</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The adopted placement is explicit and no dependency is erased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Placement omitted, inferred from mathematical convenience, or inconsistent across files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D04/D06</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7" w:name="t11---a0-a1-a2-separation"/>
      <w:r>
        <w:rPr/>
        <w:t>T11 - A0-A1-A2 separation</w:t>
      </w:r>
      <w:bookmarkEnd w:id="1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Compare the three mechanical cards.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A0 cuts but is not an occurrence receipt; A1 makes the distinction readable; A2 preserves recoverable occurrence evidence; A15 is separately required for CLOSED_IN_SCOPE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A1 creates the cut, A0 alone proves occurrence, A2 is duration or silently closes a claim, or the stages are fused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D03/D07/D08; O05/O06</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8" w:name="t12---delete-the-math"/>
      <w:r>
        <w:rPr/>
        <w:t>T12 - Delete-the-math</w:t>
      </w:r>
      <w:bookmarkEnd w:id="1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Remove atlas references, equations, named structures, and realization paragraphs from a copy of the spine; review the remainder.</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Omega/A0/Omega-star/theta/A1-A15 remain ordered and mechanically intelligible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 layer becomes undefined (for example, A3 only “is a graph” or A9 only “is a quotient”)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D01 / target layer / O20</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19" w:name="t13---swap-the-realization"/>
      <w:r>
        <w:rPr/>
        <w:t>T13 - Swap-the-realization</w:t>
      </w:r>
      <w:bookmarkEnd w:id="1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Replace one admitted graph/store/quotient/coupled-field/checker realization with another meeting the same card.</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Layer identity and authority ceiling do not change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Replacement forces a renamed/narrowed/broadened layer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D01 / target layer / O24/O37/O38</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0" w:name="t14---predecessor-strictness"/>
      <w:r>
        <w:rPr/>
        <w:t>T14 - Predecessor strictness</w:t>
      </w:r>
      <w:bookmarkEnd w:id="2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For A1-A15, require a valid inherited state lacking exactly the new capability; inspect A0/Omega-star/theta separately under the primitive-floor decision.</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Every extension card has a predecessor countercase and preserving return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Missing countermodel, capability already present, or predecessor damaged -&gt; NONCONFORMANT TestReceipt evidence -&gt; later ClosureReceipt: OPEN.</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target layer / O20</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1" w:name="t15---witness-nonmanufacture"/>
      <w:r>
        <w:rPr/>
        <w:t>T15 - Witness nonmanufacture</w:t>
      </w:r>
      <w:bookmarkEnd w:id="2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Trace every crossing rule, including inquiry events and generated self-description claims, to an externally supplied or admitted witness.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Missing witness yields OPEN or UNRESOLVED with no output object -&gt; CONFORMANT TestReceipt evidence -&gt; later ClosureReceipt: OPEN or CONFORMANT TestReceipt evidence -&gt; later ClosureReceipt: UNRESOLVED.</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Constructor/certificate/question/output invents its own witness, treats absence of disproof as witness, or self-certifies ontology, consciousness, standing, or original source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O04/O05/O25/O26</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2" w:name="t16---trace-recovery-and-immutability"/>
      <w:r>
        <w:rPr/>
        <w:t>T16 - Trace recovery and immutability</w:t>
      </w:r>
      <w:bookmarkEnd w:id="2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Walk one occurrence through relation, transport, access, interpretation, and closure.</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Protected A1/A2 data and original residual/tolerance remain recoverable; authorized compression has a restoration receipt; later recovery evidence is a linked append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Mutation, silent deletion, orphaned compression, rewritten residual, or recovery evidence editing the earlier receipt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A2 / O06/O20/O40/O42</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3" w:name="t17---no-authority-backflow"/>
      <w:r>
        <w:rPr/>
        <w:t>T17 - No authority backflow</w:t>
      </w:r>
      <w:bookmarkEnd w:id="2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dependency arrows and promotion language.</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Later proof/prediction/ethics/interpretation appends a receipt without rewriting earlier identity, cost, witness basis, authority snapshot, evidence, consent, standing, or uncertainty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Later result retroactively grants or rewrites earlier cost, witness, authority, meaning, consent, standing, or certainty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O27/O40/O51; no-backflow invariant</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4" w:name="t18---residual-routing"/>
      <w:r>
        <w:rPr/>
        <w:t>T18 - Residual routing</w:t>
      </w:r>
      <w:bookmarkEnd w:id="2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Exercise quiet, decoded, residual, failed, partial, and out-of-scope fixtures.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Each ends in an exclusive typed destination with original evidence retained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Case disappears, is renamed hidden cause, or overlaps statuses without conflict handling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O31/O33/O34</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5" w:name="t19---branch-removal"/>
      <w:r>
        <w:rPr/>
        <w:t>T19 - Branch removal</w:t>
      </w:r>
      <w:bookmarkEnd w:id="2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Remove every PEA, PALET/BLA, BRT, CLEF, PECAN, SEED, PPP, Riemann Ledger, software, and physics attachment.</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Spine identity/order still stand; only examples/tests are lost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 layer definition, authority rule, or required witness disappears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D01 / no-branch-absorption / O24/O50/O51</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6" w:name="t20---a11-coequal-admissions"/>
      <w:r>
        <w:rPr/>
        <w:t>T20 - A11 coequal admissions</w:t>
      </w:r>
      <w:bookmarkEnd w:id="2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Run coupling-only, jointness-only, combined, and neither fixtures.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First two close only their own typed claim; combined retains two witnesses plus flexibility; neither returns OPEN -&gt; CONFORMANT TestReceipt evidence -&gt; later ClosureReceipt: CLOSED_IN_SCOPE for admitted fixtures and CONFORMANT TestReceipt evidence -&gt; later ClosureReceipt: OPEN for neither.</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One admission implies the other, flexibility is forgotten, or combined witnesses merge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D11 / O15/O43-O46</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7" w:name="t21---a15-receipt-completeness"/>
      <w:r>
        <w:rPr/>
        <w:t>T21 - A15 receipt completeness</w:t>
      </w:r>
      <w:bookmarkEnd w:id="2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Parse every CLOSED_IN_SCOPE receipt.</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Claim, scope, evidence, tolerance, versions, dependencies, authority, residual, and reopen conditions are present; a scoped occurrence closure also shows the A1/A2 route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Any field absent, A2 alone emits closure, or closure claims source/global primacy/PAL/reality/ethics/future finality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D12 / O19/O24/O49</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8" w:name="t22---a15-realization-separation"/>
      <w:r>
        <w:rPr/>
        <w:t>T22 - A15 realization separation</w:t>
      </w:r>
      <w:bookmarkEnd w:id="2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Compare proof-checker and route-closure records.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Distinct type tags and evidence schemas; no implicit coercion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Proof certificate is treated as route invariant or route cost as proof completeness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D12 / O19/O47/O48</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29" w:name="t23---material-delta-reopening"/>
      <w:r>
        <w:rPr/>
        <w:t>T23 - Material-delta reopening</w:t>
      </w:r>
      <w:bookmarkEnd w:id="2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Start from a valid A15 receipt and change one claim-relevant dependency.</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New state is REOPENED; former receipt and trace remain -&gt; CONFORMANT TestReceipt evidence -&gt; later ClosureReceipt: REOPENED.</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Status remains closed, former receipt is deleted, or the run resets as if no history existed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O49 / A15</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0" w:name="t24---finite-check-ceiling"/>
      <w:r>
        <w:rPr/>
        <w:t>T24 - Finite-check ceiling</w:t>
      </w:r>
      <w:bookmarkEnd w:id="3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Run a bounded/exhaustive fixture and inspect reported authority.</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Result states exact finite domain/logic/model/tolerance and no more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Bounded success becomes universal truth, empirical fact, ethical permission, or closure of Omega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O19/O28/O38; A15 ceiling</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1" w:name="t25---compatibility-coverage"/>
      <w:r>
        <w:rPr/>
        <w:t>T25 - Compatibility coverage</w:t>
      </w:r>
      <w:bookmarkEnd w:id="3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Parse v2.1-C addresses, labels, the v2.0→v2.1 delta map, and preservation rules for old audit identities.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Ω, A0, Ω*, θ, A1-A15, all core laws, D16-D23 migration, deprecated readings, and adapters are present; old audits retain their original controlling release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Missing address/law, invented status, or silent identity break -&gt; NONCONFORMANT TestReceipt evidence -&gt; later ClosureReceipt: OPEN.</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v2.1-C / affected decision</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2" w:name="t26---cross-surface-consistency"/>
      <w:r>
        <w:rPr/>
        <w:t>T26 - Cross-surface consistency</w:t>
      </w:r>
      <w:bookmarkEnd w:id="3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Compare canonical terms, versions, D16-D23, obligation IDs, status grammar, and cross-references across all five sources; confirm the explanatory phrase is not a status.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Exact agreement or explicitly typed local realization; D16-D23 routes resolve and O04/O25 remain OPEN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Same address has different identity/status, wrong obligation total, dangling reference, or source-authority mismatch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earliest conflicting decision/obligation</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3" w:name="t27---plain-language-recital"/>
      <w:r>
        <w:rPr/>
        <w:t>T27 - Plain-language recital</w:t>
      </w:r>
      <w:bookmarkEnd w:id="3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A reviewer reads only the mechanical cards and states each capability without a named formal object.</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Correct recital for primitive floor and A1-A15 -&gt;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Reviewer must invoke graph, quotient, monoid, linear logic, manifold, proof checker, or physics to identify a layer -&gt; NONCONFORMANT TestReceipt evidence -&gt; later ClosureReceipt: OPEN.</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D01 / target layer</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4" w:name="t28---sourceprovenance-audit"/>
      <w:r>
        <w:rPr/>
        <w:t>T28 - Source/provenance audit</w:t>
      </w:r>
      <w:bookmarkEnd w:id="3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Sample every strong claim and follow source, decision, realization, human-adoption, and formal-audit provenance links as separately typed records.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Locator resolves to a frozen source and authority class; later change appends a receipt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Missing source, stale version, copied claim without assumptions, overwritten provenance, or Lean/tool evidence presented as human adoption → NONCONFORMANT TestReceipt evidence -&gt; later ClosureReceipt: OPEN.</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O24/O40-O42</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5" w:name="t29---deprecated-phrase-lint-with-semant"/>
      <w:r>
        <w:rPr/>
        <w:t>T29 - Deprecated-phrase lint with semantic review</w:t>
      </w:r>
      <w:bookmarkEnd w:id="3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Search canonical spine/M/L/T for rejected identity patterns and semantic surrogates; whitelist quoted compatibility rows explicitly labeled rejected. Automation performs lexical checks only; named semantic review remains required.</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No unquoted canonical use of rejected identities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A0=Ω; Ω becomes local; unqualified global-first A0; cost=cause/truth/authority; A0 receipt=occurrence; inquiry=self-witness; explanatory shorthand used as status; A3=graph; χ=quotient; or PAL_COMPLETE used normatively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corresponding D02-D04/D10/D12</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6" w:name="t30---omnibus-reproducibility"/>
      <w:r>
        <w:rPr/>
        <w:t>T30 - Omnibus reproducibility</w:t>
      </w:r>
      <w:bookmarkEnd w:id="3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If an omnibus exists, regenerate it from the five hashes and compare content order/text.</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Byte- or normalized-content match; manifest lists exact source hashes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Independent text/edit, stale source, altered status, or omitted surface -&gt;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D13 / release build receipt</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7" w:name="t31---seed-useful-room-review"/>
      <w:r>
        <w:rPr/>
        <w:t>T31 - Seed / useful-room review</w:t>
      </w:r>
      <w:bookmarkEnd w:id="3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explanatory examples and realization menus for unnecessary exhaustiveness.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Each card gives enough structure to use or test while retaining residuals, alternate realizations, and reopening handles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The text claims to consume all explanations, forces one realization, or fills every unresolved route with speculation -&gt; NONCONFORMANT TestReceipt evidence -&gt; later ClosureReceipt: OPEN.</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D01 / card authority ceiling</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8" w:name="t32---tone-and-modesty-review"/>
      <w:r>
        <w:rPr/>
        <w:t>T32 - Tone and modesty review</w:t>
      </w:r>
      <w:bookmarkEnd w:id="3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keeper, abstract, headings, and conclusion for authority inflation.</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Precise mechanical language; no claim that PAL contains reality, proves all possibility, or uniquely explains every domain -&gt;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Mystical, totalizing, self-certifying, or quasi-religious identity claims; claims that PAL solved the universe’s first source or proved an actual infinite regress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Earliest reopening address</w:t>
            </w:r>
          </w:p>
        </w:tc>
        <w:tc>
          <w:tcPr>
            <w:tcW w:w="6739" w:type="dxa"/>
            <w:tcBorders/>
            <w:vAlign w:val="top"/>
            <w:shd w:fill="F7F9FB"/>
          </w:tcPr>
          <w:p>
            <w:pPr>
              <w:pStyle w:val="Normal"/>
              <w:widowControl/>
              <w:bidi w:val="0"/>
              <w:spacing w:lineRule="auto" w:line="240" w:before="0" w:after="40"/>
              <w:jc w:val="start"/>
              <w:rPr/>
            </w:pPr>
            <w:r>
              <w:rPr>
                <w:sz w:val="19"/>
              </w:rPr>
              <w:t>D01/D02/D12</w:t>
            </w:r>
          </w:p>
        </w:tc>
      </w:tr>
      <w:tr>
        <w:trPr/>
        <w:tc>
          <w:tcPr>
            <w:tcW w:w="2621" w:type="dxa"/>
            <w:tcBorders/>
            <w:vAlign w:val="top"/>
          </w:tcPr>
          <w:p>
            <w:pPr>
              <w:pStyle w:val="Normal"/>
              <w:spacing w:before="0" w:after="40" w:line="240" w:lineRule="auto"/>
              <w:rPr>
                <w:b/>
                <w:bCs/>
              </w:rPr>
            </w:pPr>
            <w:r>
              <w:rPr>
                <w:b/>
                <w:bCs/>
                <w:sz w:val="19"/>
              </w:rPr>
              <w:t>Required retained evidence</w:t>
            </w:r>
          </w:p>
        </w:tc>
        <w:tc>
          <w:tcPr>
            <w:tcW w:w="6739" w:type="dxa"/>
            <w:tcBorders/>
            <w:vAlign w:val="top"/>
          </w:tcPr>
          <w:p>
            <w:pPr>
              <w:pStyle w:val="Normal"/>
              <w:widowControl/>
              <w:bidi w:val="0"/>
              <w:spacing w:lineRule="auto" w:line="240" w:before="0" w:after="40"/>
              <w:jc w:val="start"/>
              <w:rPr/>
            </w:pPr>
            <w:r>
              <w:rPr>
                <w:sz w:val="19"/>
              </w:rPr>
              <w:t>Source/fixture hashes, execution or review log, observed status, authority ceiling, and the prior receipt if this is a rerun.</w:t>
            </w:r>
          </w:p>
        </w:tc>
      </w:tr>
    </w:tbl>
    <w:p>
      <w:pPr>
        <w:pStyle w:val="Heading2"/>
        <w:keepNext/>
        <w:keepLines/>
        <w:rPr/>
      </w:pPr>
      <w:bookmarkStart w:id="39" w:name="t33---account-relative-primacy"/>
      <w:r>
        <w:rPr/>
        <w:t>T33 - Account-relative primacy</w:t>
      </w:r>
      <w:bookmarkEnd w:id="3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Enumerate every canonical use of first, first cut, and primacy. Require a declared account or comparison scope. Exercise two accounts whose admission order does not establish shared event-time order.</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Each account has a first admitted supplied cut; no global, temporal, causal, or ontic first is inferred → CONFORMANT TestReceipt evidence -&gt; later ClosureReceipt: CLOSED_IN_SCOPE for account order; global primacy remains OPEN.</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Unqualified firstness, cross-account promotion, or inference from account index, cut, or trace to global primacy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Confirm a reasonable reader cannot mistake account-firstness for cosmology or ontology.</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D16/D03/O04; O14 if A10 is invoked.</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2"/>
        <w:keepNext/>
        <w:keepLines/>
        <w:rPr/>
      </w:pPr>
      <w:bookmarkStart w:id="40" w:name="t34---typed-cost-bearing-admission"/>
      <w:r>
        <w:rPr/>
        <w:t>T34 - Typed cost-bearing admission</w:t>
      </w:r>
      <w:bookmarkEnd w:id="4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Inspect every admitted cut receipt for distinct scope, witness, boundary, cost, trace, authority, residual, and reopening fields.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All fields are present and typed separately; cost grants only ledger admission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Missing field, omnibus cost absorbing witness or authority, or cost promoted to cause, truth, energy, permission, consent, or standing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Domain-specific costs declare units/order and remain realizations rather than PAL identity.</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D17/SC-01/L01/O24/D15.</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2"/>
        <w:keepNext/>
        <w:keepLines/>
        <w:rPr/>
      </w:pPr>
      <w:bookmarkStart w:id="41" w:name="t35---scoped-occurrence-and-open-source"/>
      <w:r>
        <w:rPr/>
        <w:t>T35 - Scoped occurrence and open source</w:t>
      </w:r>
      <w:bookmarkEnd w:id="4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Exercise A0 alone; earned A1/A2 without A15; and earned A1/A2 with a complete A15 receipt.</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A0 alone is not an occurrence receipt; A1/A2 provides recoverable occurrence trace; A15 may close the scoped occurrence claim while ultimate source and global primacy remain OPEN.</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A0 alone establishes occurrence, A2 silently closes a claim, or local occurrence closure closes source/global primacy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If “occurrence-closed, source-open” appears, require explicit expansion into two separately scoped statuses.</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D18/D08/D12/D14/O04/O25.</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2"/>
        <w:keepNext/>
        <w:keepLines/>
        <w:rPr/>
      </w:pPr>
      <w:bookmarkStart w:id="42" w:name="t36---account-order-versus-primacy-evide"/>
      <w:r>
        <w:rPr/>
        <w:t>T36 - Account order versus primacy evidence</w:t>
      </w:r>
      <w:bookmarkEnd w:id="4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Test a stronger primacy claim first without, then with, supplied comparison evidence and a declared scope.</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Admission order suffices only for account-firstness; stronger primacy is admitted only under supplied evidence and scope → bounded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Cut or trace alone proves temporal, causal, ontic, or global primacy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Confirm no undeclared total comparison order is smuggled in. If A10 is used, require SC-13, M-A10-PARTIAL, and O14.</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D19/D03/O04; conditional O14.</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2"/>
        <w:keepNext/>
        <w:keepLines/>
        <w:rPr/>
      </w:pPr>
      <w:bookmarkStart w:id="43" w:name="t37---supplied-inquiry-event-witness"/>
      <w:r>
        <w:rPr/>
        <w:t>T37 - Supplied inquiry-event witness</w:t>
      </w:r>
      <w:bookmarkEnd w:id="4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Run inquiry admission with and without a supplied inquiry-event witness.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Supplied witness and cost create one new present inquiry receipt; absent witness returns OPEN or UNRESOLVED.</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Asking, generated self-description, or receipt production self-certifies witness, consciousness, standing, ontology, global priority, or original source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Distinguish an operational event receipt from privileged testimony about the inquirer.</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D20/L05/O04/O25/D15.</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2"/>
        <w:keepNext/>
        <w:keepLines/>
        <w:rPr/>
      </w:pPr>
      <w:bookmarkStart w:id="44" w:name="t38---cut-only-source-underdetermination"/>
      <w:r>
        <w:rPr/>
        <w:t>T38 - Cut-only source underdetermination</w:t>
      </w:r>
      <w:bookmarkEnd w:id="4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Exercise a noninjective Source→Cut realization and a separately declared injective or discriminating-witness realization.</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Cut-only access refuses source identification; explicit injectivity or a discriminating witness permits only the declared bounded result.</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Equal cuts imply equal sources without an assumption, or one countermodel is universalized into actual source multiplicity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Verify that the tested interface truly carries only the cut; richer evidence changes the test.</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D21/O04/O24.</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2"/>
        <w:keepNext/>
        <w:keepLines/>
        <w:rPr/>
      </w:pPr>
      <w:bookmarkStart w:id="45" w:name="t39---witnessed-further-inquiry"/>
      <w:r>
        <w:rPr/>
        <w:t>T39 - Witnessed further inquiry</w:t>
      </w:r>
      <w:bookmarkEnd w:id="4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Append exactly one source-inquiry step under a new supplied witness, cost, and receipt; separately exercise missing-witness and missing-cost cases.</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One new receipt is appended and the prior receipt remains exact; no infinite ontology is claimed.</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Inquiry occurs without witness/cost, overwrites history, or repeatability/reopenability is promoted to an actually infinite causal regress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Confirm the result is a finite admitted step, not a coinductive or metaphysical infinity theorem.</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D22/L01/L04/L05/L08/O04/O25.</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2"/>
        <w:keepNext/>
        <w:keepLines/>
        <w:rPr/>
      </w:pPr>
      <w:bookmarkStart w:id="46" w:name="t40---append-without-backflow"/>
      <w:r>
        <w:rPr/>
        <w:t>T40 - Append without backflow</w:t>
      </w:r>
      <w:bookmarkEnd w:id="4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procedure</w:t>
            </w:r>
          </w:p>
        </w:tc>
        <w:tc>
          <w:tcPr>
            <w:tcW w:w="6739" w:type="dxa"/>
            <w:tcBorders/>
            <w:vAlign w:val="top"/>
          </w:tcPr>
          <w:p>
            <w:pPr>
              <w:pStyle w:val="Normal"/>
              <w:widowControl/>
              <w:bidi w:val="0"/>
              <w:spacing w:lineRule="auto" w:line="240" w:before="0" w:after="40"/>
              <w:jc w:val="start"/>
              <w:rPr/>
            </w:pPr>
            <w:r>
              <w:rPr>
                <w:sz w:val="19"/>
              </w:rPr>
              <w:t>Freeze an earlier receipt, append a linked recovery record, then compare the earlier cost, witness basis, trace, and authority snapshot bytewise or fieldwise.</w:t>
            </w:r>
          </w:p>
        </w:tc>
      </w:tr>
      <w:tr>
        <w:trPr/>
        <w:tc>
          <w:tcPr>
            <w:tcW w:w="2621" w:type="dxa"/>
            <w:tcBorders/>
            <w:vAlign w:val="top"/>
            <w:shd w:fill="F7F9FB"/>
          </w:tcPr>
          <w:p>
            <w:pPr>
              <w:pStyle w:val="Normal"/>
              <w:spacing w:before="0" w:after="40" w:line="240" w:lineRule="auto"/>
              <w:rPr>
                <w:b/>
                <w:bCs/>
              </w:rPr>
            </w:pPr>
            <w:r>
              <w:rPr>
                <w:b/>
                <w:bCs/>
                <w:sz w:val="19"/>
              </w:rPr>
              <w:t>Positive fixture and expected receipt</w:t>
            </w:r>
          </w:p>
        </w:tc>
        <w:tc>
          <w:tcPr>
            <w:tcW w:w="6739" w:type="dxa"/>
            <w:tcBorders/>
            <w:vAlign w:val="top"/>
            <w:shd w:fill="F7F9FB"/>
          </w:tcPr>
          <w:p>
            <w:pPr>
              <w:pStyle w:val="Normal"/>
              <w:widowControl/>
              <w:bidi w:val="0"/>
              <w:spacing w:lineRule="auto" w:line="240" w:before="0" w:after="40"/>
              <w:jc w:val="start"/>
              <w:rPr/>
            </w:pPr>
            <w:r>
              <w:rPr>
                <w:sz w:val="19"/>
              </w:rPr>
              <w:t>The exact earlier receipt is recovered unchanged and later evidence is separately linked → CONFORMANT TestReceipt evidence -&gt; later ClosureReceipt: CLOSED_IN_SCOPE.</w:t>
            </w:r>
          </w:p>
        </w:tc>
      </w:tr>
      <w:tr>
        <w:trPr/>
        <w:tc>
          <w:tcPr>
            <w:tcW w:w="2621" w:type="dxa"/>
            <w:tcBorders/>
            <w:vAlign w:val="top"/>
          </w:tcPr>
          <w:p>
            <w:pPr>
              <w:pStyle w:val="Normal"/>
              <w:spacing w:before="0" w:after="40" w:line="240" w:lineRule="auto"/>
              <w:rPr>
                <w:b/>
                <w:bCs/>
              </w:rPr>
            </w:pPr>
            <w:r>
              <w:rPr>
                <w:b/>
                <w:bCs/>
                <w:sz w:val="19"/>
              </w:rPr>
              <w:t>Negative fixture and expected receipt</w:t>
            </w:r>
          </w:p>
        </w:tc>
        <w:tc>
          <w:tcPr>
            <w:tcW w:w="6739" w:type="dxa"/>
            <w:tcBorders/>
            <w:vAlign w:val="top"/>
          </w:tcPr>
          <w:p>
            <w:pPr>
              <w:pStyle w:val="Normal"/>
              <w:widowControl/>
              <w:bidi w:val="0"/>
              <w:spacing w:lineRule="auto" w:line="240" w:before="0" w:after="40"/>
              <w:jc w:val="start"/>
              <w:rPr/>
            </w:pPr>
            <w:r>
              <w:rPr>
                <w:sz w:val="19"/>
              </w:rPr>
              <w:t>In-place mutation, backdating, retroactive warrant, consent, standing, or authority → NONCONFORMANT TestReceipt evidence -&gt; later ClosureReceipt: REOPENED.</w:t>
            </w:r>
          </w:p>
        </w:tc>
      </w:tr>
      <w:tr>
        <w:trPr/>
        <w:tc>
          <w:tcPr>
            <w:tcW w:w="2621" w:type="dxa"/>
            <w:tcBorders/>
            <w:vAlign w:val="top"/>
            <w:shd w:fill="F7F9FB"/>
          </w:tcPr>
          <w:p>
            <w:pPr>
              <w:pStyle w:val="Normal"/>
              <w:spacing w:before="0" w:after="40" w:line="240" w:lineRule="auto"/>
              <w:rPr>
                <w:b/>
                <w:bCs/>
              </w:rPr>
            </w:pPr>
            <w:r>
              <w:rPr>
                <w:b/>
                <w:bCs/>
                <w:sz w:val="19"/>
              </w:rPr>
              <w:t>Semantic review</w:t>
            </w:r>
          </w:p>
        </w:tc>
        <w:tc>
          <w:tcPr>
            <w:tcW w:w="6739" w:type="dxa"/>
            <w:tcBorders/>
            <w:vAlign w:val="top"/>
            <w:shd w:fill="F7F9FB"/>
          </w:tcPr>
          <w:p>
            <w:pPr>
              <w:pStyle w:val="Normal"/>
              <w:widowControl/>
              <w:bidi w:val="0"/>
              <w:spacing w:lineRule="auto" w:line="240" w:before="0" w:after="40"/>
              <w:jc w:val="start"/>
              <w:rPr/>
            </w:pPr>
            <w:r>
              <w:rPr>
                <w:sz w:val="19"/>
              </w:rPr>
              <w:t>Confirm append to a receipt means append to its account history, not edit the immutable receipt itself.</w:t>
            </w:r>
          </w:p>
        </w:tc>
      </w:tr>
      <w:tr>
        <w:trPr/>
        <w:tc>
          <w:tcPr>
            <w:tcW w:w="2621" w:type="dxa"/>
            <w:tcBorders/>
            <w:vAlign w:val="top"/>
          </w:tcPr>
          <w:p>
            <w:pPr>
              <w:pStyle w:val="Normal"/>
              <w:spacing w:before="0" w:after="40" w:line="240" w:lineRule="auto"/>
              <w:rPr>
                <w:b/>
                <w:bCs/>
              </w:rPr>
            </w:pPr>
            <w:r>
              <w:rPr>
                <w:b/>
                <w:bCs/>
                <w:sz w:val="19"/>
              </w:rPr>
              <w:t>Earliest reopening address</w:t>
            </w:r>
          </w:p>
        </w:tc>
        <w:tc>
          <w:tcPr>
            <w:tcW w:w="6739" w:type="dxa"/>
            <w:tcBorders/>
            <w:vAlign w:val="top"/>
          </w:tcPr>
          <w:p>
            <w:pPr>
              <w:pStyle w:val="Normal"/>
              <w:widowControl/>
              <w:bidi w:val="0"/>
              <w:spacing w:lineRule="auto" w:line="240" w:before="0" w:after="40"/>
              <w:jc w:val="start"/>
              <w:rPr/>
            </w:pPr>
            <w:r>
              <w:rPr>
                <w:sz w:val="19"/>
              </w:rPr>
              <w:t>D23/O27/O40/O51.</w:t>
            </w:r>
          </w:p>
        </w:tc>
      </w:tr>
      <w:tr>
        <w:trPr/>
        <w:tc>
          <w:tcPr>
            <w:tcW w:w="2621" w:type="dxa"/>
            <w:tcBorders/>
            <w:vAlign w:val="top"/>
            <w:shd w:fill="F7F9FB"/>
          </w:tcPr>
          <w:p>
            <w:pPr>
              <w:pStyle w:val="Normal"/>
              <w:spacing w:before="0" w:after="40" w:line="240" w:lineRule="auto"/>
              <w:rPr>
                <w:b/>
                <w:bCs/>
              </w:rPr>
            </w:pPr>
            <w:r>
              <w:rPr>
                <w:b/>
                <w:bCs/>
                <w:sz w:val="19"/>
              </w:rPr>
              <w:t>Required retained evidence</w:t>
            </w:r>
          </w:p>
        </w:tc>
        <w:tc>
          <w:tcPr>
            <w:tcW w:w="6739" w:type="dxa"/>
            <w:tcBorders/>
            <w:vAlign w:val="top"/>
            <w:shd w:fill="F7F9FB"/>
          </w:tcPr>
          <w:p>
            <w:pPr>
              <w:pStyle w:val="Normal"/>
              <w:widowControl/>
              <w:bidi w:val="0"/>
              <w:spacing w:lineRule="auto" w:line="240" w:before="0" w:after="40"/>
              <w:jc w:val="start"/>
              <w:rPr/>
            </w:pPr>
            <w:r>
              <w:rPr>
                <w:sz w:val="19"/>
              </w:rPr>
              <w:t>Frozen source and fixture hashes, execution log, named reviewer for semantic review, observed status, authority ceiling, residual, and prior receipt on rerun.</w:t>
            </w:r>
          </w:p>
        </w:tc>
      </w:tr>
    </w:tbl>
    <w:p>
      <w:pPr>
        <w:pStyle w:val="Heading1"/>
        <w:keepNext/>
        <w:keepLines/>
        <w:rPr/>
      </w:pPr>
      <w:bookmarkStart w:id="47" w:name="historical-catalogue-t412.2t482.2"/>
      <w:r>
        <w:rPr/>
        <w:t>5. Historical catalogue T41@2.2–T48@2.2</w:t>
      </w:r>
      <w:bookmarkEnd w:id="47"/>
    </w:p>
    <w:p>
      <w:pPr>
        <w:pStyle w:val="Normal"/>
        <w:keepNext/>
        <w:keepLines/>
        <w:rPr/>
      </w:pPr>
      <w:r>
        <w:rPr/>
        <w:t>The receipt correction and specifications below remain frozen v2.2 content. Their v2.3 executions use new immutable TestReceipts and the bindings in §7.</w:t>
      </w:r>
    </w:p>
    <w:p>
      <w:pPr>
        <w:pStyle w:val="BodyText"/>
        <w:rPr/>
      </w:pPr>
      <w:r>
        <w:rPr/>
        <w:t>A TestReceipt is evidence only. It carries no A15 status. A distinct later ClosureReceipt may cite the immutable TestReceipt and alone owns CLOSED_IN_SCOPE, OPEN, UNRESOLVED, or REOPENED.</w:t>
      </w:r>
    </w:p>
    <w:p>
      <w:pPr>
        <w:pStyle w:val="Heading2"/>
        <w:keepNext/>
        <w:keepLines/>
        <w:rPr/>
      </w:pPr>
      <w:bookmarkStart w:id="48" w:name="controlling-testreceipt-payload"/>
      <w:r>
        <w:rPr/>
        <w:t>Controlling TestReceipt payload</w:t>
      </w:r>
      <w:bookmarkEnd w:id="4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Header</w:t>
            </w:r>
          </w:p>
        </w:tc>
        <w:tc>
          <w:tcPr>
            <w:tcW w:w="6739" w:type="dxa"/>
            <w:tcBorders/>
            <w:vAlign w:val="top"/>
          </w:tcPr>
          <w:p>
            <w:pPr>
              <w:pStyle w:val="Normal"/>
              <w:widowControl/>
              <w:bidi w:val="0"/>
              <w:spacing w:lineRule="auto" w:line="240" w:before="0" w:after="40"/>
              <w:jc w:val="start"/>
              <w:rPr/>
            </w:pPr>
            <w:r>
              <w:rPr>
                <w:sz w:val="19"/>
              </w:rPr>
              <w:t>Native ReceiptHeader under D25, package scope or exact account/version, immutable receipt ID, schema identity/version, and typed links.</w:t>
            </w:r>
          </w:p>
        </w:tc>
      </w:tr>
      <w:tr>
        <w:trPr/>
        <w:tc>
          <w:tcPr>
            <w:tcW w:w="2621" w:type="dxa"/>
            <w:tcBorders/>
            <w:vAlign w:val="top"/>
            <w:shd w:fill="F7F9FB"/>
          </w:tcPr>
          <w:p>
            <w:pPr>
              <w:pStyle w:val="Normal"/>
              <w:widowControl/>
              <w:bidi w:val="0"/>
              <w:spacing w:lineRule="auto" w:line="240" w:before="0" w:after="40"/>
              <w:jc w:val="start"/>
              <w:rPr/>
            </w:pPr>
            <w:r>
              <w:rPr>
                <w:sz w:val="19"/>
              </w:rPr>
              <w:t>Claim under test</w:t>
            </w:r>
          </w:p>
        </w:tc>
        <w:tc>
          <w:tcPr>
            <w:tcW w:w="6739" w:type="dxa"/>
            <w:tcBorders/>
            <w:vAlign w:val="top"/>
            <w:shd w:fill="F7F9FB"/>
          </w:tcPr>
          <w:p>
            <w:pPr>
              <w:pStyle w:val="Normal"/>
              <w:widowControl/>
              <w:bidi w:val="0"/>
              <w:spacing w:lineRule="auto" w:line="240" w:before="0" w:after="40"/>
              <w:jc w:val="start"/>
              <w:rPr/>
            </w:pPr>
            <w:r>
              <w:rPr>
                <w:sz w:val="19"/>
              </w:rPr>
              <w:t>Exact claim ID/address plus canonical semantic key, scope, assumptions, dependency/version slice, authority ceiling, and expected conformance verdict.</w:t>
            </w:r>
          </w:p>
        </w:tc>
      </w:tr>
      <w:tr>
        <w:trPr/>
        <w:tc>
          <w:tcPr>
            <w:tcW w:w="2621" w:type="dxa"/>
            <w:tcBorders/>
            <w:vAlign w:val="top"/>
          </w:tcPr>
          <w:p>
            <w:pPr>
              <w:pStyle w:val="Normal"/>
              <w:widowControl/>
              <w:bidi w:val="0"/>
              <w:spacing w:lineRule="auto" w:line="240" w:before="0" w:after="40"/>
              <w:jc w:val="start"/>
              <w:rPr/>
            </w:pPr>
            <w:r>
              <w:rPr>
                <w:sz w:val="19"/>
              </w:rPr>
              <w:t>Execution</w:t>
            </w:r>
          </w:p>
        </w:tc>
        <w:tc>
          <w:tcPr>
            <w:tcW w:w="6739" w:type="dxa"/>
            <w:tcBorders/>
            <w:vAlign w:val="top"/>
          </w:tcPr>
          <w:p>
            <w:pPr>
              <w:pStyle w:val="Normal"/>
              <w:widowControl/>
              <w:bidi w:val="0"/>
              <w:spacing w:lineRule="auto" w:line="240" w:before="0" w:after="40"/>
              <w:jc w:val="start"/>
              <w:rPr/>
            </w:pPr>
            <w:r>
              <w:rPr>
                <w:sz w:val="19"/>
              </w:rPr>
              <w:t>Fixture IDs and hashes, checker/human reviewer, tool and version, resource profile, tolerance or typed N/A, start/end time, result, evidence references, contrary evidence, and checker limits.</w:t>
            </w:r>
          </w:p>
        </w:tc>
      </w:tr>
      <w:tr>
        <w:trPr/>
        <w:tc>
          <w:tcPr>
            <w:tcW w:w="2621" w:type="dxa"/>
            <w:tcBorders/>
            <w:vAlign w:val="top"/>
            <w:shd w:fill="F7F9FB"/>
          </w:tcPr>
          <w:p>
            <w:pPr>
              <w:pStyle w:val="Normal"/>
              <w:widowControl/>
              <w:bidi w:val="0"/>
              <w:spacing w:lineRule="auto" w:line="240" w:before="0" w:after="40"/>
              <w:jc w:val="start"/>
              <w:rPr/>
            </w:pPr>
            <w:r>
              <w:rPr>
                <w:sz w:val="19"/>
              </w:rPr>
              <w:t>Result</w:t>
            </w:r>
          </w:p>
        </w:tc>
        <w:tc>
          <w:tcPr>
            <w:tcW w:w="6739" w:type="dxa"/>
            <w:tcBorders/>
            <w:vAlign w:val="top"/>
            <w:shd w:fill="F7F9FB"/>
          </w:tcPr>
          <w:p>
            <w:pPr>
              <w:pStyle w:val="Normal"/>
              <w:widowControl/>
              <w:bidi w:val="0"/>
              <w:spacing w:lineRule="auto" w:line="240" w:before="0" w:after="40"/>
              <w:jc w:val="start"/>
              <w:rPr/>
            </w:pPr>
            <w:r>
              <w:rPr>
                <w:sz w:val="19"/>
              </w:rPr>
              <w:t>CONFORMANT or NONCONFORMANT only. The result never becomes an A15 status inside this receipt.</w:t>
            </w:r>
          </w:p>
        </w:tc>
      </w:tr>
      <w:tr>
        <w:trPr/>
        <w:tc>
          <w:tcPr>
            <w:tcW w:w="2621" w:type="dxa"/>
            <w:tcBorders/>
            <w:vAlign w:val="top"/>
          </w:tcPr>
          <w:p>
            <w:pPr>
              <w:pStyle w:val="Normal"/>
              <w:widowControl/>
              <w:bidi w:val="0"/>
              <w:spacing w:lineRule="auto" w:line="240" w:before="0" w:after="40"/>
              <w:jc w:val="start"/>
              <w:rPr/>
            </w:pPr>
            <w:r>
              <w:rPr>
                <w:sz w:val="19"/>
              </w:rPr>
              <w:t>Reopening</w:t>
            </w:r>
          </w:p>
        </w:tc>
        <w:tc>
          <w:tcPr>
            <w:tcW w:w="6739" w:type="dxa"/>
            <w:tcBorders/>
            <w:vAlign w:val="top"/>
          </w:tcPr>
          <w:p>
            <w:pPr>
              <w:pStyle w:val="Normal"/>
              <w:widowControl/>
              <w:bidi w:val="0"/>
              <w:spacing w:lineRule="auto" w:line="240" w:before="0" w:after="40"/>
              <w:jc w:val="start"/>
              <w:rPr/>
            </w:pPr>
            <w:r>
              <w:rPr>
                <w:sz w:val="19"/>
              </w:rPr>
              <w:t>Material invalidation condition and route. A later ClosureReceipt cites this TestReceipt if it classifies the claim.</w:t>
            </w:r>
          </w:p>
        </w:tc>
      </w:tr>
    </w:tbl>
    <w:p>
      <w:pPr>
        <w:pStyle w:val="Normal"/>
        <w:keepNext/>
        <w:keepLines/>
        <w:rPr/>
      </w:pPr>
      <w:r>
        <w:rPr/>
        <w:t>T21 is replaced accordingly: it validates ClosureReceipt common and status-specific fields, while TestReceipt evidence is checked separately. T34 now requires every canonical A0-A15 card’s typed admission obligation/cost and rejects scalar absorption of witness, provenance, debt identity, truth, cause, permission, consent, standing, or authority.</w:t>
      </w:r>
    </w:p>
    <w:p>
      <w:pPr>
        <w:pStyle w:val="Heading2"/>
        <w:keepNext/>
        <w:keepLines/>
        <w:rPr/>
      </w:pPr>
      <w:bookmarkStart w:id="49" w:name="t41---account-transition-topology"/>
      <w:r>
        <w:rPr/>
        <w:t>T41 - Account transition topology</w:t>
      </w:r>
      <w:bookmarkEnd w:id="4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Enumerate ROOT, APPEND, CHILD, VERSION, and SUCCESSOR. Require atomic opening, correct identity/version rules, own supplied A0 where required, exact lineage, and parent-witness separation. Reject LegacyReceiptRef-only VERSION continuity and multi-parent core accounts.</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T41 as applicable.</w:t>
            </w:r>
          </w:p>
        </w:tc>
      </w:tr>
    </w:tbl>
    <w:p>
      <w:pPr>
        <w:pStyle w:val="Heading2"/>
        <w:keepNext/>
        <w:keepLines/>
        <w:rPr/>
      </w:pPr>
      <w:bookmarkStart w:id="50" w:name="t42---receiptheader-typed-payload-and-in"/>
      <w:r>
        <w:rPr/>
        <w:t>T42 - ReceiptHeader, typed payload, and integrity</w:t>
      </w:r>
      <w:bookmarkEnd w:id="5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Require unique immutable headers, exact schema selection, origin-A0 rule, resolvable typed links, payload separation, canonical integrity profile, and digest ceiling. Reject cycles, forward links, duplicate IDs, split LegacyReceiptRef identity, and rehashed authority promotion.</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T42 as applicable.</w:t>
            </w:r>
          </w:p>
        </w:tc>
      </w:tr>
    </w:tbl>
    <w:p>
      <w:pPr>
        <w:pStyle w:val="Heading2"/>
        <w:keepNext/>
        <w:keepLines/>
        <w:rPr/>
      </w:pPr>
      <w:bookmarkStart w:id="51" w:name="t43---a15-status-semantic-identity-and-i"/>
      <w:r>
        <w:rPr/>
        <w:t>T43 - A15 status, semantic identity, and invalidation</w:t>
      </w:r>
      <w:bookmarkEnd w:id="5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Require one ordered current status per canonical claim-and-scope key, complete common envelope, status-specific fields, and full invalidation matrix. Reject claim-ID laundering, prose enlargement, bare reopening addresses, and TestReceipt-as-closure.</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T43 as applicable.</w:t>
            </w:r>
          </w:p>
        </w:tc>
      </w:tr>
    </w:tbl>
    <w:p>
      <w:pPr>
        <w:pStyle w:val="Heading2"/>
        <w:keepNext/>
        <w:keepLines/>
        <w:rPr/>
      </w:pPr>
      <w:bookmarkStart w:id="52" w:name="t44---residual-and-legacy-lineage"/>
      <w:r>
        <w:rPr/>
        <w:t>T44 - Residual and legacy lineage</w:t>
      </w:r>
      <w:bookmarkEnd w:id="5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Exercise register, carry, split, remainder, partial discharge, scoped discharge, reopen, supersede, LegacyReceiptRef, and conservative SUCCESSOR migration. Reject deletion, retrofitting, unallocated split loss, or authority upgrade.</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T44 as applicable.</w:t>
            </w:r>
          </w:p>
        </w:tc>
      </w:tr>
    </w:tbl>
    <w:p>
      <w:pPr>
        <w:pStyle w:val="Heading2"/>
        <w:keepNext/>
        <w:keepLines/>
        <w:rPr/>
      </w:pPr>
      <w:bookmarkStart w:id="53" w:name="t45---generator-coverage"/>
      <w:r>
        <w:rPr/>
        <w:t>T45 - Generator coverage</w:t>
      </w:r>
      <w:bookmarkEnd w:id="5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Bind generator semantics and complete input/seed/schedule/termination/version run space before comparing image with U. Reject output-only enumeration and NOT_GENERATED implies IMPOSSIBLE.</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T45 as applicable.</w:t>
            </w:r>
          </w:p>
        </w:tc>
      </w:tr>
    </w:tbl>
    <w:p>
      <w:pPr>
        <w:pStyle w:val="Heading2"/>
        <w:keepNext/>
        <w:keepLines/>
        <w:rPr/>
      </w:pPr>
      <w:bookmarkStart w:id="54" w:name="t46---quantifier-and-state-transport"/>
      <w:r>
        <w:rPr/>
        <w:t>T46 - Quantifier and state transport</w:t>
      </w:r>
      <w:bookmarkEnd w:id="5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Distinguish forall n exists epsilon_n from exists epsilon forall n; require common-frame transport for cross-time claims. Reject changing-state comparisons without transport.</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T46 as applicable.</w:t>
            </w:r>
          </w:p>
        </w:tc>
      </w:tr>
    </w:tbl>
    <w:p>
      <w:pPr>
        <w:pStyle w:val="Heading2"/>
        <w:keepNext/>
        <w:keepLines/>
        <w:rPr/>
      </w:pPr>
      <w:bookmarkStart w:id="55" w:name="t47---ordinary-1-and-model-choice-bounda"/>
      <w:r>
        <w:rPr/>
        <w:t>T47 - Ordinary 1 and model-choice boundary</w:t>
      </w:r>
      <w:bookmarkEnd w:id="5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Accept ordinary 1 as identity, unit, and not prime; accept weak-theory P(1) underdetermination only across distinct models. Reject ordinary arithmetic OR, truth-value switching inside one model, Ω promotion, or metaphysical firstness.</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T47 as applicable.</w:t>
            </w:r>
          </w:p>
        </w:tc>
      </w:tr>
    </w:tbl>
    <w:p>
      <w:pPr>
        <w:pStyle w:val="Heading2"/>
        <w:keepNext/>
        <w:keepLines/>
        <w:rPr/>
      </w:pPr>
      <w:bookmarkStart w:id="56" w:name="t48---completion-no-hiding"/>
      <w:r>
        <w:rPr/>
        <w:t>T48 - Completion no-hiding</w:t>
      </w:r>
      <w:bookmarkEnd w:id="5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Target and procedure</w:t>
            </w:r>
          </w:p>
        </w:tc>
        <w:tc>
          <w:tcPr>
            <w:tcW w:w="6739" w:type="dxa"/>
            <w:tcBorders/>
            <w:vAlign w:val="top"/>
          </w:tcPr>
          <w:p>
            <w:pPr>
              <w:pStyle w:val="Normal"/>
              <w:widowControl/>
              <w:bidi w:val="0"/>
              <w:spacing w:lineRule="auto" w:line="240" w:before="0" w:after="40"/>
              <w:jc w:val="start"/>
              <w:rPr/>
            </w:pPr>
            <w:r>
              <w:rPr>
                <w:sz w:val="19"/>
              </w:rPr>
              <w:t>Check compression floors P_n S|H_n, T*T comparison, exact-kernel/injective finite-floor indistinguishability, uniform 1/4 seal, dynamic invertible-to-kernel limit, and fixed-versus-transported windows. Reject restriction-spectrum shorthand or cross-frame promotion.</w:t>
            </w:r>
          </w:p>
        </w:tc>
      </w:tr>
      <w:tr>
        <w:trPr/>
        <w:tc>
          <w:tcPr>
            <w:tcW w:w="2621" w:type="dxa"/>
            <w:tcBorders/>
            <w:vAlign w:val="top"/>
            <w:shd w:fill="F7F9FB"/>
          </w:tcPr>
          <w:p>
            <w:pPr>
              <w:pStyle w:val="Normal"/>
              <w:widowControl/>
              <w:bidi w:val="0"/>
              <w:spacing w:lineRule="auto" w:line="240" w:before="0" w:after="40"/>
              <w:jc w:val="start"/>
              <w:rPr/>
            </w:pPr>
            <w:r>
              <w:rPr>
                <w:sz w:val="19"/>
              </w:rPr>
              <w:t>Positive fixture</w:t>
            </w:r>
          </w:p>
        </w:tc>
        <w:tc>
          <w:tcPr>
            <w:tcW w:w="6739" w:type="dxa"/>
            <w:tcBorders/>
            <w:vAlign w:val="top"/>
            <w:shd w:fill="F7F9FB"/>
          </w:tcPr>
          <w:p>
            <w:pPr>
              <w:pStyle w:val="Normal"/>
              <w:widowControl/>
              <w:bidi w:val="0"/>
              <w:spacing w:lineRule="auto" w:line="240" w:before="0" w:after="40"/>
              <w:jc w:val="start"/>
              <w:rPr/>
            </w:pPr>
            <w:r>
              <w:rPr>
                <w:sz w:val="19"/>
              </w:rPr>
              <w:t>A fully typed bounded fixture satisfying the named v2.2 contract returns CONFORMANT evidence.</w:t>
            </w:r>
          </w:p>
        </w:tc>
      </w:tr>
      <w:tr>
        <w:trPr/>
        <w:tc>
          <w:tcPr>
            <w:tcW w:w="2621" w:type="dxa"/>
            <w:tcBorders/>
            <w:vAlign w:val="top"/>
          </w:tcPr>
          <w:p>
            <w:pPr>
              <w:pStyle w:val="Normal"/>
              <w:widowControl/>
              <w:bidi w:val="0"/>
              <w:spacing w:lineRule="auto" w:line="240" w:before="0" w:after="40"/>
              <w:jc w:val="start"/>
              <w:rPr/>
            </w:pPr>
            <w:r>
              <w:rPr>
                <w:sz w:val="19"/>
              </w:rPr>
              <w:t>Negative fixture</w:t>
            </w:r>
          </w:p>
        </w:tc>
        <w:tc>
          <w:tcPr>
            <w:tcW w:w="6739" w:type="dxa"/>
            <w:tcBorders/>
            <w:vAlign w:val="top"/>
          </w:tcPr>
          <w:p>
            <w:pPr>
              <w:pStyle w:val="Normal"/>
              <w:widowControl/>
              <w:bidi w:val="0"/>
              <w:spacing w:lineRule="auto" w:line="240" w:before="0" w:after="40"/>
              <w:jc w:val="start"/>
              <w:rPr/>
            </w:pPr>
            <w:r>
              <w:rPr>
                <w:sz w:val="19"/>
              </w:rPr>
              <w:t>Each omitted, aliased, promoted, stale, mislinked, or cross-frame case named above returns NONCONFORMANT evidence and preserves the failed receipt.</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Closes only the named conformance test for frozen inputs. It cannot adopt PAL, prove the modeled proposition, identify Ω, or enlarge branch authority.</w:t>
            </w:r>
          </w:p>
        </w:tc>
      </w:tr>
      <w:tr>
        <w:trPr/>
        <w:tc>
          <w:tcPr>
            <w:tcW w:w="2621" w:type="dxa"/>
            <w:tcBorders/>
            <w:vAlign w:val="top"/>
          </w:tcPr>
          <w:p>
            <w:pPr>
              <w:pStyle w:val="Normal"/>
              <w:widowControl/>
              <w:bidi w:val="0"/>
              <w:spacing w:lineRule="auto" w:line="240" w:before="0" w:after="40"/>
              <w:jc w:val="start"/>
              <w:rPr/>
            </w:pPr>
            <w:r>
              <w:rPr>
                <w:sz w:val="19"/>
              </w:rPr>
              <w:t>Earliest reopening address</w:t>
            </w:r>
          </w:p>
        </w:tc>
        <w:tc>
          <w:tcPr>
            <w:tcW w:w="6739" w:type="dxa"/>
            <w:tcBorders/>
            <w:vAlign w:val="top"/>
          </w:tcPr>
          <w:p>
            <w:pPr>
              <w:pStyle w:val="Normal"/>
              <w:widowControl/>
              <w:bidi w:val="0"/>
              <w:spacing w:lineRule="auto" w:line="240" w:before="0" w:after="40"/>
              <w:jc w:val="start"/>
              <w:rPr/>
            </w:pPr>
            <w:r>
              <w:rPr>
                <w:sz w:val="19"/>
              </w:rPr>
              <w:t>PAL v2.2-L D24-D30 / T48 as applicable.</w:t>
            </w:r>
          </w:p>
        </w:tc>
      </w:tr>
    </w:tbl>
    <w:p>
      <w:pPr>
        <w:pStyle w:val="Heading1"/>
        <w:keepNext/>
        <w:keepLines/>
        <w:rPr/>
      </w:pPr>
      <w:bookmarkStart w:id="57" w:name="preservation-receipt"/>
      <w:r>
        <w:rPr/>
        <w:t>6. Preservation receipt</w:t>
      </w:r>
      <w:bookmarkEnd w:id="57"/>
    </w:p>
    <w:p>
      <w:pPr>
        <w:pStyle w:val="Normal"/>
        <w:keepNext/>
        <w:keepLines/>
        <w:rPr/>
      </w:pPr>
      <w:r>
        <w:rPr/>
        <w:t>PAL v2.3 preserves the canonical definitions above as T01@2.2–T48@2.2 and binds their historical receipt lineage by LegacyReceiptRef. The deposited v2.2 DOCX and PDF—not the extracted predecessor Markdown—are the predecessor authority bytes. The Markdown digest supplies a reproducible extraction receipt only.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Preservation item</w:t>
            </w:r>
          </w:p>
        </w:tc>
        <w:tc>
          <w:tcPr>
            <w:tcW w:w="4680" w:type="dxa"/>
            <w:tcBorders/>
            <w:vAlign w:val="top"/>
            <w:shd w:fill="DCE6F1"/>
          </w:tcPr>
          <w:p>
            <w:pPr>
              <w:pStyle w:val="Normal"/>
              <w:spacing w:before="0" w:after="40" w:line="240" w:lineRule="auto"/>
              <w:rPr>
                <w:b/>
                <w:bCs/>
              </w:rPr>
            </w:pPr>
            <w:r>
              <w:rPr>
                <w:b/>
                <w:bCs/>
                <w:color w:val="1F4D78"/>
                <w:sz w:val="19"/>
              </w:rPr>
              <w:t>Receipt</w:t>
            </w:r>
          </w:p>
        </w:tc>
      </w:tr>
      <w:tr>
        <w:trPr/>
        <w:tc>
          <w:tcPr>
            <w:tcW w:w="4680" w:type="dxa"/>
            <w:tcBorders/>
            <w:vAlign w:val="top"/>
          </w:tcPr>
          <w:p>
            <w:pPr>
              <w:pStyle w:val="Normal"/>
              <w:widowControl/>
              <w:bidi w:val="0"/>
              <w:spacing w:lineRule="auto" w:line="240" w:before="0" w:after="40"/>
              <w:jc w:val="start"/>
              <w:rPr/>
            </w:pPr>
            <w:r>
              <w:rPr>
                <w:sz w:val="19"/>
              </w:rPr>
              <w:t>Predecessor release</w:t>
            </w:r>
          </w:p>
        </w:tc>
        <w:tc>
          <w:tcPr>
            <w:tcW w:w="4680" w:type="dxa"/>
            <w:tcBorders/>
            <w:vAlign w:val="top"/>
          </w:tcPr>
          <w:p>
            <w:pPr>
              <w:pStyle w:val="Normal"/>
              <w:widowControl/>
              <w:bidi w:val="0"/>
              <w:spacing w:lineRule="auto" w:line="240" w:before="0" w:after="40"/>
              <w:jc w:val="start"/>
              <w:rPr/>
            </w:pPr>
            <w:r>
              <w:rPr>
                <w:sz w:val="19"/>
              </w:rPr>
              <w:t>PAL v2.2, 11 August 2026, DOI 10.5281/zenodo.21891598</w:t>
            </w:r>
          </w:p>
        </w:tc>
      </w:tr>
      <w:tr>
        <w:trPr/>
        <w:tc>
          <w:tcPr>
            <w:tcW w:w="4680" w:type="dxa"/>
            <w:tcBorders/>
            <w:vAlign w:val="top"/>
            <w:shd w:fill="F7F9FB"/>
          </w:tcPr>
          <w:p>
            <w:pPr>
              <w:pStyle w:val="Normal"/>
              <w:widowControl/>
              <w:bidi w:val="0"/>
              <w:spacing w:lineRule="auto" w:line="240" w:before="0" w:after="40"/>
              <w:jc w:val="start"/>
              <w:rPr/>
            </w:pPr>
            <w:r>
              <w:rPr>
                <w:sz w:val="19"/>
              </w:rPr>
              <w:t>Deposited Conformance Tests DOCX</w:t>
            </w:r>
          </w:p>
        </w:tc>
        <w:tc>
          <w:tcPr>
            <w:tcW w:w="4680" w:type="dxa"/>
            <w:tcBorders/>
            <w:vAlign w:val="top"/>
            <w:shd w:fill="F7F9FB"/>
          </w:tcPr>
          <w:p>
            <w:pPr>
              <w:pStyle w:val="Normal"/>
              <w:widowControl/>
              <w:bidi w:val="0"/>
              <w:spacing w:lineRule="auto" w:line="240" w:before="0" w:after="40"/>
              <w:jc w:val="start"/>
              <w:rPr/>
            </w:pPr>
            <w:r>
              <w:rPr>
                <w:sz w:val="19"/>
              </w:rPr>
              <w:t>SHA-256 a360ae243c17a28e67919290267eb0f839ca5900e9b63c16d62760cae54a153d</w:t>
            </w:r>
          </w:p>
        </w:tc>
      </w:tr>
      <w:tr>
        <w:trPr/>
        <w:tc>
          <w:tcPr>
            <w:tcW w:w="4680" w:type="dxa"/>
            <w:tcBorders/>
            <w:vAlign w:val="top"/>
          </w:tcPr>
          <w:p>
            <w:pPr>
              <w:pStyle w:val="Normal"/>
              <w:widowControl/>
              <w:bidi w:val="0"/>
              <w:spacing w:lineRule="auto" w:line="240" w:before="0" w:after="40"/>
              <w:jc w:val="start"/>
              <w:rPr/>
            </w:pPr>
            <w:r>
              <w:rPr>
                <w:sz w:val="19"/>
              </w:rPr>
              <w:t>Deposited Conformance Tests PDF</w:t>
            </w:r>
          </w:p>
        </w:tc>
        <w:tc>
          <w:tcPr>
            <w:tcW w:w="4680" w:type="dxa"/>
            <w:tcBorders/>
            <w:vAlign w:val="top"/>
          </w:tcPr>
          <w:p>
            <w:pPr>
              <w:pStyle w:val="Normal"/>
              <w:widowControl/>
              <w:bidi w:val="0"/>
              <w:spacing w:lineRule="auto" w:line="240" w:before="0" w:after="40"/>
              <w:jc w:val="start"/>
              <w:rPr/>
            </w:pPr>
            <w:r>
              <w:rPr>
                <w:sz w:val="19"/>
              </w:rPr>
              <w:t>SHA-256 41cb93a92ec93c0d2a0811cbfe5b1a3939157ad44c174ea5fa1af221a3a8795f</w:t>
            </w:r>
          </w:p>
        </w:tc>
      </w:tr>
      <w:tr>
        <w:trPr/>
        <w:tc>
          <w:tcPr>
            <w:tcW w:w="4680" w:type="dxa"/>
            <w:tcBorders/>
            <w:vAlign w:val="top"/>
            <w:shd w:fill="F7F9FB"/>
          </w:tcPr>
          <w:p>
            <w:pPr>
              <w:pStyle w:val="Normal"/>
              <w:widowControl/>
              <w:bidi w:val="0"/>
              <w:spacing w:lineRule="auto" w:line="240" w:before="0" w:after="40"/>
              <w:jc w:val="start"/>
              <w:rPr/>
            </w:pPr>
            <w:r>
              <w:rPr>
                <w:sz w:val="19"/>
              </w:rPr>
              <w:t>Reproducible predecessor Markdown</w:t>
            </w:r>
          </w:p>
        </w:tc>
        <w:tc>
          <w:tcPr>
            <w:tcW w:w="4680" w:type="dxa"/>
            <w:tcBorders/>
            <w:vAlign w:val="top"/>
            <w:shd w:fill="F7F9FB"/>
          </w:tcPr>
          <w:p>
            <w:pPr>
              <w:pStyle w:val="Normal"/>
              <w:widowControl/>
              <w:bidi w:val="0"/>
              <w:spacing w:lineRule="auto" w:line="240" w:before="0" w:after="40"/>
              <w:jc w:val="start"/>
              <w:rPr/>
            </w:pPr>
            <w:r>
              <w:rPr>
                <w:sz w:val="19"/>
              </w:rPr>
              <w:t>116,754 UTF-8 bytes; 806 lines; SHA-256 75e68feaaa36c6138bd227bfb5e90644c608ec8c0a88161cba4966454c451727</w:t>
            </w:r>
          </w:p>
        </w:tc>
      </w:tr>
      <w:tr>
        <w:trPr/>
        <w:tc>
          <w:tcPr>
            <w:tcW w:w="4680" w:type="dxa"/>
            <w:tcBorders/>
            <w:vAlign w:val="top"/>
          </w:tcPr>
          <w:p>
            <w:pPr>
              <w:pStyle w:val="Normal"/>
              <w:widowControl/>
              <w:bidi w:val="0"/>
              <w:spacing w:lineRule="auto" w:line="240" w:before="0" w:after="40"/>
              <w:jc w:val="start"/>
              <w:rPr/>
            </w:pPr>
            <w:r>
              <w:rPr>
                <w:sz w:val="19"/>
              </w:rPr>
              <w:t>Historical specification population</w:t>
            </w:r>
          </w:p>
        </w:tc>
        <w:tc>
          <w:tcPr>
            <w:tcW w:w="4680" w:type="dxa"/>
            <w:tcBorders/>
            <w:vAlign w:val="top"/>
          </w:tcPr>
          <w:p>
            <w:pPr>
              <w:pStyle w:val="Normal"/>
              <w:widowControl/>
              <w:bidi w:val="0"/>
              <w:spacing w:lineRule="auto" w:line="240" w:before="0" w:after="40"/>
              <w:jc w:val="start"/>
              <w:rPr/>
            </w:pPr>
            <w:r>
              <w:rPr>
                <w:sz w:val="19"/>
              </w:rPr>
              <w:t>48 unique specifications: T01–T40 and T41–T48; no gap, duplicate, renumbering, or replacement</w:t>
            </w:r>
          </w:p>
        </w:tc>
      </w:tr>
      <w:tr>
        <w:trPr/>
        <w:tc>
          <w:tcPr>
            <w:tcW w:w="4680" w:type="dxa"/>
            <w:tcBorders/>
            <w:vAlign w:val="top"/>
            <w:shd w:fill="F7F9FB"/>
          </w:tcPr>
          <w:p>
            <w:pPr>
              <w:pStyle w:val="Normal"/>
              <w:widowControl/>
              <w:bidi w:val="0"/>
              <w:spacing w:lineRule="auto" w:line="240" w:before="0" w:after="40"/>
              <w:jc w:val="start"/>
              <w:rPr/>
            </w:pPr>
            <w:r>
              <w:rPr>
                <w:sz w:val="19"/>
              </w:rPr>
              <w:t>Exact T01–T40 payload</w:t>
            </w:r>
          </w:p>
        </w:tc>
        <w:tc>
          <w:tcPr>
            <w:tcW w:w="4680" w:type="dxa"/>
            <w:tcBorders/>
            <w:vAlign w:val="top"/>
            <w:shd w:fill="F7F9FB"/>
          </w:tcPr>
          <w:p>
            <w:pPr>
              <w:pStyle w:val="Normal"/>
              <w:widowControl/>
              <w:bidi w:val="0"/>
              <w:spacing w:lineRule="auto" w:line="240" w:before="0" w:after="40"/>
              <w:jc w:val="start"/>
              <w:rPr/>
            </w:pPr>
            <w:r>
              <w:rPr>
                <w:sz w:val="19"/>
              </w:rPr>
              <w:t>408 lines; SHA-256 312543b8f01bf243adbe5ba07e7c258e4ad1219a16e01d09faa5e4b19cb5f96e</w:t>
            </w:r>
          </w:p>
        </w:tc>
      </w:tr>
      <w:tr>
        <w:trPr/>
        <w:tc>
          <w:tcPr>
            <w:tcW w:w="4680" w:type="dxa"/>
            <w:tcBorders/>
            <w:vAlign w:val="top"/>
          </w:tcPr>
          <w:p>
            <w:pPr>
              <w:pStyle w:val="Normal"/>
              <w:widowControl/>
              <w:bidi w:val="0"/>
              <w:spacing w:lineRule="auto" w:line="240" w:before="0" w:after="40"/>
              <w:jc w:val="start"/>
              <w:rPr/>
            </w:pPr>
            <w:r>
              <w:rPr>
                <w:sz w:val="19"/>
              </w:rPr>
              <w:t>Exact T41–T48 payload</w:t>
            </w:r>
          </w:p>
        </w:tc>
        <w:tc>
          <w:tcPr>
            <w:tcW w:w="4680" w:type="dxa"/>
            <w:tcBorders/>
            <w:vAlign w:val="top"/>
          </w:tcPr>
          <w:p>
            <w:pPr>
              <w:pStyle w:val="Normal"/>
              <w:widowControl/>
              <w:bidi w:val="0"/>
              <w:spacing w:lineRule="auto" w:line="240" w:before="0" w:after="40"/>
              <w:jc w:val="start"/>
              <w:rPr/>
            </w:pPr>
            <w:r>
              <w:rPr>
                <w:sz w:val="19"/>
              </w:rPr>
              <w:t>80 lines; SHA-256 5750bf914e822ddbc1c569b225012688b0ab47b327a99ef99b35a18e1d786ed6</w:t>
            </w:r>
          </w:p>
        </w:tc>
      </w:tr>
      <w:tr>
        <w:trPr/>
        <w:tc>
          <w:tcPr>
            <w:tcW w:w="4680" w:type="dxa"/>
            <w:tcBorders/>
            <w:vAlign w:val="top"/>
            <w:shd w:fill="F7F9FB"/>
          </w:tcPr>
          <w:p>
            <w:pPr>
              <w:pStyle w:val="Normal"/>
              <w:widowControl/>
              <w:bidi w:val="0"/>
              <w:spacing w:lineRule="auto" w:line="240" w:before="0" w:after="40"/>
              <w:jc w:val="start"/>
              <w:rPr/>
            </w:pPr>
            <w:r>
              <w:rPr>
                <w:sz w:val="19"/>
              </w:rPr>
              <w:t>Exact T01–T48 concatenation</w:t>
            </w:r>
          </w:p>
        </w:tc>
        <w:tc>
          <w:tcPr>
            <w:tcW w:w="4680" w:type="dxa"/>
            <w:tcBorders/>
            <w:vAlign w:val="top"/>
            <w:shd w:fill="F7F9FB"/>
          </w:tcPr>
          <w:p>
            <w:pPr>
              <w:pStyle w:val="Normal"/>
              <w:widowControl/>
              <w:bidi w:val="0"/>
              <w:spacing w:lineRule="auto" w:line="240" w:before="0" w:after="40"/>
              <w:jc w:val="start"/>
              <w:rPr/>
            </w:pPr>
            <w:r>
              <w:rPr>
                <w:sz w:val="19"/>
              </w:rPr>
              <w:t>488 lines; 88,131 UTF-8 bytes; SHA-256 38e42812c788f793340d8bb0938a182f910364fadad670841a10165aa56468ba</w:t>
            </w:r>
          </w:p>
        </w:tc>
      </w:tr>
      <w:tr>
        <w:trPr/>
        <w:tc>
          <w:tcPr>
            <w:tcW w:w="4680" w:type="dxa"/>
            <w:tcBorders/>
            <w:vAlign w:val="top"/>
          </w:tcPr>
          <w:p>
            <w:pPr>
              <w:pStyle w:val="Normal"/>
              <w:widowControl/>
              <w:bidi w:val="0"/>
              <w:spacing w:lineRule="auto" w:line="240" w:before="0" w:after="40"/>
              <w:jc w:val="start"/>
              <w:rPr/>
            </w:pPr>
            <w:r>
              <w:rPr>
                <w:sz w:val="19"/>
              </w:rPr>
              <w:t>Exact v2.2 receipt-correction payload</w:t>
            </w:r>
          </w:p>
        </w:tc>
        <w:tc>
          <w:tcPr>
            <w:tcW w:w="4680" w:type="dxa"/>
            <w:tcBorders/>
            <w:vAlign w:val="top"/>
          </w:tcPr>
          <w:p>
            <w:pPr>
              <w:pStyle w:val="Normal"/>
              <w:widowControl/>
              <w:bidi w:val="0"/>
              <w:spacing w:lineRule="auto" w:line="240" w:before="0" w:after="40"/>
              <w:jc w:val="start"/>
              <w:rPr/>
            </w:pPr>
            <w:r>
              <w:rPr>
                <w:sz w:val="19"/>
              </w:rPr>
              <w:t>2,081 UTF-8 bytes from “A TestReceipt is evidence only” through the paragraph immediately before T41; SHA-256 19879c287f142d9daca1c264c7da7e8dfc81805322135df39c561c52fbcf7994</w:t>
            </w:r>
          </w:p>
        </w:tc>
      </w:tr>
      <w:tr>
        <w:trPr/>
        <w:tc>
          <w:tcPr>
            <w:tcW w:w="4680" w:type="dxa"/>
            <w:tcBorders/>
            <w:vAlign w:val="top"/>
            <w:shd w:fill="F7F9FB"/>
          </w:tcPr>
          <w:p>
            <w:pPr>
              <w:pStyle w:val="Normal"/>
              <w:widowControl/>
              <w:bidi w:val="0"/>
              <w:spacing w:lineRule="auto" w:line="240" w:before="0" w:after="40"/>
              <w:jc w:val="start"/>
              <w:rPr/>
            </w:pPr>
            <w:r>
              <w:rPr>
                <w:sz w:val="19"/>
              </w:rPr>
              <w:t>Extraction rule</w:t>
            </w:r>
          </w:p>
        </w:tc>
        <w:tc>
          <w:tcPr>
            <w:tcW w:w="4680" w:type="dxa"/>
            <w:tcBorders/>
            <w:vAlign w:val="top"/>
            <w:shd w:fill="F7F9FB"/>
          </w:tcPr>
          <w:p>
            <w:pPr>
              <w:pStyle w:val="Normal"/>
              <w:widowControl/>
              <w:bidi w:val="0"/>
              <w:spacing w:lineRule="auto" w:line="240" w:before="0" w:after="40"/>
              <w:jc w:val="start"/>
              <w:rPr/>
            </w:pPr>
            <w:r>
              <w:rPr>
                <w:sz w:val="19"/>
              </w:rPr>
              <w:t>Concatenate, in numeric order, each exact block beginning ## Txx - and ending immediately before the next T-heading or enclosing section boundary; retain UTF-8, LF, punctuation, escaping, tables, and final block blank lines.</w:t>
            </w:r>
          </w:p>
        </w:tc>
      </w:tr>
      <w:tr>
        <w:trPr/>
        <w:tc>
          <w:tcPr>
            <w:tcW w:w="4680" w:type="dxa"/>
            <w:tcBorders/>
            <w:vAlign w:val="top"/>
          </w:tcPr>
          <w:p>
            <w:pPr>
              <w:pStyle w:val="Normal"/>
              <w:widowControl/>
              <w:bidi w:val="0"/>
              <w:spacing w:lineRule="auto" w:line="240" w:before="0" w:after="40"/>
              <w:jc w:val="start"/>
              <w:rPr/>
            </w:pPr>
            <w:r>
              <w:rPr>
                <w:sz w:val="19"/>
              </w:rPr>
              <w:t>Receipt correction</w:t>
            </w:r>
          </w:p>
        </w:tc>
        <w:tc>
          <w:tcPr>
            <w:tcW w:w="4680" w:type="dxa"/>
            <w:tcBorders/>
            <w:vAlign w:val="top"/>
          </w:tcPr>
          <w:p>
            <w:pPr>
              <w:pStyle w:val="Normal"/>
              <w:widowControl/>
              <w:bidi w:val="0"/>
              <w:spacing w:lineRule="auto" w:line="240" w:before="0" w:after="40"/>
              <w:jc w:val="start"/>
              <w:rPr/>
            </w:pPr>
            <w:r>
              <w:rPr>
                <w:sz w:val="19"/>
              </w:rPr>
              <w:t>The v2.2 controlling TestReceipt payload and its explicit T21/T34 correction in §5 remain governing historical context. TestReceipt is immutable evidence with only CONFORMANT or NONCONFORMANT; ClosureReceipt alone owns an A15 status.</w:t>
            </w:r>
          </w:p>
        </w:tc>
      </w:tr>
      <w:tr>
        <w:trPr/>
        <w:tc>
          <w:tcPr>
            <w:tcW w:w="4680" w:type="dxa"/>
            <w:tcBorders/>
            <w:vAlign w:val="top"/>
            <w:shd w:fill="F7F9FB"/>
          </w:tcPr>
          <w:p>
            <w:pPr>
              <w:pStyle w:val="Normal"/>
              <w:widowControl/>
              <w:bidi w:val="0"/>
              <w:spacing w:lineRule="auto" w:line="240" w:before="0" w:after="40"/>
              <w:jc w:val="start"/>
              <w:rPr/>
            </w:pPr>
            <w:r>
              <w:rPr>
                <w:sz w:val="19"/>
              </w:rPr>
              <w:t>No-retrofit rule</w:t>
            </w:r>
          </w:p>
        </w:tc>
        <w:tc>
          <w:tcPr>
            <w:tcW w:w="4680" w:type="dxa"/>
            <w:tcBorders/>
            <w:vAlign w:val="top"/>
            <w:shd w:fill="F7F9FB"/>
          </w:tcPr>
          <w:p>
            <w:pPr>
              <w:pStyle w:val="Normal"/>
              <w:widowControl/>
              <w:bidi w:val="0"/>
              <w:spacing w:lineRule="auto" w:line="240" w:before="0" w:after="40"/>
              <w:jc w:val="start"/>
              <w:rPr/>
            </w:pPr>
            <w:r>
              <w:rPr>
                <w:sz w:val="19"/>
              </w:rPr>
              <w:t>No v2.3 field, fixture, verdict, authority, or release state is written into a v2.2 definition or receipt. New evidence is issued only at a Txx@2.3 address and links backward without mutation.</w:t>
            </w:r>
          </w:p>
        </w:tc>
      </w:tr>
    </w:tbl>
    <w:p>
      <w:pPr>
        <w:pStyle w:val="Normal"/>
        <w:rPr/>
      </w:pPr>
      <w:r>
        <w:rPr/>
        <w:t>The predecessor narrative reported bounded 13/13, 35/35, and 74/74 runs. Those claims remain available only under their original receipt scope and locator; this face neither reissues them nor treats them as packaged v2.3 execution evidence.</w:t>
      </w:r>
    </w:p>
    <w:p>
      <w:pPr>
        <w:pStyle w:val="Heading1"/>
        <w:keepNext/>
        <w:keepLines/>
        <w:rPr/>
      </w:pPr>
      <w:bookmarkStart w:id="58" w:name="v2.3-execution-bindings-for-t01t48"/>
      <w:r>
        <w:rPr/>
        <w:t>7. v2.3 execution bindings for T01–T48</w:t>
      </w:r>
      <w:bookmarkEnd w:id="58"/>
    </w:p>
    <w:p>
      <w:pPr>
        <w:pStyle w:val="Normal"/>
        <w:keepNext/>
        <w:keepLines/>
        <w:rPr/>
      </w:pPr>
      <w:r>
        <w:rPr/>
        <w:t>Canonical Txx@2.2 definitions and old receipts remain unchanged. Only the v2.3 target bytes, fixtures, and Txx@2.3 execution receipts are new. Unless a binding below adds a v2.3 fixture, the complete frozen purpose and positive/negative logic of the matching historical specification apply unchanged to the v2.3 target.</w:t>
      </w:r>
    </w:p>
    <w:p>
      <w:pPr>
        <w:pStyle w:val="Heading2"/>
        <w:keepNext/>
        <w:keepLines/>
        <w:rPr/>
      </w:pPr>
      <w:bookmarkStart w:id="59" w:name="controlling-stable-purpose-bindings"/>
      <w:r>
        <w:rPr/>
        <w:t>Controlling stable-purpose bindings</w:t>
      </w:r>
      <w:bookmarkEnd w:id="59"/>
    </w:p>
    <w:p>
      <w:pPr>
        <w:pStyle w:val="BodyText"/>
        <w:keepNext/>
        <w:keepLines/>
        <w:numPr>
          <w:ilvl w:val="0"/>
          <w:numId w:val="9"/>
        </w:numPr>
        <w:spacing w:before="0" w:after="0"/>
        <w:rPr/>
      </w:pPr>
      <w:r>
        <w:rPr/>
        <w:t>T01: exactly five canonical faces; derived ZIP, manifest, description, checksums, and omnibus are not authority faces.</w:t>
      </w:r>
    </w:p>
    <w:p>
      <w:pPr>
        <w:pStyle w:val="BodyText"/>
        <w:numPr>
          <w:ilvl w:val="0"/>
          <w:numId w:val="9"/>
        </w:numPr>
        <w:spacing w:before="0" w:after="0"/>
        <w:rPr/>
      </w:pPr>
      <w:r>
        <w:rPr/>
        <w:t>T02: bind v2.3, DOI, exact titles, author, CC BY 4.0, one date/status vocabulary, and final release language.</w:t>
      </w:r>
    </w:p>
    <w:p>
      <w:pPr>
        <w:pStyle w:val="BodyText"/>
        <w:numPr>
          <w:ilvl w:val="0"/>
          <w:numId w:val="9"/>
        </w:numPr>
        <w:spacing w:before="0" w:after="0"/>
        <w:rPr/>
      </w:pPr>
      <w:r>
        <w:rPr/>
        <w:t>T03: preserve D01–D30 and O01–O51 historical substance; verify D31–D37, O52–O60, and both checksums.</w:t>
      </w:r>
    </w:p>
    <w:p>
      <w:pPr>
        <w:pStyle w:val="BodyText"/>
        <w:numPr>
          <w:ilvl w:val="0"/>
          <w:numId w:val="9"/>
        </w:numPr>
        <w:spacing w:before="0" w:after="0"/>
        <w:rPr/>
      </w:pPr>
      <w:r>
        <w:rPr/>
        <w:t>T12–T14: apply delete, swap, and predecessor tests to every new card/profile/composite fixture.</w:t>
      </w:r>
    </w:p>
    <w:p>
      <w:pPr>
        <w:pStyle w:val="BodyText"/>
        <w:numPr>
          <w:ilvl w:val="0"/>
          <w:numId w:val="9"/>
        </w:numPr>
        <w:spacing w:before="0" w:after="0"/>
        <w:rPr/>
      </w:pPr>
      <w:r>
        <w:rPr/>
        <w:t>T25: control v2.2→v2.3 and enforce no retrofit.</w:t>
      </w:r>
    </w:p>
    <w:p>
      <w:pPr>
        <w:pStyle w:val="BodyText"/>
        <w:numPr>
          <w:ilvl w:val="0"/>
          <w:numId w:val="9"/>
        </w:numPr>
        <w:spacing w:before="0" w:after="0"/>
        <w:rPr/>
      </w:pPr>
      <w:r>
        <w:rPr/>
        <w:t>T26: cover every new ID, boundary role, source role, and ceiling across all faces.</w:t>
      </w:r>
    </w:p>
    <w:p>
      <w:pPr>
        <w:pStyle w:val="BodyText"/>
        <w:numPr>
          <w:ilvl w:val="0"/>
          <w:numId w:val="9"/>
        </w:numPr>
        <w:spacing w:before="0" w:after="0"/>
        <w:rPr/>
      </w:pPr>
      <w:r>
        <w:rPr/>
        <w:t>T28: add exact provenance and distinguish prior theorem, new synthesis, fixture, interpretation, same-author lineage, and the private 2012 antecedent.</w:t>
      </w:r>
    </w:p>
    <w:p>
      <w:pPr>
        <w:pStyle w:val="BodyText"/>
        <w:numPr>
          <w:ilvl w:val="0"/>
          <w:numId w:val="9"/>
        </w:numPr>
        <w:spacing w:before="0" w:after="0"/>
        <w:rPr/>
      </w:pPr>
      <w:r>
        <w:rPr/>
        <w:t>T29: lint all mandatory non-equivalences semantically, not by words alone.</w:t>
      </w:r>
    </w:p>
    <w:p>
      <w:pPr>
        <w:pStyle w:val="BodyText"/>
        <w:numPr>
          <w:ilvl w:val="0"/>
          <w:numId w:val="9"/>
        </w:numPr>
        <w:spacing w:before="0" w:after="0"/>
        <w:rPr/>
      </w:pPr>
      <w:r>
        <w:rPr/>
        <w:t>T30: create one declared wrapper page, then append the five frozen PDFs unchanged; compare component page/text sequence after excluding the wrapper and verify that no derived package file creates a sixth surface.</w:t>
      </w:r>
    </w:p>
    <w:p>
      <w:pPr>
        <w:pStyle w:val="BodyText"/>
        <w:numPr>
          <w:ilvl w:val="0"/>
          <w:numId w:val="9"/>
        </w:numPr>
        <w:spacing w:before="0" w:after="0"/>
        <w:rPr/>
      </w:pPr>
      <w:r>
        <w:rPr/>
        <w:t>T31/T32: keep geometry useful and modest rather than totalizing, physical, ontological, or self-validating.</w:t>
      </w:r>
    </w:p>
    <w:p>
      <w:pPr>
        <w:pStyle w:val="BodyText"/>
        <w:numPr>
          <w:ilvl w:val="0"/>
          <w:numId w:val="9"/>
        </w:numPr>
        <w:spacing w:before="0" w:after="0"/>
        <w:rPr/>
      </w:pPr>
      <w:r>
        <w:rPr/>
        <w:t>T34: review typed admission cost on every new canonical card.</w:t>
      </w:r>
    </w:p>
    <w:p>
      <w:pPr>
        <w:pStyle w:val="BodyText"/>
        <w:numPr>
          <w:ilvl w:val="0"/>
          <w:numId w:val="9"/>
        </w:numPr>
        <w:spacing w:before="0" w:after="0"/>
        <w:rPr/>
      </w:pPr>
      <w:r>
        <w:rPr/>
        <w:t>T46: exercise every finite/local/global and fixed-n/arbitrary-finite/infinite quantifier boundary.</w:t>
      </w:r>
    </w:p>
    <w:p>
      <w:pPr>
        <w:pStyle w:val="Heading2"/>
        <w:keepNext/>
        <w:keepLines/>
        <w:rPr/>
      </w:pPr>
      <w:bookmarkStart w:id="60" w:name="t01t02-release-identity-oracle"/>
      <w:r>
        <w:rPr/>
        <w:t>T01/T02 release identity oracle</w:t>
      </w:r>
      <w:bookmarkEnd w:id="6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Authority face</w:t>
            </w:r>
          </w:p>
        </w:tc>
        <w:tc>
          <w:tcPr>
            <w:tcW w:w="2340" w:type="dxa"/>
            <w:tcBorders/>
            <w:vAlign w:val="top"/>
            <w:shd w:fill="DCE6F1"/>
          </w:tcPr>
          <w:p>
            <w:pPr>
              <w:pStyle w:val="Normal"/>
              <w:spacing w:before="0" w:after="40" w:line="240" w:lineRule="auto"/>
              <w:rPr>
                <w:b/>
                <w:bCs/>
              </w:rPr>
            </w:pPr>
            <w:r>
              <w:rPr>
                <w:b/>
                <w:bCs/>
                <w:color w:val="1F4D78"/>
                <w:sz w:val="18"/>
              </w:rPr>
              <w:t>Version line</w:t>
            </w:r>
          </w:p>
        </w:tc>
        <w:tc>
          <w:tcPr>
            <w:tcW w:w="2340" w:type="dxa"/>
            <w:tcBorders/>
            <w:vAlign w:val="top"/>
            <w:shd w:fill="DCE6F1"/>
          </w:tcPr>
          <w:p>
            <w:pPr>
              <w:pStyle w:val="Normal"/>
              <w:spacing w:before="0" w:after="40" w:line="240" w:lineRule="auto"/>
              <w:rPr>
                <w:b/>
                <w:bCs/>
              </w:rPr>
            </w:pPr>
            <w:r>
              <w:rPr>
                <w:b/>
                <w:bCs/>
                <w:color w:val="1F4D78"/>
                <w:sz w:val="18"/>
              </w:rPr>
              <w:t>Face-name line</w:t>
            </w:r>
          </w:p>
        </w:tc>
        <w:tc>
          <w:tcPr>
            <w:tcW w:w="2340" w:type="dxa"/>
            <w:tcBorders/>
            <w:vAlign w:val="top"/>
            <w:shd w:fill="DCE6F1"/>
          </w:tcPr>
          <w:p>
            <w:pPr>
              <w:pStyle w:val="Normal"/>
              <w:spacing w:before="0" w:after="40" w:line="240" w:lineRule="auto"/>
              <w:rPr>
                <w:b/>
                <w:bCs/>
              </w:rPr>
            </w:pPr>
            <w:r>
              <w:rPr>
                <w:b/>
                <w:bCs/>
                <w:color w:val="1F4D78"/>
                <w:sz w:val="18"/>
              </w:rPr>
              <w:t>Exact filename stem</w:t>
            </w:r>
          </w:p>
        </w:tc>
      </w:tr>
      <w:tr>
        <w:trPr/>
        <w:tc>
          <w:tcPr>
            <w:tcW w:w="2340" w:type="dxa"/>
            <w:tcBorders/>
            <w:vAlign w:val="top"/>
          </w:tcPr>
          <w:p>
            <w:pPr>
              <w:pStyle w:val="Normal"/>
              <w:widowControl/>
              <w:bidi w:val="0"/>
              <w:spacing w:lineRule="auto" w:line="240" w:before="0" w:after="40"/>
              <w:jc w:val="start"/>
              <w:rPr/>
            </w:pPr>
            <w:r>
              <w:rPr>
                <w:sz w:val="18"/>
              </w:rPr>
              <w:t>Spine</w:t>
            </w:r>
          </w:p>
        </w:tc>
        <w:tc>
          <w:tcPr>
            <w:tcW w:w="2340" w:type="dxa"/>
            <w:tcBorders/>
            <w:vAlign w:val="top"/>
          </w:tcPr>
          <w:p>
            <w:pPr>
              <w:pStyle w:val="Normal"/>
              <w:widowControl/>
              <w:bidi w:val="0"/>
              <w:spacing w:lineRule="auto" w:line="240" w:before="0" w:after="40"/>
              <w:jc w:val="start"/>
              <w:rPr/>
            </w:pPr>
            <w:r>
              <w:rPr>
                <w:sz w:val="18"/>
              </w:rPr>
              <w:t>PAL v2.3</w:t>
            </w:r>
          </w:p>
        </w:tc>
        <w:tc>
          <w:tcPr>
            <w:tcW w:w="2340" w:type="dxa"/>
            <w:tcBorders/>
            <w:vAlign w:val="top"/>
          </w:tcPr>
          <w:p>
            <w:pPr>
              <w:pStyle w:val="Normal"/>
              <w:widowControl/>
              <w:bidi w:val="0"/>
              <w:spacing w:lineRule="auto" w:line="240" w:before="0" w:after="40"/>
              <w:jc w:val="start"/>
              <w:rPr/>
            </w:pPr>
            <w:r>
              <w:rPr>
                <w:sz w:val="18"/>
              </w:rPr>
              <w:t>Mechanical Structural Spine</w:t>
            </w:r>
          </w:p>
        </w:tc>
        <w:tc>
          <w:tcPr>
            <w:tcW w:w="2340" w:type="dxa"/>
            <w:tcBorders/>
            <w:vAlign w:val="top"/>
          </w:tcPr>
          <w:p>
            <w:pPr>
              <w:pStyle w:val="Normal"/>
              <w:widowControl/>
              <w:bidi w:val="0"/>
              <w:spacing w:lineRule="auto" w:line="240" w:before="0" w:after="40"/>
              <w:jc w:val="start"/>
              <w:rPr/>
            </w:pPr>
            <w:r>
              <w:rPr>
                <w:sz w:val="18"/>
              </w:rPr>
              <w:t>PAL_v2.3_Mechanical_Structural_Spine</w:t>
            </w:r>
          </w:p>
        </w:tc>
      </w:tr>
      <w:tr>
        <w:trPr/>
        <w:tc>
          <w:tcPr>
            <w:tcW w:w="2340" w:type="dxa"/>
            <w:tcBorders/>
            <w:vAlign w:val="top"/>
            <w:shd w:fill="F7F9FB"/>
          </w:tcPr>
          <w:p>
            <w:pPr>
              <w:pStyle w:val="Normal"/>
              <w:widowControl/>
              <w:bidi w:val="0"/>
              <w:spacing w:lineRule="auto" w:line="240" w:before="0" w:after="40"/>
              <w:jc w:val="start"/>
              <w:rPr/>
            </w:pPr>
            <w:r>
              <w:rPr>
                <w:sz w:val="18"/>
              </w:rPr>
              <w:t>Atlas</w:t>
            </w:r>
          </w:p>
        </w:tc>
        <w:tc>
          <w:tcPr>
            <w:tcW w:w="2340" w:type="dxa"/>
            <w:tcBorders/>
            <w:vAlign w:val="top"/>
            <w:shd w:fill="F7F9FB"/>
          </w:tcPr>
          <w:p>
            <w:pPr>
              <w:pStyle w:val="Normal"/>
              <w:widowControl/>
              <w:bidi w:val="0"/>
              <w:spacing w:lineRule="auto" w:line="240" w:before="0" w:after="40"/>
              <w:jc w:val="start"/>
              <w:rPr/>
            </w:pPr>
            <w:r>
              <w:rPr>
                <w:sz w:val="18"/>
              </w:rPr>
              <w:t>PAL v2.3-M</w:t>
            </w:r>
          </w:p>
        </w:tc>
        <w:tc>
          <w:tcPr>
            <w:tcW w:w="2340" w:type="dxa"/>
            <w:tcBorders/>
            <w:vAlign w:val="top"/>
            <w:shd w:fill="F7F9FB"/>
          </w:tcPr>
          <w:p>
            <w:pPr>
              <w:pStyle w:val="Normal"/>
              <w:widowControl/>
              <w:bidi w:val="0"/>
              <w:spacing w:lineRule="auto" w:line="240" w:before="0" w:after="40"/>
              <w:jc w:val="start"/>
              <w:rPr/>
            </w:pPr>
            <w:r>
              <w:rPr>
                <w:sz w:val="18"/>
              </w:rPr>
              <w:t>Mathematical Realization Atlas</w:t>
            </w:r>
          </w:p>
        </w:tc>
        <w:tc>
          <w:tcPr>
            <w:tcW w:w="2340" w:type="dxa"/>
            <w:tcBorders/>
            <w:vAlign w:val="top"/>
            <w:shd w:fill="F7F9FB"/>
          </w:tcPr>
          <w:p>
            <w:pPr>
              <w:pStyle w:val="Normal"/>
              <w:widowControl/>
              <w:bidi w:val="0"/>
              <w:spacing w:lineRule="auto" w:line="240" w:before="0" w:after="40"/>
              <w:jc w:val="start"/>
              <w:rPr/>
            </w:pPr>
            <w:r>
              <w:rPr>
                <w:sz w:val="18"/>
              </w:rPr>
              <w:t>PAL_v2.3-M_Mathematical_Realization_Atlas</w:t>
            </w:r>
          </w:p>
        </w:tc>
      </w:tr>
      <w:tr>
        <w:trPr/>
        <w:tc>
          <w:tcPr>
            <w:tcW w:w="2340" w:type="dxa"/>
            <w:tcBorders/>
            <w:vAlign w:val="top"/>
          </w:tcPr>
          <w:p>
            <w:pPr>
              <w:pStyle w:val="Normal"/>
              <w:widowControl/>
              <w:bidi w:val="0"/>
              <w:spacing w:lineRule="auto" w:line="240" w:before="0" w:after="40"/>
              <w:jc w:val="start"/>
              <w:rPr/>
            </w:pPr>
            <w:r>
              <w:rPr>
                <w:sz w:val="18"/>
              </w:rPr>
              <w:t>Ledger</w:t>
            </w:r>
          </w:p>
        </w:tc>
        <w:tc>
          <w:tcPr>
            <w:tcW w:w="2340" w:type="dxa"/>
            <w:tcBorders/>
            <w:vAlign w:val="top"/>
          </w:tcPr>
          <w:p>
            <w:pPr>
              <w:pStyle w:val="Normal"/>
              <w:widowControl/>
              <w:bidi w:val="0"/>
              <w:spacing w:lineRule="auto" w:line="240" w:before="0" w:after="40"/>
              <w:jc w:val="start"/>
              <w:rPr/>
            </w:pPr>
            <w:r>
              <w:rPr>
                <w:sz w:val="18"/>
              </w:rPr>
              <w:t>PAL v2.3-L</w:t>
            </w:r>
          </w:p>
        </w:tc>
        <w:tc>
          <w:tcPr>
            <w:tcW w:w="2340" w:type="dxa"/>
            <w:tcBorders/>
            <w:vAlign w:val="top"/>
          </w:tcPr>
          <w:p>
            <w:pPr>
              <w:pStyle w:val="Normal"/>
              <w:widowControl/>
              <w:bidi w:val="0"/>
              <w:spacing w:lineRule="auto" w:line="240" w:before="0" w:after="40"/>
              <w:jc w:val="start"/>
              <w:rPr/>
            </w:pPr>
            <w:r>
              <w:rPr>
                <w:sz w:val="18"/>
              </w:rPr>
              <w:t>Obligation and Decision Ledger</w:t>
            </w:r>
          </w:p>
        </w:tc>
        <w:tc>
          <w:tcPr>
            <w:tcW w:w="2340" w:type="dxa"/>
            <w:tcBorders/>
            <w:vAlign w:val="top"/>
          </w:tcPr>
          <w:p>
            <w:pPr>
              <w:pStyle w:val="Normal"/>
              <w:widowControl/>
              <w:bidi w:val="0"/>
              <w:spacing w:lineRule="auto" w:line="240" w:before="0" w:after="40"/>
              <w:jc w:val="start"/>
              <w:rPr/>
            </w:pPr>
            <w:r>
              <w:rPr>
                <w:sz w:val="18"/>
              </w:rPr>
              <w:t>PAL_v2.3-L_Obligation_and_Decision_Ledger</w:t>
            </w:r>
          </w:p>
        </w:tc>
      </w:tr>
      <w:tr>
        <w:trPr/>
        <w:tc>
          <w:tcPr>
            <w:tcW w:w="2340" w:type="dxa"/>
            <w:tcBorders/>
            <w:vAlign w:val="top"/>
            <w:shd w:fill="F7F9FB"/>
          </w:tcPr>
          <w:p>
            <w:pPr>
              <w:pStyle w:val="Normal"/>
              <w:widowControl/>
              <w:bidi w:val="0"/>
              <w:spacing w:lineRule="auto" w:line="240" w:before="0" w:after="40"/>
              <w:jc w:val="start"/>
              <w:rPr/>
            </w:pPr>
            <w:r>
              <w:rPr>
                <w:sz w:val="18"/>
              </w:rPr>
              <w:t>Tests</w:t>
            </w:r>
          </w:p>
        </w:tc>
        <w:tc>
          <w:tcPr>
            <w:tcW w:w="2340" w:type="dxa"/>
            <w:tcBorders/>
            <w:vAlign w:val="top"/>
            <w:shd w:fill="F7F9FB"/>
          </w:tcPr>
          <w:p>
            <w:pPr>
              <w:pStyle w:val="Normal"/>
              <w:widowControl/>
              <w:bidi w:val="0"/>
              <w:spacing w:lineRule="auto" w:line="240" w:before="0" w:after="40"/>
              <w:jc w:val="start"/>
              <w:rPr/>
            </w:pPr>
            <w:r>
              <w:rPr>
                <w:sz w:val="18"/>
              </w:rPr>
              <w:t>PAL v2.3-T</w:t>
            </w:r>
          </w:p>
        </w:tc>
        <w:tc>
          <w:tcPr>
            <w:tcW w:w="2340" w:type="dxa"/>
            <w:tcBorders/>
            <w:vAlign w:val="top"/>
            <w:shd w:fill="F7F9FB"/>
          </w:tcPr>
          <w:p>
            <w:pPr>
              <w:pStyle w:val="Normal"/>
              <w:widowControl/>
              <w:bidi w:val="0"/>
              <w:spacing w:lineRule="auto" w:line="240" w:before="0" w:after="40"/>
              <w:jc w:val="start"/>
              <w:rPr/>
            </w:pPr>
            <w:r>
              <w:rPr>
                <w:sz w:val="18"/>
              </w:rPr>
              <w:t>Conformance Tests</w:t>
            </w:r>
          </w:p>
        </w:tc>
        <w:tc>
          <w:tcPr>
            <w:tcW w:w="2340" w:type="dxa"/>
            <w:tcBorders/>
            <w:vAlign w:val="top"/>
            <w:shd w:fill="F7F9FB"/>
          </w:tcPr>
          <w:p>
            <w:pPr>
              <w:pStyle w:val="Normal"/>
              <w:widowControl/>
              <w:bidi w:val="0"/>
              <w:spacing w:lineRule="auto" w:line="240" w:before="0" w:after="40"/>
              <w:jc w:val="start"/>
              <w:rPr/>
            </w:pPr>
            <w:r>
              <w:rPr>
                <w:sz w:val="18"/>
              </w:rPr>
              <w:t>PAL_v2.3-T_Conformance_Tests</w:t>
            </w:r>
          </w:p>
        </w:tc>
      </w:tr>
      <w:tr>
        <w:trPr/>
        <w:tc>
          <w:tcPr>
            <w:tcW w:w="2340" w:type="dxa"/>
            <w:tcBorders/>
            <w:vAlign w:val="top"/>
          </w:tcPr>
          <w:p>
            <w:pPr>
              <w:pStyle w:val="Normal"/>
              <w:widowControl/>
              <w:bidi w:val="0"/>
              <w:spacing w:lineRule="auto" w:line="240" w:before="0" w:after="40"/>
              <w:jc w:val="start"/>
              <w:rPr/>
            </w:pPr>
            <w:r>
              <w:rPr>
                <w:sz w:val="18"/>
              </w:rPr>
              <w:t>Compatibility</w:t>
            </w:r>
          </w:p>
        </w:tc>
        <w:tc>
          <w:tcPr>
            <w:tcW w:w="2340" w:type="dxa"/>
            <w:tcBorders/>
            <w:vAlign w:val="top"/>
          </w:tcPr>
          <w:p>
            <w:pPr>
              <w:pStyle w:val="Normal"/>
              <w:widowControl/>
              <w:bidi w:val="0"/>
              <w:spacing w:lineRule="auto" w:line="240" w:before="0" w:after="40"/>
              <w:jc w:val="start"/>
              <w:rPr/>
            </w:pPr>
            <w:r>
              <w:rPr>
                <w:sz w:val="18"/>
              </w:rPr>
              <w:t>PAL v2.3-C</w:t>
            </w:r>
          </w:p>
        </w:tc>
        <w:tc>
          <w:tcPr>
            <w:tcW w:w="2340" w:type="dxa"/>
            <w:tcBorders/>
            <w:vAlign w:val="top"/>
          </w:tcPr>
          <w:p>
            <w:pPr>
              <w:pStyle w:val="Normal"/>
              <w:widowControl/>
              <w:bidi w:val="0"/>
              <w:spacing w:lineRule="auto" w:line="240" w:before="0" w:after="40"/>
              <w:jc w:val="start"/>
              <w:rPr/>
            </w:pPr>
            <w:r>
              <w:rPr>
                <w:sz w:val="18"/>
              </w:rPr>
              <w:t>Compatibility Note</w:t>
            </w:r>
          </w:p>
        </w:tc>
        <w:tc>
          <w:tcPr>
            <w:tcW w:w="2340" w:type="dxa"/>
            <w:tcBorders/>
            <w:vAlign w:val="top"/>
          </w:tcPr>
          <w:p>
            <w:pPr>
              <w:pStyle w:val="Normal"/>
              <w:widowControl/>
              <w:bidi w:val="0"/>
              <w:spacing w:lineRule="auto" w:line="240" w:before="0" w:after="40"/>
              <w:jc w:val="start"/>
              <w:rPr/>
            </w:pPr>
            <w:r>
              <w:rPr>
                <w:sz w:val="18"/>
              </w:rPr>
              <w:t>PAL_v2.3-C_Compatibility_Note</w:t>
            </w:r>
          </w:p>
        </w:tc>
      </w:tr>
    </w:tbl>
    <w:p>
      <w:pPr>
        <w:pStyle w:val="Normal"/>
        <w:keepNext/>
        <w:keepLines/>
        <w:rPr/>
      </w:pPr>
      <w:r>
        <w:rPr/>
        <w:t xml:space="preserve">All five faces, their PDF metadata, the package manifest, citation file, description, and release notes bind record title </w:t>
      </w:r>
      <w:r>
        <w:rPr>
          <w:b/>
          <w:bCs/>
        </w:rPr>
        <w:t>PAL v2.3 — Primitive Axiom Layers</w:t>
      </w:r>
      <w:r>
        <w:rPr/>
        <w:t xml:space="preserve">, creator </w:t>
      </w:r>
      <w:r>
        <w:rPr>
          <w:b/>
          <w:bCs/>
        </w:rPr>
        <w:t>Christopher D. Pang</w:t>
      </w:r>
      <w:r>
        <w:rPr/>
        <w:t xml:space="preserve">, version </w:t>
      </w:r>
      <w:r>
        <w:rPr>
          <w:b/>
          <w:bCs/>
        </w:rPr>
        <w:t>2.3</w:t>
      </w:r>
      <w:r>
        <w:rPr/>
        <w:t xml:space="preserve">, publication date </w:t>
      </w:r>
      <w:r>
        <w:rPr>
          <w:b/>
          <w:bCs/>
        </w:rPr>
        <w:t>2 September 2026</w:t>
      </w:r>
      <w:r>
        <w:rPr/>
        <w:t xml:space="preserve">, DOI </w:t>
      </w:r>
      <w:r>
        <w:rPr>
          <w:b/>
          <w:bCs/>
        </w:rPr>
        <w:t>10.5281/zenodo.22240134</w:t>
      </w:r>
      <w:r>
        <w:rPr/>
        <w:t xml:space="preserve">, status </w:t>
      </w:r>
      <w:r>
        <w:rPr>
          <w:b/>
          <w:bCs/>
        </w:rPr>
        <w:t>Author release; not peer reviewed</w:t>
      </w:r>
      <w:r>
        <w:rPr/>
        <w:t xml:space="preserve">, and license </w:t>
      </w:r>
      <w:r>
        <w:rPr>
          <w:b/>
          <w:bCs/>
        </w:rPr>
        <w:t>CC BY 4.0</w:t>
      </w:r>
      <w:r>
        <w:rPr/>
        <w:t>. The predecessor relation is isNewVersionOf DOI 10.5281/zenodo.21891598. No title has a thematic nickname/deck, and the Compatibility title/filename has no version-range suffix.</w:t>
      </w:r>
    </w:p>
    <w:p>
      <w:pPr>
        <w:pStyle w:val="BodyText"/>
        <w:rPr/>
      </w:pPr>
      <w:r>
        <w:rPr/>
        <w:t>T02 also binds the resource type/subtype to the value directly retrieved from the v2.2 Zenodo record; it does not guess a new category. ORCID and community fields pass only when verified from that record or expressly supplied by the author.</w:t>
      </w:r>
    </w:p>
    <w:p>
      <w:pPr>
        <w:pStyle w:val="BodyText"/>
        <w:rPr/>
      </w:pPr>
      <w:r>
        <w:rPr/>
        <w:t>The DOCX/PDF pair for each row represents one face. ZIP, omnibus, manifest, checksum file, description, metadata, and receipt files remain derived and create no sixth face.</w:t>
      </w:r>
    </w:p>
    <w:p>
      <w:pPr>
        <w:pStyle w:val="BodyText"/>
        <w:rPr/>
      </w:pPr>
      <w:r>
        <w:rPr/>
        <w:t>The T01 package fixture expects directory PAL_v2.3_Zenodo_Upload/ with each of the five filename stems above exactly once as .docx and .pdf, plus exactly PAL_v2.3_Generated_Omnibus.pdf, PAL_v2.3_Full_Release_Package.zip, PAL_v2.3_Zenodo_Description.txt, PAL_v2.3_PACKAGE_MANIFEST.json, and PAL_v2.3_SHA256SUMS.txt. That is fifteen top-level upload files and five authority faces. The omnibus has one generated wrapper page visibly marked NONAUTHORITATIVE CONVENIENCE ASSEMBLY, followed by the five frozen PDFs unchanged in Spine → Atlas → Ledger → Tests → Compatibility order.</w:t>
      </w:r>
    </w:p>
    <w:p>
      <w:pPr>
        <w:pStyle w:val="BodyText"/>
        <w:rPr/>
      </w:pPr>
      <w:r>
        <w:rPr/>
        <w:t>The late author-directed decisions D38–D39 and obligations O61–O62 do not create test IDs. They bind additional fixtures and reviews to existing stable purposes.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Late-delta binding; not a new test ID</w:t>
            </w:r>
          </w:p>
        </w:tc>
        <w:tc>
          <w:tcPr>
            <w:tcW w:w="4680" w:type="dxa"/>
            <w:tcBorders/>
            <w:vAlign w:val="top"/>
            <w:shd w:fill="DCE6F1"/>
          </w:tcPr>
          <w:p>
            <w:pPr>
              <w:pStyle w:val="Normal"/>
              <w:spacing w:before="0" w:after="40" w:line="240" w:lineRule="auto"/>
              <w:rPr>
                <w:b/>
                <w:bCs/>
              </w:rPr>
            </w:pPr>
            <w:r>
              <w:rPr>
                <w:b/>
                <w:bCs/>
                <w:color w:val="1F4D78"/>
                <w:sz w:val="19"/>
              </w:rPr>
              <w:t>Additional v2.3 target</w:t>
            </w:r>
          </w:p>
        </w:tc>
      </w:tr>
      <w:tr>
        <w:trPr/>
        <w:tc>
          <w:tcPr>
            <w:tcW w:w="4680" w:type="dxa"/>
            <w:tcBorders/>
            <w:vAlign w:val="top"/>
          </w:tcPr>
          <w:p>
            <w:pPr>
              <w:pStyle w:val="Normal"/>
              <w:widowControl/>
              <w:bidi w:val="0"/>
              <w:spacing w:lineRule="auto" w:line="240" w:before="0" w:after="40"/>
              <w:jc w:val="start"/>
              <w:rPr/>
            </w:pPr>
            <w:r>
              <w:rPr>
                <w:sz w:val="19"/>
              </w:rPr>
              <w:t>T03@2.3 / LATE-DELTA-CHECKSUM</w:t>
            </w:r>
          </w:p>
        </w:tc>
        <w:tc>
          <w:tcPr>
            <w:tcW w:w="4680" w:type="dxa"/>
            <w:tcBorders/>
            <w:vAlign w:val="top"/>
          </w:tcPr>
          <w:p>
            <w:pPr>
              <w:pStyle w:val="Normal"/>
              <w:widowControl/>
              <w:bidi w:val="0"/>
              <w:spacing w:lineRule="auto" w:line="240" w:before="0" w:after="40"/>
              <w:jc w:val="start"/>
              <w:rPr/>
            </w:pPr>
            <w:r>
              <w:rPr>
                <w:sz w:val="19"/>
              </w:rPr>
              <w:t>In addition to the frozen base binding, verify D38–D39 and O61–O62; preserve separately 51 = 23 CORE CLOSED + 19 PARAMETERIZED + 7 BRANCH + 2 OPEN, 9 = 2 CORE CLOSED + 6 PARAMETERIZED + 1 BRANCH + 0 OPEN, and 2 = 1 CORE CLOSED + 0 PARAMETERIZED + 1 BRANCH + 0 OPEN; verify the complete population 62 = 26 CORE CLOSED + 25 PARAMETERIZED + 9 BRANCH + 2 OPEN. O04 and O25 remain the only OPEN obligation rows.</w:t>
            </w:r>
          </w:p>
        </w:tc>
      </w:tr>
      <w:tr>
        <w:trPr/>
        <w:tc>
          <w:tcPr>
            <w:tcW w:w="4680" w:type="dxa"/>
            <w:tcBorders/>
            <w:vAlign w:val="top"/>
            <w:shd w:fill="F7F9FB"/>
          </w:tcPr>
          <w:p>
            <w:pPr>
              <w:pStyle w:val="Normal"/>
              <w:widowControl/>
              <w:bidi w:val="0"/>
              <w:spacing w:lineRule="auto" w:line="240" w:before="0" w:after="40"/>
              <w:jc w:val="start"/>
              <w:rPr/>
            </w:pPr>
            <w:r>
              <w:rPr>
                <w:sz w:val="19"/>
              </w:rPr>
              <w:t>T12@2.3–T14@2.3 / RAINBOW-CARDS</w:t>
            </w:r>
          </w:p>
        </w:tc>
        <w:tc>
          <w:tcPr>
            <w:tcW w:w="4680" w:type="dxa"/>
            <w:tcBorders/>
            <w:vAlign w:val="top"/>
            <w:shd w:fill="F7F9FB"/>
          </w:tcPr>
          <w:p>
            <w:pPr>
              <w:pStyle w:val="Normal"/>
              <w:widowControl/>
              <w:bidi w:val="0"/>
              <w:spacing w:lineRule="auto" w:line="240" w:before="0" w:after="40"/>
              <w:jc w:val="start"/>
              <w:rPr/>
            </w:pPr>
            <w:r>
              <w:rPr>
                <w:sz w:val="19"/>
              </w:rPr>
              <w:t>Apply delete, swap, and predecessor tests to every RAINBOW realization card, its optional amplitude adapter, and the Atlas-local decorated section as applicable.</w:t>
            </w:r>
          </w:p>
        </w:tc>
      </w:tr>
      <w:tr>
        <w:trPr/>
        <w:tc>
          <w:tcPr>
            <w:tcW w:w="4680" w:type="dxa"/>
            <w:tcBorders/>
            <w:vAlign w:val="top"/>
          </w:tcPr>
          <w:p>
            <w:pPr>
              <w:pStyle w:val="Normal"/>
              <w:widowControl/>
              <w:bidi w:val="0"/>
              <w:spacing w:lineRule="auto" w:line="240" w:before="0" w:after="40"/>
              <w:jc w:val="start"/>
              <w:rPr/>
            </w:pPr>
            <w:r>
              <w:rPr>
                <w:sz w:val="19"/>
              </w:rPr>
              <w:t>T26@2.3 / LATE-DELTA-CROSS-SURFACE</w:t>
            </w:r>
          </w:p>
        </w:tc>
        <w:tc>
          <w:tcPr>
            <w:tcW w:w="4680" w:type="dxa"/>
            <w:tcBorders/>
            <w:vAlign w:val="top"/>
          </w:tcPr>
          <w:p>
            <w:pPr>
              <w:pStyle w:val="Normal"/>
              <w:widowControl/>
              <w:bidi w:val="0"/>
              <w:spacing w:lineRule="auto" w:line="240" w:before="0" w:after="40"/>
              <w:jc w:val="start"/>
              <w:rPr/>
            </w:pPr>
            <w:r>
              <w:rPr>
                <w:sz w:val="19"/>
              </w:rPr>
              <w:t>Resolve D38–D39, O61–O62, the exact scope-firewall wording, the exact RAINBOW name, every RAINBOW card and plate identifier, their controlling surfaces, and their ceilings across all five faces. An index/body/figure population mismatch is NONCONFORMANT.</w:t>
            </w:r>
          </w:p>
        </w:tc>
      </w:tr>
      <w:tr>
        <w:trPr/>
        <w:tc>
          <w:tcPr>
            <w:tcW w:w="4680" w:type="dxa"/>
            <w:tcBorders/>
            <w:vAlign w:val="top"/>
            <w:shd w:fill="F7F9FB"/>
          </w:tcPr>
          <w:p>
            <w:pPr>
              <w:pStyle w:val="Normal"/>
              <w:widowControl/>
              <w:bidi w:val="0"/>
              <w:spacing w:lineRule="auto" w:line="240" w:before="0" w:after="40"/>
              <w:jc w:val="start"/>
              <w:rPr/>
            </w:pPr>
            <w:r>
              <w:rPr>
                <w:sz w:val="19"/>
              </w:rPr>
              <w:t>T28@2.3 / RAINBOW-PROVENANCE</w:t>
            </w:r>
          </w:p>
        </w:tc>
        <w:tc>
          <w:tcPr>
            <w:tcW w:w="4680" w:type="dxa"/>
            <w:tcBorders/>
            <w:vAlign w:val="top"/>
            <w:shd w:fill="F7F9FB"/>
          </w:tcPr>
          <w:p>
            <w:pPr>
              <w:pStyle w:val="Normal"/>
              <w:widowControl/>
              <w:bidi w:val="0"/>
              <w:spacing w:lineRule="auto" w:line="240" w:before="0" w:after="40"/>
              <w:jc w:val="start"/>
              <w:rPr/>
            </w:pPr>
            <w:r>
              <w:rPr>
                <w:sz w:val="19"/>
              </w:rPr>
              <w:t>Distinguish classical Eisenstein arithmetic, cited prior results, finite enumeration, the author-directed RAINBOW taxonomy, new PAL adapters, optional amplitude synthesis, SVG/render code, presentation choices, and open analogies.</w:t>
            </w:r>
          </w:p>
        </w:tc>
      </w:tr>
      <w:tr>
        <w:trPr/>
        <w:tc>
          <w:tcPr>
            <w:tcW w:w="4680" w:type="dxa"/>
            <w:tcBorders/>
            <w:vAlign w:val="top"/>
          </w:tcPr>
          <w:p>
            <w:pPr>
              <w:pStyle w:val="Normal"/>
              <w:widowControl/>
              <w:bidi w:val="0"/>
              <w:spacing w:lineRule="auto" w:line="240" w:before="0" w:after="40"/>
              <w:jc w:val="start"/>
              <w:rPr/>
            </w:pPr>
            <w:r>
              <w:rPr>
                <w:sz w:val="19"/>
              </w:rPr>
              <w:t>T29@2.3 / LATE-DELTA-SEMANTIC-LINT</w:t>
            </w:r>
          </w:p>
        </w:tc>
        <w:tc>
          <w:tcPr>
            <w:tcW w:w="4680" w:type="dxa"/>
            <w:tcBorders/>
            <w:vAlign w:val="top"/>
          </w:tcPr>
          <w:p>
            <w:pPr>
              <w:pStyle w:val="Normal"/>
              <w:widowControl/>
              <w:bidi w:val="0"/>
              <w:spacing w:lineRule="auto" w:line="240" w:before="0" w:after="40"/>
              <w:jc w:val="start"/>
              <w:rPr/>
            </w:pPr>
            <w:r>
              <w:rPr>
                <w:sz w:val="19"/>
              </w:rPr>
              <w:t>Extend semantic lint to D38/O61 and D39/O62 nonclaims, including release-state language embedded in SVG metadata, captions, alt text, figure notes, and source files.</w:t>
            </w:r>
          </w:p>
        </w:tc>
      </w:tr>
      <w:tr>
        <w:trPr/>
        <w:tc>
          <w:tcPr>
            <w:tcW w:w="4680" w:type="dxa"/>
            <w:tcBorders/>
            <w:vAlign w:val="top"/>
            <w:shd w:fill="F7F9FB"/>
          </w:tcPr>
          <w:p>
            <w:pPr>
              <w:pStyle w:val="Normal"/>
              <w:widowControl/>
              <w:bidi w:val="0"/>
              <w:spacing w:lineRule="auto" w:line="240" w:before="0" w:after="40"/>
              <w:jc w:val="start"/>
              <w:rPr/>
            </w:pPr>
            <w:r>
              <w:rPr>
                <w:sz w:val="19"/>
              </w:rPr>
              <w:t>T34@2.3 / RAINBOW-ADMISSION-COST</w:t>
            </w:r>
          </w:p>
        </w:tc>
        <w:tc>
          <w:tcPr>
            <w:tcW w:w="4680" w:type="dxa"/>
            <w:tcBorders/>
            <w:vAlign w:val="top"/>
            <w:shd w:fill="F7F9FB"/>
          </w:tcPr>
          <w:p>
            <w:pPr>
              <w:pStyle w:val="Normal"/>
              <w:widowControl/>
              <w:bidi w:val="0"/>
              <w:spacing w:lineRule="auto" w:line="240" w:before="0" w:after="40"/>
              <w:jc w:val="start"/>
              <w:rPr/>
            </w:pPr>
            <w:r>
              <w:rPr>
                <w:sz w:val="19"/>
              </w:rPr>
              <w:t>Review the typed admission obligation/cost on every new RAINBOW card and adapter; no arithmetic count, ribbon width, intensity, or visual weight may absorb witness, provenance, debt, truth, cause, permission, consent, standing, or authority.</w:t>
            </w:r>
          </w:p>
        </w:tc>
      </w:tr>
      <w:tr>
        <w:trPr/>
        <w:tc>
          <w:tcPr>
            <w:tcW w:w="4680" w:type="dxa"/>
            <w:tcBorders/>
            <w:vAlign w:val="top"/>
          </w:tcPr>
          <w:p>
            <w:pPr>
              <w:pStyle w:val="Normal"/>
              <w:widowControl/>
              <w:bidi w:val="0"/>
              <w:spacing w:lineRule="auto" w:line="240" w:before="0" w:after="40"/>
              <w:jc w:val="start"/>
              <w:rPr/>
            </w:pPr>
            <w:r>
              <w:rPr>
                <w:sz w:val="19"/>
              </w:rPr>
              <w:t>T46@2.3 / RAINBOW-QUANTIFIERS</w:t>
            </w:r>
          </w:p>
        </w:tc>
        <w:tc>
          <w:tcPr>
            <w:tcW w:w="4680" w:type="dxa"/>
            <w:tcBorders/>
            <w:vAlign w:val="top"/>
          </w:tcPr>
          <w:p>
            <w:pPr>
              <w:pStyle w:val="Normal"/>
              <w:widowControl/>
              <w:bidi w:val="0"/>
              <w:spacing w:lineRule="auto" w:line="240" w:before="0" w:after="40"/>
              <w:jc w:val="start"/>
              <w:rPr/>
            </w:pPr>
            <w:r>
              <w:rPr>
                <w:sz w:val="19"/>
              </w:rPr>
              <w:t>Distinguish all-n arithmetic from bounded enumeration, local-chart from global-cylinder statements, finite retained histories from the unbounded generated monoid and from any unclaimed infinite stored loom, fixed shell from arbitrary shell, and presentation scale from mathematical scale.</w:t>
            </w:r>
          </w:p>
        </w:tc>
      </w:tr>
    </w:tbl>
    <w:p>
      <w:pPr>
        <w:pStyle w:val="Heading2"/>
        <w:keepNext/>
        <w:keepLines/>
        <w:rPr/>
      </w:pPr>
      <w:bookmarkStart w:id="61" w:name="author-written-opening-scope-firewall-or"/>
      <w:r>
        <w:rPr/>
        <w:t>Author-written opening scope-firewall oracle</w:t>
      </w:r>
      <w:bookmarkEnd w:id="61"/>
    </w:p>
    <w:p>
      <w:pPr>
        <w:pStyle w:val="Normal"/>
        <w:keepNext/>
        <w:keepLines/>
        <w:rPr/>
      </w:pPr>
      <w:r>
        <w:rPr/>
        <w:t>The exact lexical oracle is the following three-paragraph statement supplied by Christopher D. Pang on 2 September 2026:</w:t>
      </w:r>
    </w:p>
    <w:p>
      <w:pPr>
        <w:pStyle w:val="BlockQuotation"/>
        <w:ind w:hanging="0" w:start="720" w:end="0"/>
        <w:rPr/>
      </w:pPr>
      <w:r>
        <w:rPr/>
        <w:t>What’s before the Big Bang? What’s outside the universe? What’s bigger than the multiverse? What is time before time? What is north of the North Pole? What’s more abstract than abstract space? What’s there if you don’t measure it?</w:t>
      </w:r>
    </w:p>
    <w:p>
      <w:pPr>
        <w:pStyle w:val="BlockQuotation"/>
        <w:ind w:hanging="0" w:start="720" w:end="0"/>
        <w:rPr/>
      </w:pPr>
      <w:r>
        <w:rPr/>
        <w:t>As posed, these questions borrow the very frame they ask the receiver to stand outside. They lean on themselves and go nowhere. You need some distance, a supplied separation, for any asymmetry to become closable.</w:t>
      </w:r>
    </w:p>
    <w:p>
      <w:pPr>
        <w:pStyle w:val="BlockQuotation"/>
        <w:ind w:hanging="0" w:start="720" w:end="0"/>
        <w:rPr/>
      </w:pPr>
      <w:r>
        <w:rPr/>
        <w:t xml:space="preserve">These are the questions PAL does </w:t>
      </w:r>
      <w:r>
        <w:rPr>
          <w:b/>
          <w:bCs/>
        </w:rPr>
        <w:t>not</w:t>
      </w:r>
      <w:r>
        <w:rPr/>
        <w:t xml:space="preserve"> try to answer. Ω is not their hidden answer, and A_0 is not the first event, cause, or boundary of reality. PAL begins with a supplied cut inside a declared account and asks only what can honestly be distinguished, traced, and carried forward from there.</w:t>
      </w:r>
    </w:p>
    <w:p>
      <w:pPr>
        <w:pStyle w:val="Normal"/>
        <w:rPr/>
      </w:pPr>
      <w:r>
        <w:rPr/>
        <w:t>For exact-text comparison, normalize Unicode to NFC and ignore only formatting-run boundaries and the typography-equivalent rendering of A_0 as A₀. Preserve all words, punctuation, question order, paragraph boundaries, Ω, emphasis semantics, and negation. Whitespace normalization may compare rendered text but may not hide a lexical change.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Named binding; not a new test ID</w:t>
            </w:r>
          </w:p>
        </w:tc>
        <w:tc>
          <w:tcPr>
            <w:tcW w:w="3120" w:type="dxa"/>
            <w:tcBorders/>
            <w:vAlign w:val="top"/>
            <w:shd w:fill="DCE6F1"/>
          </w:tcPr>
          <w:p>
            <w:pPr>
              <w:pStyle w:val="Normal"/>
              <w:spacing w:before="0" w:after="40" w:line="240" w:lineRule="auto"/>
              <w:rPr>
                <w:b/>
                <w:bCs/>
              </w:rPr>
            </w:pPr>
            <w:r>
              <w:rPr>
                <w:b/>
                <w:bCs/>
                <w:color w:val="1F4D78"/>
                <w:sz w:val="18"/>
              </w:rPr>
              <w:t>Bound execution and expected result</w:t>
            </w:r>
          </w:p>
        </w:tc>
        <w:tc>
          <w:tcPr>
            <w:tcW w:w="3120" w:type="dxa"/>
            <w:tcBorders/>
            <w:vAlign w:val="top"/>
            <w:shd w:fill="DCE6F1"/>
          </w:tcPr>
          <w:p>
            <w:pPr>
              <w:pStyle w:val="Normal"/>
              <w:spacing w:before="0" w:after="40" w:line="240" w:lineRule="auto"/>
              <w:rPr>
                <w:b/>
                <w:bCs/>
              </w:rPr>
            </w:pPr>
            <w:r>
              <w:rPr>
                <w:b/>
                <w:bCs/>
                <w:color w:val="1F4D78"/>
                <w:sz w:val="18"/>
              </w:rPr>
              <w:t>Negative fixture and route</w:t>
            </w:r>
          </w:p>
        </w:tc>
      </w:tr>
      <w:tr>
        <w:trPr/>
        <w:tc>
          <w:tcPr>
            <w:tcW w:w="3120" w:type="dxa"/>
            <w:tcBorders/>
            <w:vAlign w:val="top"/>
          </w:tcPr>
          <w:p>
            <w:pPr>
              <w:pStyle w:val="Normal"/>
              <w:widowControl/>
              <w:bidi w:val="0"/>
              <w:spacing w:lineRule="auto" w:line="240" w:before="0" w:after="40"/>
              <w:jc w:val="start"/>
              <w:rPr/>
            </w:pPr>
            <w:r>
              <w:rPr>
                <w:sz w:val="18"/>
              </w:rPr>
              <w:t>T05@2.3 / SCOPE-FIREWALL-OMEGA</w:t>
            </w:r>
          </w:p>
        </w:tc>
        <w:tc>
          <w:tcPr>
            <w:tcW w:w="3120" w:type="dxa"/>
            <w:tcBorders/>
            <w:vAlign w:val="top"/>
          </w:tcPr>
          <w:p>
            <w:pPr>
              <w:pStyle w:val="Normal"/>
              <w:widowControl/>
              <w:bidi w:val="0"/>
              <w:spacing w:lineRule="auto" w:line="240" w:before="0" w:after="40"/>
              <w:jc w:val="start"/>
              <w:rPr/>
            </w:pPr>
            <w:r>
              <w:rPr>
                <w:sz w:val="18"/>
              </w:rPr>
              <w:t>Exact-text comparison finds all three paragraphs in the Spine and semantic review confirms that Ω is not a hidden answer, exterior, precursor, container, state, measurable content, or constructor input. A match with that ceiling is CONFORMANT.</w:t>
            </w:r>
          </w:p>
        </w:tc>
        <w:tc>
          <w:tcPr>
            <w:tcW w:w="3120" w:type="dxa"/>
            <w:tcBorders/>
            <w:vAlign w:val="top"/>
          </w:tcPr>
          <w:p>
            <w:pPr>
              <w:pStyle w:val="Normal"/>
              <w:widowControl/>
              <w:bidi w:val="0"/>
              <w:spacing w:lineRule="auto" w:line="240" w:before="0" w:after="40"/>
              <w:jc w:val="start"/>
              <w:rPr/>
            </w:pPr>
            <w:r>
              <w:rPr>
                <w:sz w:val="18"/>
              </w:rPr>
              <w:t>Any missing/changed wording or Ω promotion is NONCONFORMANT; route first to D38/O61, then D02/O01 as applicable.</w:t>
            </w:r>
          </w:p>
        </w:tc>
      </w:tr>
      <w:tr>
        <w:trPr/>
        <w:tc>
          <w:tcPr>
            <w:tcW w:w="3120" w:type="dxa"/>
            <w:tcBorders/>
            <w:vAlign w:val="top"/>
            <w:shd w:fill="F7F9FB"/>
          </w:tcPr>
          <w:p>
            <w:pPr>
              <w:pStyle w:val="Normal"/>
              <w:widowControl/>
              <w:bidi w:val="0"/>
              <w:spacing w:lineRule="auto" w:line="240" w:before="0" w:after="40"/>
              <w:jc w:val="start"/>
              <w:rPr/>
            </w:pPr>
            <w:r>
              <w:rPr>
                <w:sz w:val="18"/>
              </w:rPr>
              <w:t>T06@2.3 / SCOPE-FIREWALL-A0</w:t>
            </w:r>
          </w:p>
        </w:tc>
        <w:tc>
          <w:tcPr>
            <w:tcW w:w="3120" w:type="dxa"/>
            <w:tcBorders/>
            <w:vAlign w:val="top"/>
            <w:shd w:fill="F7F9FB"/>
          </w:tcPr>
          <w:p>
            <w:pPr>
              <w:pStyle w:val="Normal"/>
              <w:widowControl/>
              <w:bidi w:val="0"/>
              <w:spacing w:lineRule="auto" w:line="240" w:before="0" w:after="40"/>
              <w:jc w:val="start"/>
              <w:rPr/>
            </w:pPr>
            <w:r>
              <w:rPr>
                <w:sz w:val="18"/>
              </w:rPr>
              <w:t>Semantic review reads “some distance” only through the immediately supplied “a supplied separation,” as nonmetric and account-relative, and reads A0 only as the supplied cut of a declared account.</w:t>
            </w:r>
          </w:p>
        </w:tc>
        <w:tc>
          <w:tcPr>
            <w:tcW w:w="3120" w:type="dxa"/>
            <w:tcBorders/>
            <w:vAlign w:val="top"/>
            <w:shd w:fill="F7F9FB"/>
          </w:tcPr>
          <w:p>
            <w:pPr>
              <w:pStyle w:val="Normal"/>
              <w:widowControl/>
              <w:bidi w:val="0"/>
              <w:spacing w:lineRule="auto" w:line="240" w:before="0" w:after="40"/>
              <w:jc w:val="start"/>
              <w:rPr/>
            </w:pPr>
            <w:r>
              <w:rPr>
                <w:sz w:val="18"/>
              </w:rPr>
              <w:t>A primitive metric or an A0 claim of first event, cause, boundary of reality, temporal/ontic/causal/global firstness is NONCONFORMANT; route to D38/O61 and D03/D16/D19.</w:t>
            </w:r>
          </w:p>
        </w:tc>
      </w:tr>
      <w:tr>
        <w:trPr/>
        <w:tc>
          <w:tcPr>
            <w:tcW w:w="3120" w:type="dxa"/>
            <w:tcBorders/>
            <w:vAlign w:val="top"/>
          </w:tcPr>
          <w:p>
            <w:pPr>
              <w:pStyle w:val="Normal"/>
              <w:widowControl/>
              <w:bidi w:val="0"/>
              <w:spacing w:lineRule="auto" w:line="240" w:before="0" w:after="40"/>
              <w:jc w:val="start"/>
              <w:rPr/>
            </w:pPr>
            <w:r>
              <w:rPr>
                <w:sz w:val="18"/>
              </w:rPr>
              <w:t>T10@2.3 / SCOPE-FIREWALL-PLACEMENT</w:t>
            </w:r>
          </w:p>
        </w:tc>
        <w:tc>
          <w:tcPr>
            <w:tcW w:w="3120" w:type="dxa"/>
            <w:tcBorders/>
            <w:vAlign w:val="top"/>
          </w:tcPr>
          <w:p>
            <w:pPr>
              <w:pStyle w:val="Normal"/>
              <w:widowControl/>
              <w:bidi w:val="0"/>
              <w:spacing w:lineRule="auto" w:line="240" w:before="0" w:after="40"/>
              <w:jc w:val="start"/>
              <w:rPr/>
            </w:pPr>
            <w:r>
              <w:rPr>
                <w:sz w:val="18"/>
              </w:rPr>
              <w:t>Structural inspection places the labeled author-written scope firewall, credited to Christopher D. Pang, in the Spine’s opening authority/nonclaims route before the primitive-floor definition, without inserting it into the title block or treating it as an answer.</w:t>
            </w:r>
          </w:p>
        </w:tc>
        <w:tc>
          <w:tcPr>
            <w:tcW w:w="3120" w:type="dxa"/>
            <w:tcBorders/>
            <w:vAlign w:val="top"/>
          </w:tcPr>
          <w:p>
            <w:pPr>
              <w:pStyle w:val="Normal"/>
              <w:widowControl/>
              <w:bidi w:val="0"/>
              <w:spacing w:lineRule="auto" w:line="240" w:before="0" w:after="40"/>
              <w:jc w:val="start"/>
              <w:rPr/>
            </w:pPr>
            <w:r>
              <w:rPr>
                <w:sz w:val="18"/>
              </w:rPr>
              <w:t>Missing, displaced, anonymous, title/deck-promoted, or primitive-defining use is NONCONFORMANT; route to D38/O61.</w:t>
            </w:r>
          </w:p>
        </w:tc>
      </w:tr>
      <w:tr>
        <w:trPr/>
        <w:tc>
          <w:tcPr>
            <w:tcW w:w="3120" w:type="dxa"/>
            <w:tcBorders/>
            <w:vAlign w:val="top"/>
            <w:shd w:fill="F7F9FB"/>
          </w:tcPr>
          <w:p>
            <w:pPr>
              <w:pStyle w:val="Normal"/>
              <w:widowControl/>
              <w:bidi w:val="0"/>
              <w:spacing w:lineRule="auto" w:line="240" w:before="0" w:after="40"/>
              <w:jc w:val="start"/>
              <w:rPr/>
            </w:pPr>
            <w:r>
              <w:rPr>
                <w:sz w:val="18"/>
              </w:rPr>
              <w:t>T11@2.3 / SCOPE-FIREWALL-SEPARATION</w:t>
            </w:r>
          </w:p>
        </w:tc>
        <w:tc>
          <w:tcPr>
            <w:tcW w:w="3120" w:type="dxa"/>
            <w:tcBorders/>
            <w:vAlign w:val="top"/>
            <w:shd w:fill="F7F9FB"/>
          </w:tcPr>
          <w:p>
            <w:pPr>
              <w:pStyle w:val="Normal"/>
              <w:widowControl/>
              <w:bidi w:val="0"/>
              <w:spacing w:lineRule="auto" w:line="240" w:before="0" w:after="40"/>
              <w:jc w:val="start"/>
              <w:rPr/>
            </w:pPr>
            <w:r>
              <w:rPr>
                <w:sz w:val="18"/>
              </w:rPr>
              <w:t>Cross-surface semantic review preserves supplied cut, readable distinction, occurrence trace, and A15 closure as separate stages; none of the seven questions is reported answered.</w:t>
            </w:r>
          </w:p>
        </w:tc>
        <w:tc>
          <w:tcPr>
            <w:tcW w:w="3120" w:type="dxa"/>
            <w:tcBorders/>
            <w:vAlign w:val="top"/>
            <w:shd w:fill="F7F9FB"/>
          </w:tcPr>
          <w:p>
            <w:pPr>
              <w:pStyle w:val="Normal"/>
              <w:widowControl/>
              <w:bidi w:val="0"/>
              <w:spacing w:lineRule="auto" w:line="240" w:before="0" w:after="40"/>
              <w:jc w:val="start"/>
              <w:rPr/>
            </w:pPr>
            <w:r>
              <w:rPr>
                <w:sz w:val="18"/>
              </w:rPr>
              <w:t>A0-as-occurrence, A0/A1/A2 fusion, or cosmological, ontological, temporal, measurement-theoretic, or physical answer is NONCONFORMANT; route to D38/O61 and the earliest primitive-floor decision.</w:t>
            </w:r>
          </w:p>
        </w:tc>
      </w:tr>
      <w:tr>
        <w:trPr/>
        <w:tc>
          <w:tcPr>
            <w:tcW w:w="3120" w:type="dxa"/>
            <w:tcBorders/>
            <w:vAlign w:val="top"/>
          </w:tcPr>
          <w:p>
            <w:pPr>
              <w:pStyle w:val="Normal"/>
              <w:widowControl/>
              <w:bidi w:val="0"/>
              <w:spacing w:lineRule="auto" w:line="240" w:before="0" w:after="40"/>
              <w:jc w:val="start"/>
              <w:rPr/>
            </w:pPr>
            <w:r>
              <w:rPr>
                <w:sz w:val="18"/>
              </w:rPr>
              <w:t>T29@2.3 / SCOPE-FIREWALL-LINT</w:t>
            </w:r>
          </w:p>
        </w:tc>
        <w:tc>
          <w:tcPr>
            <w:tcW w:w="3120" w:type="dxa"/>
            <w:tcBorders/>
            <w:vAlign w:val="top"/>
          </w:tcPr>
          <w:p>
            <w:pPr>
              <w:pStyle w:val="Normal"/>
              <w:widowControl/>
              <w:bidi w:val="0"/>
              <w:spacing w:lineRule="auto" w:line="240" w:before="0" w:after="40"/>
              <w:jc w:val="start"/>
              <w:rPr/>
            </w:pPr>
            <w:r>
              <w:rPr>
                <w:sz w:val="18"/>
              </w:rPr>
              <w:t>Case-insensitive release text lint plus named semantic review rejects predecessor candidate/adoption-gate language and all semantic surrogates that answer the seven questions or metricize “distance.” Exact historical quotations and provenance records remain explicitly scoped.</w:t>
            </w:r>
          </w:p>
        </w:tc>
        <w:tc>
          <w:tcPr>
            <w:tcW w:w="3120" w:type="dxa"/>
            <w:tcBorders/>
            <w:vAlign w:val="top"/>
          </w:tcPr>
          <w:p>
            <w:pPr>
              <w:pStyle w:val="Normal"/>
              <w:widowControl/>
              <w:bidi w:val="0"/>
              <w:spacing w:lineRule="auto" w:line="240" w:before="0" w:after="40"/>
              <w:jc w:val="start"/>
              <w:rPr/>
            </w:pPr>
            <w:r>
              <w:rPr>
                <w:sz w:val="18"/>
              </w:rPr>
              <w:t>A lexical or semantic violation is NONCONFORMANT even when the exact oracle also appears; route to D38/O61 or the earliest conflicting decision.</w:t>
            </w:r>
          </w:p>
        </w:tc>
      </w:tr>
    </w:tbl>
    <w:p>
      <w:pPr>
        <w:pStyle w:val="Normal"/>
        <w:rPr/>
      </w:pPr>
      <w:r>
        <w:rPr/>
        <w:t>O61 is CORE CLOSED only for the exact author wording, placement, interpretation, and authority ceiling. T05, T06, T10, and T11 are its controlling test addresses; the T29 binding is the named release semantic-lint execution that those controlling tests consume as evidence.</w:t>
      </w:r>
    </w:p>
    <w:p>
      <w:pPr>
        <w:pStyle w:val="BodyText"/>
        <w:rPr/>
      </w:pPr>
      <w:r>
        <w:rPr/>
        <w:t>Lexical release-state lint distinguishes an explicitly labeled historical quotation or negative-fixture rule from a live release assertion. That narrow contextual classification prevents the test specification from hiding the very strings it must reject; it is not a general whitelist, and every unscoped or current use remains a failure subject to semantic review.</w:t>
      </w:r>
    </w:p>
    <w:p>
      <w:pPr>
        <w:pStyle w:val="Heading1"/>
        <w:keepNext/>
        <w:keepLines/>
        <w:rPr/>
      </w:pPr>
      <w:bookmarkStart w:id="62" w:name="new-tests-t492.3t722.3"/>
      <w:r>
        <w:rPr/>
        <w:t>8. New tests T49@2.3–T72@2.3</w:t>
      </w:r>
      <w:bookmarkEnd w:id="62"/>
    </w:p>
    <w:p>
      <w:pPr>
        <w:pStyle w:val="Normal"/>
        <w:keepNext/>
        <w:keepLines/>
        <w:rPr/>
      </w:pPr>
      <w:r>
        <w:rPr/>
        <w:t>The text in this section is the exact additive T49–T72 specification fixed by the PAL v2.3 Release Build Specification. Every heading has the execution address Txx@2.3; the unversioned form printed in the heading is its stable test ID.</w:t>
      </w:r>
    </w:p>
    <w:p>
      <w:pPr>
        <w:pStyle w:val="Heading2"/>
        <w:keepNext/>
        <w:keepLines/>
        <w:rPr/>
      </w:pPr>
      <w:bookmarkStart w:id="63" w:name="t49-boundary-role-registry-and-noncoerci"/>
      <w:r>
        <w:rPr/>
        <w:t>T49 — Boundary-role registry and noncoercion</w:t>
      </w:r>
      <w:bookmarkEnd w:id="63"/>
    </w:p>
    <w:p>
      <w:pPr>
        <w:pStyle w:val="BodyText"/>
        <w:keepNext/>
        <w:keepLines/>
        <w:numPr>
          <w:ilvl w:val="0"/>
          <w:numId w:val="10"/>
        </w:numPr>
        <w:spacing w:before="0" w:after="0"/>
        <w:rPr/>
      </w:pPr>
      <w:r>
        <w:rPr/>
        <w:t>Verify every boundary-bearing card’s role/domain and every cross-role adapter.</w:t>
      </w:r>
    </w:p>
    <w:p>
      <w:pPr>
        <w:pStyle w:val="BodyText"/>
        <w:numPr>
          <w:ilvl w:val="0"/>
          <w:numId w:val="10"/>
        </w:numPr>
        <w:spacing w:before="0" w:after="0"/>
        <w:rPr/>
      </w:pPr>
      <w:r>
        <w:rPr/>
        <w:t>Pass: fibers remain fibers unless separate boundary structure is supplied.</w:t>
      </w:r>
    </w:p>
    <w:p>
      <w:pPr>
        <w:pStyle w:val="BodyText"/>
        <w:numPr>
          <w:ilvl w:val="0"/>
          <w:numId w:val="10"/>
        </w:numPr>
        <w:spacing w:before="0" w:after="0"/>
        <w:rPr/>
      </w:pPr>
      <w:r>
        <w:rPr/>
        <w:t>Fail: terminology silently transfers a topology, detector, constraint, closure, cut, or transport claim.</w:t>
      </w:r>
    </w:p>
    <w:p>
      <w:pPr>
        <w:pStyle w:val="Heading2"/>
        <w:keepNext/>
        <w:keepLines/>
        <w:rPr/>
      </w:pPr>
      <w:bookmarkStart w:id="64" w:name="t50-resolution-qualified-minimal-asymmet"/>
      <w:r>
        <w:rPr/>
        <w:t>T50 — Resolution-qualified minimal asymmetry</w:t>
      </w:r>
      <w:bookmarkEnd w:id="64"/>
    </w:p>
    <w:p>
      <w:pPr>
        <w:pStyle w:val="BodyText"/>
        <w:keepNext/>
        <w:keepLines/>
        <w:numPr>
          <w:ilvl w:val="0"/>
          <w:numId w:val="11"/>
        </w:numPr>
        <w:spacing w:before="0" w:after="0"/>
        <w:rPr/>
      </w:pPr>
      <w:r>
        <w:rPr/>
        <w:t>Verify the q-split identities, q/P limit, real-number ceiling, and q-lattice parity seam.</w:t>
      </w:r>
    </w:p>
    <w:p>
      <w:pPr>
        <w:pStyle w:val="BodyText"/>
        <w:numPr>
          <w:ilvl w:val="0"/>
          <w:numId w:val="11"/>
        </w:numPr>
        <w:spacing w:before="0" w:after="0"/>
        <w:rPr/>
      </w:pPr>
      <w:r>
        <w:rPr/>
        <w:t>Pass: every minimum is scoped to its admissible set and resolution.</w:t>
      </w:r>
    </w:p>
    <w:p>
      <w:pPr>
        <w:pStyle w:val="BodyText"/>
        <w:numPr>
          <w:ilvl w:val="0"/>
          <w:numId w:val="11"/>
        </w:numPr>
        <w:spacing w:before="0" w:after="0"/>
        <w:rPr/>
      </w:pPr>
      <w:r>
        <w:rPr/>
        <w:t>Fail: least positive real asymmetry, ordinary-real infinity, omitted resolution, or promotion to A0/θ.</w:t>
      </w:r>
    </w:p>
    <w:p>
      <w:pPr>
        <w:pStyle w:val="Heading2"/>
        <w:keepNext/>
        <w:keepLines/>
        <w:rPr/>
      </w:pPr>
      <w:bookmarkStart w:id="65" w:name="t51-primitive-floor-geometry-placement"/>
      <w:r>
        <w:rPr/>
        <w:t>T51 — Primitive-floor geometry placement</w:t>
      </w:r>
      <w:bookmarkEnd w:id="65"/>
    </w:p>
    <w:p>
      <w:pPr>
        <w:pStyle w:val="BodyText"/>
        <w:keepNext/>
        <w:keepLines/>
        <w:numPr>
          <w:ilvl w:val="0"/>
          <w:numId w:val="12"/>
        </w:numPr>
        <w:spacing w:before="0" w:after="0"/>
        <w:rPr/>
      </w:pPr>
      <w:r>
        <w:rPr/>
        <w:t>Delete the geometry and recover Ω firewall, M0 carrier, A0 cut, Ω* reflection, θ nonidentity, and A1 readout.</w:t>
      </w:r>
    </w:p>
    <w:p>
      <w:pPr>
        <w:pStyle w:val="BodyText"/>
        <w:numPr>
          <w:ilvl w:val="0"/>
          <w:numId w:val="12"/>
        </w:numPr>
        <w:spacing w:before="0" w:after="0"/>
        <w:rPr/>
      </w:pPr>
      <w:r>
        <w:rPr/>
        <w:t>Pass: fixture is removable and adds no primitive/layer/status.</w:t>
      </w:r>
    </w:p>
    <w:p>
      <w:pPr>
        <w:pStyle w:val="BodyText"/>
        <w:numPr>
          <w:ilvl w:val="0"/>
          <w:numId w:val="12"/>
        </w:numPr>
        <w:spacing w:before="0" w:after="0"/>
        <w:rPr/>
      </w:pPr>
      <w:r>
        <w:rPr/>
        <w:t>Fail: lens, lattice, graph, coordinate, comparator, q-split, or golden angle defines the floor.</w:t>
      </w:r>
    </w:p>
    <w:p>
      <w:pPr>
        <w:pStyle w:val="Heading2"/>
        <w:keepNext/>
        <w:keepLines/>
        <w:rPr/>
      </w:pPr>
      <w:bookmarkStart w:id="66" w:name="t52-a0ωθa1-seam-and-no-eliminator"/>
      <w:r>
        <w:rPr/>
        <w:t>T52 — A0/Ω*/θ/A1 seam and no-eliminator</w:t>
      </w:r>
      <w:bookmarkEnd w:id="66"/>
    </w:p>
    <w:p>
      <w:pPr>
        <w:pStyle w:val="BodyText"/>
        <w:keepNext/>
        <w:keepLines/>
        <w:numPr>
          <w:ilvl w:val="0"/>
          <w:numId w:val="13"/>
        </w:numPr>
        <w:spacing w:before="0" w:after="0"/>
        <w:rPr/>
      </w:pPr>
      <w:r>
        <w:rPr/>
        <w:t>Hold the A0/Ω*/θ history fixed while varying or withholding readout.</w:t>
      </w:r>
    </w:p>
    <w:p>
      <w:pPr>
        <w:pStyle w:val="BodyText"/>
        <w:numPr>
          <w:ilvl w:val="0"/>
          <w:numId w:val="13"/>
        </w:numPr>
        <w:spacing w:before="0" w:after="0"/>
        <w:rPr/>
      </w:pPr>
      <w:r>
        <w:rPr/>
        <w:t>Pass: θ selects no side; A1 requires a separate witness and alignment.</w:t>
      </w:r>
    </w:p>
    <w:p>
      <w:pPr>
        <w:pStyle w:val="BodyText"/>
        <w:numPr>
          <w:ilvl w:val="0"/>
          <w:numId w:val="13"/>
        </w:numPr>
        <w:spacing w:before="0" w:after="0"/>
        <w:rPr/>
      </w:pPr>
      <w:r>
        <w:rPr/>
        <w:t>Fail: θ yields A1, occurrence, a canonical golden angle, or a comparator at A0.</w:t>
      </w:r>
    </w:p>
    <w:p>
      <w:pPr>
        <w:pStyle w:val="Heading2"/>
        <w:keepNext/>
        <w:keepLines/>
        <w:rPr/>
      </w:pPr>
      <w:bookmarkStart w:id="67" w:name="t53-geometryinterface-extension-profile-"/>
      <w:r>
        <w:rPr/>
        <w:t>T53 — Geometry/interface extension-profile completeness</w:t>
      </w:r>
      <w:bookmarkEnd w:id="67"/>
    </w:p>
    <w:p>
      <w:pPr>
        <w:pStyle w:val="BodyText"/>
        <w:keepNext/>
        <w:keepLines/>
        <w:numPr>
          <w:ilvl w:val="0"/>
          <w:numId w:val="14"/>
        </w:numPr>
        <w:spacing w:before="0" w:after="0"/>
        <w:rPr/>
      </w:pPr>
      <w:r>
        <w:rPr/>
        <w:t>Require all applicable conditional-profile fields and reasoned N/A entries.</w:t>
      </w:r>
    </w:p>
    <w:p>
      <w:pPr>
        <w:pStyle w:val="BodyText"/>
        <w:numPr>
          <w:ilvl w:val="0"/>
          <w:numId w:val="14"/>
        </w:numPr>
        <w:spacing w:before="0" w:after="0"/>
        <w:rPr/>
      </w:pPr>
      <w:r>
        <w:rPr/>
        <w:t>Pass: scope, scale, maps, decoders, state separations, theorem/synthesis class, residual, and reopen route are explicit.</w:t>
      </w:r>
    </w:p>
    <w:p>
      <w:pPr>
        <w:pStyle w:val="BodyText"/>
        <w:numPr>
          <w:ilvl w:val="0"/>
          <w:numId w:val="14"/>
        </w:numPr>
        <w:spacing w:before="0" w:after="0"/>
        <w:rPr/>
      </w:pPr>
      <w:r>
        <w:rPr/>
        <w:t>Fail: any claim relies on an undeclared field.</w:t>
      </w:r>
    </w:p>
    <w:p>
      <w:pPr>
        <w:pStyle w:val="Heading2"/>
        <w:keepNext/>
        <w:keepLines/>
        <w:rPr/>
      </w:pPr>
      <w:bookmarkStart w:id="68" w:name="t54-reachable-image-fiber-factorization"/>
      <w:r>
        <w:rPr/>
        <w:t>T54 — Reachable-image fiber factorization</w:t>
      </w:r>
      <w:bookmarkEnd w:id="68"/>
    </w:p>
    <w:p>
      <w:pPr>
        <w:pStyle w:val="BodyText"/>
        <w:keepNext/>
        <w:keepLines/>
        <w:numPr>
          <w:ilvl w:val="0"/>
          <w:numId w:val="15"/>
        </w:numPr>
        <w:spacing w:before="0" w:after="0"/>
        <w:rPr/>
      </w:pPr>
      <w:r>
        <w:rPr/>
        <w:t>Compute R and L(τ,q); check fiber constancy and the unique reachable decoder.</w:t>
      </w:r>
    </w:p>
    <w:p>
      <w:pPr>
        <w:pStyle w:val="BodyText"/>
        <w:numPr>
          <w:ilvl w:val="0"/>
          <w:numId w:val="15"/>
        </w:numPr>
        <w:spacing w:before="0" w:after="0"/>
        <w:rPr/>
      </w:pPr>
      <w:r>
        <w:rPr/>
        <w:t>Pass: empty L exactly matches reachable factorization.</w:t>
      </w:r>
    </w:p>
    <w:p>
      <w:pPr>
        <w:pStyle w:val="BodyText"/>
        <w:numPr>
          <w:ilvl w:val="0"/>
          <w:numId w:val="15"/>
        </w:numPr>
        <w:spacing w:before="0" w:after="0"/>
        <w:rPr/>
      </w:pPr>
      <w:r>
        <w:rPr/>
        <w:t>Fail: conflicting same-trace pair is ignored, or noninjectivity alone is called loss when q is fiber-constant.</w:t>
      </w:r>
    </w:p>
    <w:p>
      <w:pPr>
        <w:pStyle w:val="Heading2"/>
        <w:keepNext/>
        <w:keepLines/>
        <w:rPr/>
      </w:pPr>
      <w:bookmarkStart w:id="69" w:name="t55-totalization-and-empty-domain-bounda"/>
      <w:r>
        <w:rPr/>
        <w:t>T55 — Totalization and empty-domain boundaries</w:t>
      </w:r>
      <w:bookmarkEnd w:id="69"/>
    </w:p>
    <w:p>
      <w:pPr>
        <w:pStyle w:val="BodyText"/>
        <w:keepNext/>
        <w:keepLines/>
        <w:numPr>
          <w:ilvl w:val="0"/>
          <w:numId w:val="16"/>
        </w:numPr>
        <w:spacing w:before="0" w:after="0"/>
        <w:rPr/>
      </w:pPr>
      <w:r>
        <w:rPr/>
        <w:t>Separate reachable decoding, total decoding, extension existence, undefined detection, and empty controls.</w:t>
      </w:r>
    </w:p>
    <w:p>
      <w:pPr>
        <w:pStyle w:val="BodyText"/>
        <w:numPr>
          <w:ilvl w:val="0"/>
          <w:numId w:val="16"/>
        </w:numPr>
        <w:spacing w:before="0" w:after="0"/>
        <w:rPr/>
      </w:pPr>
      <w:r>
        <w:rPr/>
        <w:t>Pass: vacuous reachable factorization creates no object beyond its domain.</w:t>
      </w:r>
    </w:p>
    <w:p>
      <w:pPr>
        <w:pStyle w:val="BodyText"/>
        <w:numPr>
          <w:ilvl w:val="0"/>
          <w:numId w:val="16"/>
        </w:numPr>
        <w:spacing w:before="0" w:after="0"/>
        <w:rPr/>
      </w:pPr>
      <w:r>
        <w:rPr/>
        <w:t>Fail: empty sets manufacture a source, extension, answer, total decoder, or zero contribution.</w:t>
      </w:r>
    </w:p>
    <w:p>
      <w:pPr>
        <w:pStyle w:val="Heading2"/>
        <w:keepNext/>
        <w:keepLines/>
        <w:rPr/>
      </w:pPr>
      <w:bookmarkStart w:id="70" w:name="t56-decoder-class-and-authority-ceiling"/>
      <w:r>
        <w:rPr/>
        <w:t>T56 — Decoder-class and authority ceiling</w:t>
      </w:r>
      <w:bookmarkEnd w:id="70"/>
    </w:p>
    <w:p>
      <w:pPr>
        <w:pStyle w:val="BodyText"/>
        <w:keepNext/>
        <w:keepLines/>
        <w:numPr>
          <w:ilvl w:val="0"/>
          <w:numId w:val="17"/>
        </w:numPr>
        <w:spacing w:before="0" w:after="0"/>
        <w:rPr/>
      </w:pPr>
      <w:r>
        <w:rPr/>
        <w:t>Check each claimed decoder class separately.</w:t>
      </w:r>
    </w:p>
    <w:p>
      <w:pPr>
        <w:pStyle w:val="BodyText"/>
        <w:numPr>
          <w:ilvl w:val="0"/>
          <w:numId w:val="17"/>
        </w:numPr>
        <w:spacing w:before="0" w:after="0"/>
        <w:rPr/>
      </w:pPr>
      <w:r>
        <w:rPr/>
        <w:t>Pass: function existence closes only its named class; continuous quotient decoding uses exact assumptions.</w:t>
      </w:r>
    </w:p>
    <w:p>
      <w:pPr>
        <w:pStyle w:val="BodyText"/>
        <w:numPr>
          <w:ilvl w:val="0"/>
          <w:numId w:val="17"/>
        </w:numPr>
        <w:spacing w:before="0" w:after="0"/>
        <w:rPr/>
      </w:pPr>
      <w:r>
        <w:rPr/>
        <w:t>Fail: factorization becomes computability, efficiency, causality, consent, permission, standing, or authority.</w:t>
      </w:r>
    </w:p>
    <w:p>
      <w:pPr>
        <w:pStyle w:val="Heading2"/>
        <w:keepNext/>
        <w:keepLines/>
        <w:rPr/>
      </w:pPr>
      <w:bookmarkStart w:id="71" w:name="t57-detector-transformations-and-auxilia"/>
      <w:r>
        <w:rPr/>
        <w:t>T57 — Detector transformations and auxiliary labels</w:t>
      </w:r>
      <w:bookmarkEnd w:id="71"/>
    </w:p>
    <w:p>
      <w:pPr>
        <w:pStyle w:val="BodyText"/>
        <w:keepNext/>
        <w:keepLines/>
        <w:numPr>
          <w:ilvl w:val="0"/>
          <w:numId w:val="18"/>
        </w:numPr>
        <w:spacing w:before="0" w:after="0"/>
        <w:rPr/>
      </w:pPr>
      <w:r>
        <w:rPr/>
        <w:t>Check postprocessing, refinement, deterministic restatement, question coarsening, and finite label lower bound.</w:t>
      </w:r>
    </w:p>
    <w:p>
      <w:pPr>
        <w:pStyle w:val="BodyText"/>
        <w:numPr>
          <w:ilvl w:val="0"/>
          <w:numId w:val="18"/>
        </w:numPr>
        <w:spacing w:before="0" w:after="0"/>
        <w:rPr/>
      </w:pPr>
      <w:r>
        <w:rPr/>
        <w:t>Pass: exact inclusion/intersection laws and finite hypotheses hold.</w:t>
      </w:r>
    </w:p>
    <w:p>
      <w:pPr>
        <w:pStyle w:val="BodyText"/>
        <w:numPr>
          <w:ilvl w:val="0"/>
          <w:numId w:val="18"/>
        </w:numPr>
        <w:spacing w:before="0" w:after="0"/>
        <w:rPr/>
      </w:pPr>
      <w:r>
        <w:rPr/>
        <w:t>Fail: postprocessing repairs collisions, copied trace counts as side evidence, or conflict-pair count becomes bit cost.</w:t>
      </w:r>
    </w:p>
    <w:p>
      <w:pPr>
        <w:pStyle w:val="Heading2"/>
        <w:keepNext/>
        <w:keepLines/>
        <w:rPr/>
      </w:pPr>
      <w:bookmarkStart w:id="72" w:name="t58-endpointroutefilled-bigon-separation"/>
      <w:r>
        <w:rPr/>
        <w:t>T58 — Endpoint/route/filled-bigon separation</w:t>
      </w:r>
      <w:bookmarkEnd w:id="72"/>
    </w:p>
    <w:p>
      <w:pPr>
        <w:pStyle w:val="BodyText"/>
        <w:keepNext/>
        <w:keepLines/>
        <w:numPr>
          <w:ilvl w:val="0"/>
          <w:numId w:val="19"/>
        </w:numPr>
        <w:spacing w:before="0" w:after="0"/>
        <w:rPr/>
      </w:pPr>
      <w:r>
        <w:rPr/>
        <w:t>Compare the two labeled GOLD arcs, signed second-level area, and hollow/filled bigon.</w:t>
      </w:r>
    </w:p>
    <w:p>
      <w:pPr>
        <w:pStyle w:val="BodyText"/>
        <w:numPr>
          <w:ilvl w:val="0"/>
          <w:numId w:val="19"/>
        </w:numPr>
        <w:spacing w:before="0" w:after="0"/>
        <w:rPr/>
      </w:pPr>
      <w:r>
        <w:rPr/>
        <w:t>Pass: endpoints do not recover route; filling does not identify the supplied boundary paths; retained history requires a separately bound receipt.</w:t>
      </w:r>
    </w:p>
    <w:p>
      <w:pPr>
        <w:pStyle w:val="BodyText"/>
        <w:numPr>
          <w:ilvl w:val="0"/>
          <w:numId w:val="19"/>
        </w:numPr>
        <w:spacing w:before="0" w:after="0"/>
        <w:rPr/>
      </w:pPr>
      <w:r>
        <w:rPr/>
        <w:t>Fail: endpoint=path, H₁=0 silently erases or creates receipt state, or a bare label counts as a PAL receipt.</w:t>
      </w:r>
    </w:p>
    <w:p>
      <w:pPr>
        <w:pStyle w:val="Heading2"/>
        <w:keepNext/>
        <w:keepLines/>
        <w:rPr/>
      </w:pPr>
      <w:bookmarkStart w:id="73" w:name="t59-relation-preservation-source-identit"/>
      <w:r>
        <w:rPr/>
        <w:t>T59 — Relation preservation, source identity, and domain scope</w:t>
      </w:r>
      <w:bookmarkEnd w:id="73"/>
    </w:p>
    <w:p>
      <w:pPr>
        <w:pStyle w:val="BodyText"/>
        <w:keepNext/>
        <w:keepLines/>
        <w:numPr>
          <w:ilvl w:val="0"/>
          <w:numId w:val="20"/>
        </w:numPr>
        <w:spacing w:before="0" w:after="0"/>
        <w:rPr/>
      </w:pPr>
      <w:r>
        <w:rPr/>
        <w:t>Exercise cube-graph→wheel and then change the source to the solid cube.</w:t>
      </w:r>
    </w:p>
    <w:p>
      <w:pPr>
        <w:pStyle w:val="BodyText"/>
        <w:numPr>
          <w:ilvl w:val="0"/>
          <w:numId w:val="20"/>
        </w:numPr>
        <w:spacing w:before="0" w:after="0"/>
        <w:rPr/>
      </w:pPr>
      <w:r>
        <w:rPr/>
        <w:t>Pass: all graph edges survive while the two hub vertices collide; one bit is restricted to the discrete fiber.</w:t>
      </w:r>
    </w:p>
    <w:p>
      <w:pPr>
        <w:pStyle w:val="BodyText"/>
        <w:numPr>
          <w:ilvl w:val="0"/>
          <w:numId w:val="20"/>
        </w:numPr>
        <w:spacing w:before="0" w:after="0"/>
        <w:rPr/>
      </w:pPr>
      <w:r>
        <w:rPr/>
        <w:t>Fail: relation preservation implies source identity or the bit result transfers to continuum fibers.</w:t>
      </w:r>
    </w:p>
    <w:p>
      <w:pPr>
        <w:pStyle w:val="Heading2"/>
        <w:keepNext/>
        <w:keepLines/>
        <w:rPr/>
      </w:pPr>
      <w:bookmarkStart w:id="74" w:name="t60-action-bit-trace-lift-and-storage"/>
      <w:r>
        <w:rPr/>
        <w:t>T60 — Action-bit trace lift and storage</w:t>
      </w:r>
      <w:bookmarkEnd w:id="74"/>
    </w:p>
    <w:p>
      <w:pPr>
        <w:pStyle w:val="BodyText"/>
        <w:keepNext/>
        <w:keepLines/>
        <w:numPr>
          <w:ilvl w:val="0"/>
          <w:numId w:val="21"/>
        </w:numPr>
        <w:spacing w:before="0" w:after="0"/>
        <w:rPr/>
      </w:pPr>
      <w:r>
        <w:rPr/>
        <w:t>Verify noninjective update, injective lift, explicit inverse, schedule reversal, and A2 retention.</w:t>
      </w:r>
    </w:p>
    <w:p>
      <w:pPr>
        <w:pStyle w:val="BodyText"/>
        <w:numPr>
          <w:ilvl w:val="0"/>
          <w:numId w:val="21"/>
        </w:numPr>
        <w:spacing w:before="0" w:after="0"/>
        <w:rPr/>
      </w:pPr>
      <w:r>
        <w:rPr/>
        <w:t>Pass: stored action trace reconstructs prior states under the known schedule.</w:t>
      </w:r>
    </w:p>
    <w:p>
      <w:pPr>
        <w:pStyle w:val="BodyText"/>
        <w:numPr>
          <w:ilvl w:val="0"/>
          <w:numId w:val="21"/>
        </w:numPr>
        <w:spacing w:before="0" w:after="0"/>
        <w:rPr/>
      </w:pPr>
      <w:r>
        <w:rPr/>
        <w:t>Fail: transient bit, unthawable digest, or local bit becomes A2/global optimality.</w:t>
      </w:r>
    </w:p>
    <w:p>
      <w:pPr>
        <w:pStyle w:val="Heading2"/>
        <w:keepNext/>
        <w:keepLines/>
        <w:rPr/>
      </w:pPr>
      <w:bookmarkStart w:id="75" w:name="t61-complete-pair-schedule-invariant-and"/>
      <w:r>
        <w:rPr/>
        <w:t>T61 — Complete-pair schedule, invariant, and log ceiling</w:t>
      </w:r>
      <w:bookmarkEnd w:id="75"/>
    </w:p>
    <w:p>
      <w:pPr>
        <w:pStyle w:val="BodyText"/>
        <w:keepNext/>
        <w:keepLines/>
        <w:numPr>
          <w:ilvl w:val="0"/>
          <w:numId w:val="22"/>
        </w:numPr>
        <w:spacing w:before="0" w:after="0"/>
        <w:rPr/>
      </w:pPr>
      <w:r>
        <w:rPr/>
        <w:t>Verify finite V² decomposition, edge boundary, Fung pass invariant, counts, and reverse reconstruction.</w:t>
      </w:r>
    </w:p>
    <w:p>
      <w:pPr>
        <w:pStyle w:val="BodyText"/>
        <w:numPr>
          <w:ilvl w:val="0"/>
          <w:numId w:val="22"/>
        </w:numPr>
        <w:spacing w:before="0" w:after="0"/>
        <w:rPr/>
      </w:pPr>
      <w:r>
        <w:rPr/>
        <w:t>Pass: maximality is roster-relative; n² bits are sufficient but not globally minimal.</w:t>
      </w:r>
    </w:p>
    <w:p>
      <w:pPr>
        <w:pStyle w:val="BodyText"/>
        <w:numPr>
          <w:ilvl w:val="0"/>
          <w:numId w:val="22"/>
        </w:numPr>
        <w:spacing w:before="0" w:after="0"/>
        <w:rPr/>
      </w:pPr>
      <w:r>
        <w:rPr/>
        <w:t>Fail: infinite terminating sweep, practical superiority, schedule independence, or inflated lower bound.</w:t>
      </w:r>
    </w:p>
    <w:p>
      <w:pPr>
        <w:pStyle w:val="Heading2"/>
        <w:keepNext/>
        <w:keepLines/>
        <w:rPr/>
      </w:pPr>
      <w:bookmarkStart w:id="76" w:name="t62-exact-return-projected-stutter-hidde"/>
      <w:r>
        <w:rPr/>
        <w:t>T62 — Exact return, projected stutter, hidden motion, and exported residual</w:t>
      </w:r>
      <w:bookmarkEnd w:id="76"/>
    </w:p>
    <w:p>
      <w:pPr>
        <w:pStyle w:val="BodyText"/>
        <w:keepNext/>
        <w:keepLines/>
        <w:numPr>
          <w:ilvl w:val="0"/>
          <w:numId w:val="23"/>
        </w:numPr>
        <w:spacing w:before="0" w:after="0"/>
        <w:rPr/>
      </w:pPr>
      <w:r>
        <w:rPr/>
        <w:t>Classify exact fixed point, work stutter, hidden motion, direct residual, collapse, periodic return, and export.</w:t>
      </w:r>
    </w:p>
    <w:p>
      <w:pPr>
        <w:pStyle w:val="BodyText"/>
        <w:numPr>
          <w:ilvl w:val="0"/>
          <w:numId w:val="23"/>
        </w:numPr>
        <w:spacing w:before="0" w:after="0"/>
        <w:rPr/>
      </w:pPr>
      <w:r>
        <w:rPr/>
        <w:t>Pass: work identity can coexist with audit change.</w:t>
      </w:r>
    </w:p>
    <w:p>
      <w:pPr>
        <w:pStyle w:val="BodyText"/>
        <w:numPr>
          <w:ilvl w:val="0"/>
          <w:numId w:val="23"/>
        </w:numPr>
        <w:spacing w:before="0" w:after="0"/>
        <w:rPr/>
      </w:pPr>
      <w:r>
        <w:rPr/>
        <w:t>Fail: projected equality becomes total identity or zero direct residual erases export.</w:t>
      </w:r>
    </w:p>
    <w:p>
      <w:pPr>
        <w:pStyle w:val="Heading2"/>
        <w:keepNext/>
        <w:keepLines/>
        <w:rPr/>
      </w:pPr>
      <w:bookmarkStart w:id="77" w:name="t63-exact-capsule-freezethaw"/>
      <w:r>
        <w:rPr/>
        <w:t>T63 — Exact capsule freeze/thaw</w:t>
      </w:r>
      <w:bookmarkEnd w:id="77"/>
    </w:p>
    <w:p>
      <w:pPr>
        <w:pStyle w:val="BodyText"/>
        <w:keepNext/>
        <w:keepLines/>
        <w:numPr>
          <w:ilvl w:val="0"/>
          <w:numId w:val="24"/>
        </w:numPr>
        <w:spacing w:before="0" w:after="0"/>
        <w:rPr/>
      </w:pPr>
      <w:r>
        <w:rPr/>
        <w:t>Check r∘f=id on the declared work state and revalidate every bound non-work coordinate.</w:t>
      </w:r>
    </w:p>
    <w:p>
      <w:pPr>
        <w:pStyle w:val="BodyText"/>
        <w:numPr>
          <w:ilvl w:val="0"/>
          <w:numId w:val="24"/>
        </w:numPr>
        <w:spacing w:before="0" w:after="0"/>
        <w:rPr/>
      </w:pPr>
      <w:r>
        <w:rPr/>
        <w:t>Pass: thaw reconstructs exact declared work state; grant, resource, authority, audit, and trace coordinates remain distinct and may narrow, consume, expire, or gain new entries.</w:t>
      </w:r>
    </w:p>
    <w:p>
      <w:pPr>
        <w:pStyle w:val="BodyText"/>
        <w:numPr>
          <w:ilvl w:val="0"/>
          <w:numId w:val="24"/>
        </w:numPr>
        <w:spacing w:before="0" w:after="0"/>
        <w:rPr/>
      </w:pPr>
      <w:r>
        <w:rPr/>
        <w:t>Fail: hash-only storage, missing cursor, formula-only invariant, or incomplete identity set.</w:t>
      </w:r>
    </w:p>
    <w:p>
      <w:pPr>
        <w:pStyle w:val="Heading2"/>
        <w:keepNext/>
        <w:keepLines/>
        <w:rPr/>
      </w:pPr>
      <w:bookmarkStart w:id="78" w:name="t64-one-token-re-entry-and-transport-bre"/>
      <w:r>
        <w:rPr/>
        <w:t>T64 — One-token re-entry and transport break</w:t>
      </w:r>
      <w:bookmarkEnd w:id="78"/>
    </w:p>
    <w:p>
      <w:pPr>
        <w:pStyle w:val="BodyText"/>
        <w:keepNext/>
        <w:keepLines/>
        <w:numPr>
          <w:ilvl w:val="0"/>
          <w:numId w:val="25"/>
        </w:numPr>
        <w:spacing w:before="0" w:after="0"/>
        <w:rPr/>
      </w:pPr>
      <w:r>
        <w:rPr/>
        <w:t>Compare uninterrupted/resumed deterministic suffixes on work state; inject material changes; test A12 token conservation and non-work revalidation.</w:t>
      </w:r>
    </w:p>
    <w:p>
      <w:pPr>
        <w:pStyle w:val="BodyText"/>
        <w:numPr>
          <w:ilvl w:val="0"/>
          <w:numId w:val="25"/>
        </w:numPr>
        <w:spacing w:before="0" w:after="0"/>
        <w:rPr/>
      </w:pPr>
      <w:r>
        <w:rPr/>
        <w:t>Pass: terminal work state agrees under exact conditions; puncture rejects continuity and routes to A15 with history.</w:t>
      </w:r>
    </w:p>
    <w:p>
      <w:pPr>
        <w:pStyle w:val="BodyText"/>
        <w:numPr>
          <w:ilvl w:val="0"/>
          <w:numId w:val="25"/>
        </w:numPr>
        <w:spacing w:before="0" w:after="0"/>
        <w:rPr/>
      </w:pPr>
      <w:r>
        <w:rPr/>
        <w:t>Fail: duplicate authority, stale replay, unvalidated continuation, authority expansion, or fifth status.</w:t>
      </w:r>
    </w:p>
    <w:p>
      <w:pPr>
        <w:pStyle w:val="Heading2"/>
        <w:keepNext/>
        <w:keepLines/>
        <w:rPr/>
      </w:pPr>
      <w:bookmarkStart w:id="79" w:name="t65-stutter-refined-cadence-and-heartbea"/>
      <w:r>
        <w:rPr/>
        <w:t>T65 — Stutter-refined cadence and heartbeat nonprogress</w:t>
      </w:r>
      <w:bookmarkEnd w:id="79"/>
    </w:p>
    <w:p>
      <w:pPr>
        <w:pStyle w:val="BodyText"/>
        <w:keepNext/>
        <w:keepLines/>
        <w:numPr>
          <w:ilvl w:val="0"/>
          <w:numId w:val="26"/>
        </w:numPr>
        <w:spacing w:before="0" w:after="0"/>
        <w:rPr/>
      </w:pPr>
      <w:r>
        <w:rPr/>
        <w:t>Check →₀, →₁, macrosteps, and existing rank/fairness evidence.</w:t>
      </w:r>
    </w:p>
    <w:p>
      <w:pPr>
        <w:pStyle w:val="BodyText"/>
        <w:numPr>
          <w:ilvl w:val="0"/>
          <w:numId w:val="26"/>
        </w:numPr>
        <w:spacing w:before="0" w:after="0"/>
        <w:rPr/>
      </w:pPr>
      <w:r>
        <w:rPr/>
        <w:t>Pass: administrative steps can surround productive progress without becoming progress; sparse checks do not exclude unseen mutation.</w:t>
      </w:r>
    </w:p>
    <w:p>
      <w:pPr>
        <w:pStyle w:val="BodyText"/>
        <w:numPr>
          <w:ilvl w:val="0"/>
          <w:numId w:val="26"/>
        </w:numPr>
        <w:spacing w:before="0" w:after="0"/>
        <w:rPr/>
      </w:pPr>
      <w:r>
        <w:rPr/>
        <w:t>Fail: receipt count, elapsed time, wakeups, quiescence, or stagnation becomes success/cadence.</w:t>
      </w:r>
    </w:p>
    <w:p>
      <w:pPr>
        <w:pStyle w:val="Heading2"/>
        <w:keepNext/>
        <w:keepLines/>
        <w:rPr/>
      </w:pPr>
      <w:bookmarkStart w:id="80" w:name="t66-heartbeat-namespace-and-resetcadence"/>
      <w:r>
        <w:rPr/>
        <w:t>T66 — Heartbeat namespace and reset/cadence distinction</w:t>
      </w:r>
      <w:bookmarkEnd w:id="80"/>
    </w:p>
    <w:p>
      <w:pPr>
        <w:pStyle w:val="BodyText"/>
        <w:keepNext/>
        <w:keepLines/>
        <w:numPr>
          <w:ilvl w:val="0"/>
          <w:numId w:val="27"/>
        </w:numPr>
        <w:spacing w:before="0" w:after="0"/>
        <w:rPr/>
      </w:pPr>
      <w:r>
        <w:rPr/>
        <w:t>Compare controller suspension, exogenous pulse alignment, and failure-detector terminology.</w:t>
      </w:r>
    </w:p>
    <w:p>
      <w:pPr>
        <w:pStyle w:val="BodyText"/>
        <w:numPr>
          <w:ilvl w:val="0"/>
          <w:numId w:val="27"/>
        </w:numPr>
        <w:spacing w:before="0" w:after="0"/>
        <w:rPr/>
      </w:pPr>
      <w:r>
        <w:rPr/>
        <w:t>Pass: subject, clock/scheduler, projection, and ceiling remain separate; a controller observation proves only its declared check.</w:t>
      </w:r>
    </w:p>
    <w:p>
      <w:pPr>
        <w:pStyle w:val="BodyText"/>
        <w:numPr>
          <w:ilvl w:val="0"/>
          <w:numId w:val="27"/>
        </w:numPr>
        <w:spacing w:before="0" w:after="0"/>
        <w:rPr/>
      </w:pPr>
      <w:r>
        <w:rPr/>
        <w:t>Fail: shared name identifies mechanisms or monitor responsiveness proves worker progress/success.</w:t>
      </w:r>
    </w:p>
    <w:p>
      <w:pPr>
        <w:pStyle w:val="Heading2"/>
        <w:keepNext/>
        <w:keepLines/>
        <w:rPr/>
      </w:pPr>
      <w:bookmarkStart w:id="81" w:name="t67-budget-slack-consumption-and-grant-e"/>
      <w:r>
        <w:rPr/>
        <w:t>T67 — Budget slack consumption and grant epochs</w:t>
      </w:r>
      <w:bookmarkEnd w:id="81"/>
    </w:p>
    <w:p>
      <w:pPr>
        <w:pStyle w:val="BodyText"/>
        <w:keepNext/>
        <w:keepLines/>
        <w:numPr>
          <w:ilvl w:val="0"/>
          <w:numId w:val="28"/>
        </w:numPr>
        <w:spacing w:before="0" w:after="0"/>
        <w:rPr/>
      </w:pPr>
      <w:r>
        <w:rPr/>
        <w:t>Check B, cₖ, sₖ, stuttering resource use, and a receipted top-up.</w:t>
      </w:r>
    </w:p>
    <w:p>
      <w:pPr>
        <w:pStyle w:val="BodyText"/>
        <w:numPr>
          <w:ilvl w:val="0"/>
          <w:numId w:val="28"/>
        </w:numPr>
        <w:spacing w:before="0" w:after="0"/>
        <w:rPr/>
      </w:pPr>
      <w:r>
        <w:rPr/>
        <w:t>Pass: slack is nonincreasing within an epoch; top-up starts a linked epoch.</w:t>
      </w:r>
    </w:p>
    <w:p>
      <w:pPr>
        <w:pStyle w:val="BodyText"/>
        <w:numPr>
          <w:ilvl w:val="0"/>
          <w:numId w:val="28"/>
        </w:numPr>
        <w:spacing w:before="0" w:after="0"/>
        <w:rPr/>
      </w:pPr>
      <w:r>
        <w:rPr/>
        <w:t>Fail: resume resets consumption or recoverability renews authority.</w:t>
      </w:r>
    </w:p>
    <w:p>
      <w:pPr>
        <w:pStyle w:val="Heading2"/>
        <w:keepNext/>
        <w:keepLines/>
        <w:rPr/>
      </w:pPr>
      <w:bookmarkStart w:id="82" w:name="t68-gold-lens-and-scale-scope"/>
      <w:r>
        <w:rPr/>
        <w:t>T68 — GOLD lens and scale scope</w:t>
      </w:r>
      <w:bookmarkEnd w:id="82"/>
    </w:p>
    <w:p>
      <w:pPr>
        <w:pStyle w:val="BodyText"/>
        <w:keepNext/>
        <w:keepLines/>
        <w:numPr>
          <w:ilvl w:val="0"/>
          <w:numId w:val="29"/>
        </w:numPr>
        <w:spacing w:before="0" w:after="0"/>
        <w:rPr/>
      </w:pPr>
      <w:r>
        <w:rPr/>
        <w:t>Verify triangular-lattice definitions, formulas, center/tip roles, and lattice emptiness.</w:t>
      </w:r>
    </w:p>
    <w:p>
      <w:pPr>
        <w:pStyle w:val="BodyText"/>
        <w:numPr>
          <w:ilvl w:val="0"/>
          <w:numId w:val="29"/>
        </w:numPr>
        <w:spacing w:before="0" w:after="0"/>
        <w:rPr/>
      </w:pPr>
      <w:r>
        <w:rPr/>
        <w:t>Pass: exact formulas hold; only intermediate lattice vertices are absent.</w:t>
      </w:r>
    </w:p>
    <w:p>
      <w:pPr>
        <w:pStyle w:val="BodyText"/>
        <w:numPr>
          <w:ilvl w:val="0"/>
          <w:numId w:val="29"/>
        </w:numPr>
        <w:spacing w:before="0" w:after="0"/>
        <w:rPr/>
      </w:pPr>
      <w:r>
        <w:rPr/>
        <w:t>Fail: empty continuum/physical void, swapped lens definitions, least polygonal enclosure, or universal scale.</w:t>
      </w:r>
    </w:p>
    <w:p>
      <w:pPr>
        <w:pStyle w:val="Heading2"/>
        <w:keepNext/>
        <w:keepLines/>
        <w:rPr/>
      </w:pPr>
      <w:bookmarkStart w:id="83" w:name="t69-gold-commoncomparison-and-phase-resi"/>
      <w:r>
        <w:rPr/>
        <w:t>T69 — GOLD common/comparison and phase residual</w:t>
      </w:r>
      <w:bookmarkEnd w:id="83"/>
    </w:p>
    <w:p>
      <w:pPr>
        <w:pStyle w:val="BodyText"/>
        <w:keepNext/>
        <w:keepLines/>
        <w:numPr>
          <w:ilvl w:val="0"/>
          <w:numId w:val="30"/>
        </w:numPr>
        <w:spacing w:before="0" w:after="0"/>
        <w:rPr/>
      </w:pPr>
      <w:r>
        <w:rPr/>
        <w:t>Verify the 1+5 split, 2+2+1 modes, projectors, spectrum, and sector-residual reconstruction.</w:t>
      </w:r>
    </w:p>
    <w:p>
      <w:pPr>
        <w:pStyle w:val="BodyText"/>
        <w:numPr>
          <w:ilvl w:val="0"/>
          <w:numId w:val="30"/>
        </w:numPr>
        <w:spacing w:before="0" w:after="0"/>
        <w:rPr/>
      </w:pPr>
      <w:r>
        <w:rPr/>
        <w:t>Pass: pair reconstructs phase; persistence remains interpretation.</w:t>
      </w:r>
    </w:p>
    <w:p>
      <w:pPr>
        <w:pStyle w:val="BodyText"/>
        <w:numPr>
          <w:ilvl w:val="0"/>
          <w:numId w:val="30"/>
        </w:numPr>
        <w:spacing w:before="0" w:after="0"/>
        <w:rPr/>
      </w:pPr>
      <w:r>
        <w:rPr/>
        <w:t>Fail: sector alone is lossless, common mode proves identity/consciousness, or golden angle becomes θ/optimum.</w:t>
      </w:r>
    </w:p>
    <w:p>
      <w:pPr>
        <w:pStyle w:val="Heading2"/>
        <w:keepNext/>
        <w:keepLines/>
        <w:rPr/>
      </w:pPr>
      <w:bookmarkStart w:id="84" w:name="t70-euler-globalboundary-corrected-ledge"/>
      <w:r>
        <w:rPr/>
        <w:t>T70 — Euler global/boundary-corrected ledger</w:t>
      </w:r>
      <w:bookmarkEnd w:id="84"/>
    </w:p>
    <w:p>
      <w:pPr>
        <w:pStyle w:val="BodyText"/>
        <w:keepNext/>
        <w:keepLines/>
        <w:numPr>
          <w:ilvl w:val="0"/>
          <w:numId w:val="31"/>
        </w:numPr>
        <w:spacing w:before="0" w:after="0"/>
        <w:rPr/>
      </w:pPr>
      <w:r>
        <w:rPr/>
        <w:t>Test closed triangulations and finite patches.</w:t>
      </w:r>
    </w:p>
    <w:p>
      <w:pPr>
        <w:pStyle w:val="BodyText"/>
        <w:numPr>
          <w:ilvl w:val="0"/>
          <w:numId w:val="31"/>
        </w:numPr>
        <w:spacing w:before="0" w:after="0"/>
        <w:rPr/>
      </w:pPr>
      <w:r>
        <w:rPr/>
        <w:t>Pass: use Σ(6−deg v)=6χ only when closed; use interior 6 and boundary 4 coefficients for patches.</w:t>
      </w:r>
    </w:p>
    <w:p>
      <w:pPr>
        <w:pStyle w:val="BodyText"/>
        <w:numPr>
          <w:ilvl w:val="0"/>
          <w:numId w:val="31"/>
        </w:numPr>
        <w:spacing w:before="0" w:after="0"/>
        <w:rPr/>
      </w:pPr>
      <w:r>
        <w:rPr/>
        <w:t>Fail: closed formula on a patch, contribution=fiber theorem, or topology without boundary accounting.</w:t>
      </w:r>
    </w:p>
    <w:p>
      <w:pPr>
        <w:pStyle w:val="Heading2"/>
        <w:keepNext/>
        <w:keepLines/>
        <w:rPr/>
      </w:pPr>
      <w:bookmarkStart w:id="85" w:name="t71-compactification-costs-typed-profile"/>
      <w:r>
        <w:rPr/>
        <w:t>T71 — Compactification Costs typed-profile separation</w:t>
      </w:r>
      <w:bookmarkEnd w:id="85"/>
    </w:p>
    <w:p>
      <w:pPr>
        <w:pStyle w:val="BodyText"/>
        <w:keepNext/>
        <w:keepLines/>
        <w:numPr>
          <w:ilvl w:val="0"/>
          <w:numId w:val="32"/>
        </w:numPr>
        <w:spacing w:before="0" w:after="0"/>
        <w:rPr/>
      </w:pPr>
      <w:r>
        <w:rPr/>
        <w:t>Exercise obstruction, contribution, identification loss, structural/visible ambiguity, and zero profile separately.</w:t>
      </w:r>
    </w:p>
    <w:p>
      <w:pPr>
        <w:pStyle w:val="BodyText"/>
        <w:numPr>
          <w:ilvl w:val="0"/>
          <w:numId w:val="32"/>
        </w:numPr>
        <w:spacing w:before="0" w:after="0"/>
        <w:rPr/>
      </w:pPr>
      <w:r>
        <w:rPr/>
        <w:t>Pass: ⊥≠0; existence, recoverability, contribution, and ambiguity remain typed.</w:t>
      </w:r>
    </w:p>
    <w:p>
      <w:pPr>
        <w:pStyle w:val="BodyText"/>
        <w:numPr>
          <w:ilvl w:val="0"/>
          <w:numId w:val="32"/>
        </w:numPr>
        <w:spacing w:before="0" w:after="0"/>
        <w:rPr/>
      </w:pPr>
      <w:r>
        <w:rPr/>
        <w:t>Fail: scalarization, omitted detector=zero, decoder=existence, or topological closure=A15.</w:t>
      </w:r>
    </w:p>
    <w:p>
      <w:pPr>
        <w:pStyle w:val="Heading2"/>
        <w:keepNext/>
        <w:keepLines/>
        <w:rPr/>
      </w:pPr>
      <w:bookmarkStart w:id="86" w:name="t72-gppr-branch-and-encoding-ceiling"/>
      <w:r>
        <w:rPr/>
        <w:t>T72 — GPPR branch and encoding ceiling</w:t>
      </w:r>
      <w:bookmarkEnd w:id="86"/>
    </w:p>
    <w:p>
      <w:pPr>
        <w:pStyle w:val="BodyText"/>
        <w:keepNext/>
        <w:keepLines/>
        <w:numPr>
          <w:ilvl w:val="0"/>
          <w:numId w:val="33"/>
        </w:numPr>
        <w:spacing w:before="0" w:after="0"/>
        <w:rPr/>
      </w:pPr>
      <w:r>
        <w:rPr/>
        <w:t>Inspect exact prime-valuation code, orientation, canonical/event ribbons, decoder claims, and PAL routing.</w:t>
      </w:r>
    </w:p>
    <w:p>
      <w:pPr>
        <w:pStyle w:val="BodyText"/>
        <w:numPr>
          <w:ilvl w:val="0"/>
          <w:numId w:val="33"/>
        </w:numPr>
        <w:spacing w:before="0" w:after="0"/>
        <w:rPr/>
      </w:pPr>
      <w:r>
        <w:rPr/>
        <w:t>Pass: exact monoid code and endpoint/history distinction remain O22 branch material.</w:t>
      </w:r>
    </w:p>
    <w:p>
      <w:pPr>
        <w:pStyle w:val="BodyText"/>
        <w:numPr>
          <w:ilvl w:val="0"/>
          <w:numId w:val="33"/>
        </w:numPr>
        <w:spacing w:before="0" w:after="0"/>
        <w:rPr/>
      </w:pPr>
      <w:r>
        <w:rPr/>
        <w:t>Fail: finite-bit losslessness, factoring speedup, efficient approximate inverse, secrecy, measured advantage, endpoint=history, or primitive promotion.</w:t>
      </w:r>
    </w:p>
    <w:p>
      <w:pPr>
        <w:pStyle w:val="Heading1"/>
        <w:keepNext/>
        <w:keepLines/>
        <w:rPr/>
      </w:pPr>
      <w:bookmarkStart w:id="87" w:name="executable-and-semantic-binding-register"/>
      <w:r>
        <w:rPr/>
        <w:t>9. Executable and semantic binding register</w:t>
      </w:r>
      <w:bookmarkEnd w:id="87"/>
    </w:p>
    <w:p>
      <w:pPr>
        <w:pStyle w:val="Heading2"/>
        <w:keepNext/>
        <w:keepLines/>
        <w:rPr/>
      </w:pPr>
      <w:bookmarkStart w:id="88" w:name="binding-rule"/>
      <w:r>
        <w:rPr/>
        <w:t>9.1 Binding rule</w:t>
      </w:r>
      <w:bookmarkEnd w:id="88"/>
    </w:p>
    <w:p>
      <w:pPr>
        <w:pStyle w:val="Normal"/>
        <w:keepNext/>
        <w:keepLines/>
        <w:rPr/>
      </w:pPr>
      <w:r>
        <w:rPr/>
        <w:t>Each test has two independently auditable fixture channels:</w:t>
      </w:r>
    </w:p>
    <w:p>
      <w:pPr>
        <w:pStyle w:val="BodyText"/>
        <w:numPr>
          <w:ilvl w:val="0"/>
          <w:numId w:val="34"/>
        </w:numPr>
        <w:spacing w:before="0" w:after="0"/>
        <w:rPr/>
      </w:pPr>
      <w:r>
        <w:rPr/>
        <w:t xml:space="preserve">the </w:t>
      </w:r>
      <w:r>
        <w:rPr>
          <w:b/>
          <w:bCs/>
        </w:rPr>
        <w:t>executable channel</w:t>
      </w:r>
      <w:r>
        <w:rPr/>
        <w:t xml:space="preserve"> performs deterministic parsing, enumeration, symbolic or exact-arithmetic checks, mutation tests, archive/PDF checks, or other recorded machine procedures; and</w:t>
      </w:r>
    </w:p>
    <w:p>
      <w:pPr>
        <w:pStyle w:val="BodyText"/>
        <w:numPr>
          <w:ilvl w:val="0"/>
          <w:numId w:val="34"/>
        </w:numPr>
        <w:spacing w:before="0" w:after="0"/>
        <w:rPr/>
      </w:pPr>
      <w:r>
        <w:rPr/>
        <w:t xml:space="preserve">the </w:t>
      </w:r>
      <w:r>
        <w:rPr>
          <w:b/>
          <w:bCs/>
        </w:rPr>
        <w:t>semantic channel</w:t>
      </w:r>
      <w:r>
        <w:rPr/>
        <w:t xml:space="preserve"> uses a named reviewer and a frozen review protocol to assess identity, implication, scope, source role, interpretation, and authority ceilings that lexical equality alone cannot decide.</w:t>
      </w:r>
    </w:p>
    <w:p>
      <w:pPr>
        <w:pStyle w:val="Normal"/>
        <w:rPr/>
      </w:pPr>
      <w:r>
        <w:rPr/>
        <w:t>MACHINE, SEMANTIC, HYBRID, and RENDER below classify execution work; they are not claim statuses. A HYBRID test passes only when all applicable channels are conformant. Every listed negative mutation must be rejected. Fixture labels are stable evidence locators, not additional T-addresses.</w:t>
      </w:r>
    </w:p>
    <w:p>
      <w:pPr>
        <w:pStyle w:val="Heading2"/>
        <w:keepNext/>
        <w:keepLines/>
        <w:rPr/>
      </w:pPr>
      <w:bookmarkStart w:id="89" w:name="t01t48-channel-bindings"/>
      <w:r>
        <w:rPr/>
        <w:t>9.2 T01–T48 channel bindings</w:t>
      </w:r>
      <w:bookmarkEnd w:id="89"/>
    </w:p>
    <w:p>
      <w:pPr>
        <w:pStyle w:val="Normal"/>
        <w:keepNext/>
        <w:keepLines/>
        <w:rPr/>
      </w:pPr>
      <w:r>
        <w:rPr/>
        <w:t>The exact procedures and fixtures remain those in §§4–5, modified only by the v2.3 targets in §7. The following register fixes the evidence channels for their v2.3 reruns.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Address</w:t>
            </w:r>
          </w:p>
        </w:tc>
        <w:tc>
          <w:tcPr>
            <w:tcW w:w="4680" w:type="dxa"/>
            <w:tcBorders/>
            <w:vAlign w:val="top"/>
            <w:shd w:fill="DCE6F1"/>
          </w:tcPr>
          <w:p>
            <w:pPr>
              <w:pStyle w:val="Normal"/>
              <w:spacing w:before="0" w:after="40" w:line="240" w:lineRule="auto"/>
              <w:rPr>
                <w:b/>
                <w:bCs/>
              </w:rPr>
            </w:pPr>
            <w:r>
              <w:rPr>
                <w:b/>
                <w:bCs/>
                <w:color w:val="1F4D78"/>
                <w:sz w:val="19"/>
              </w:rPr>
              <w:t>Required v2.3 execution channels</w:t>
            </w:r>
          </w:p>
        </w:tc>
      </w:tr>
      <w:tr>
        <w:trPr/>
        <w:tc>
          <w:tcPr>
            <w:tcW w:w="4680" w:type="dxa"/>
            <w:tcBorders/>
            <w:vAlign w:val="top"/>
          </w:tcPr>
          <w:p>
            <w:pPr>
              <w:pStyle w:val="Normal"/>
              <w:widowControl/>
              <w:bidi w:val="0"/>
              <w:spacing w:lineRule="auto" w:line="240" w:before="0" w:after="40"/>
              <w:jc w:val="start"/>
              <w:rPr/>
            </w:pPr>
            <w:r>
              <w:rPr>
                <w:sz w:val="19"/>
              </w:rPr>
              <w:t>T01</w:t>
            </w:r>
          </w:p>
        </w:tc>
        <w:tc>
          <w:tcPr>
            <w:tcW w:w="4680" w:type="dxa"/>
            <w:tcBorders/>
            <w:vAlign w:val="top"/>
          </w:tcPr>
          <w:p>
            <w:pPr>
              <w:pStyle w:val="Normal"/>
              <w:widowControl/>
              <w:bidi w:val="0"/>
              <w:spacing w:lineRule="auto" w:line="240" w:before="0" w:after="40"/>
              <w:jc w:val="start"/>
              <w:rPr/>
            </w:pPr>
            <w:r>
              <w:rPr>
                <w:sz w:val="19"/>
              </w:rPr>
              <w:t>MACHINE manifest/cardinality/path audit plus SEMANTIC review that only the five named faces carry authority.</w:t>
            </w:r>
          </w:p>
        </w:tc>
      </w:tr>
      <w:tr>
        <w:trPr/>
        <w:tc>
          <w:tcPr>
            <w:tcW w:w="4680" w:type="dxa"/>
            <w:tcBorders/>
            <w:vAlign w:val="top"/>
            <w:shd w:fill="F7F9FB"/>
          </w:tcPr>
          <w:p>
            <w:pPr>
              <w:pStyle w:val="Normal"/>
              <w:widowControl/>
              <w:bidi w:val="0"/>
              <w:spacing w:lineRule="auto" w:line="240" w:before="0" w:after="40"/>
              <w:jc w:val="start"/>
              <w:rPr/>
            </w:pPr>
            <w:r>
              <w:rPr>
                <w:sz w:val="19"/>
              </w:rPr>
              <w:t>T02</w:t>
            </w:r>
          </w:p>
        </w:tc>
        <w:tc>
          <w:tcPr>
            <w:tcW w:w="4680" w:type="dxa"/>
            <w:tcBorders/>
            <w:vAlign w:val="top"/>
            <w:shd w:fill="F7F9FB"/>
          </w:tcPr>
          <w:p>
            <w:pPr>
              <w:pStyle w:val="Normal"/>
              <w:widowControl/>
              <w:bidi w:val="0"/>
              <w:spacing w:lineRule="auto" w:line="240" w:before="0" w:after="40"/>
              <w:jc w:val="start"/>
              <w:rPr/>
            </w:pPr>
            <w:r>
              <w:rPr>
                <w:sz w:val="19"/>
              </w:rPr>
              <w:t>MACHINE metadata equality, DOI/title/status/license/date and release-state lint plus SEMANTIC authorship, AI-assistance, and final-release-language review.</w:t>
            </w:r>
          </w:p>
        </w:tc>
      </w:tr>
      <w:tr>
        <w:trPr/>
        <w:tc>
          <w:tcPr>
            <w:tcW w:w="4680" w:type="dxa"/>
            <w:tcBorders/>
            <w:vAlign w:val="top"/>
          </w:tcPr>
          <w:p>
            <w:pPr>
              <w:pStyle w:val="Normal"/>
              <w:widowControl/>
              <w:bidi w:val="0"/>
              <w:spacing w:lineRule="auto" w:line="240" w:before="0" w:after="40"/>
              <w:jc w:val="start"/>
              <w:rPr/>
            </w:pPr>
            <w:r>
              <w:rPr>
                <w:sz w:val="19"/>
              </w:rPr>
              <w:t>T03–T04</w:t>
            </w:r>
          </w:p>
        </w:tc>
        <w:tc>
          <w:tcPr>
            <w:tcW w:w="4680" w:type="dxa"/>
            <w:tcBorders/>
            <w:vAlign w:val="top"/>
          </w:tcPr>
          <w:p>
            <w:pPr>
              <w:pStyle w:val="Normal"/>
              <w:widowControl/>
              <w:bidi w:val="0"/>
              <w:spacing w:lineRule="auto" w:line="240" w:before="0" w:after="40"/>
              <w:jc w:val="start"/>
              <w:rPr/>
            </w:pPr>
            <w:r>
              <w:rPr>
                <w:sz w:val="19"/>
              </w:rPr>
              <w:t>MACHINE unique-ID/status/checksum/debt-link parsing plus SEMANTIC historical-preservation, no-retrofit, and one-open-debt review; include LATE-DELTA-CHECKSUM.</w:t>
            </w:r>
          </w:p>
        </w:tc>
      </w:tr>
      <w:tr>
        <w:trPr/>
        <w:tc>
          <w:tcPr>
            <w:tcW w:w="4680" w:type="dxa"/>
            <w:tcBorders/>
            <w:vAlign w:val="top"/>
            <w:shd w:fill="F7F9FB"/>
          </w:tcPr>
          <w:p>
            <w:pPr>
              <w:pStyle w:val="Normal"/>
              <w:widowControl/>
              <w:bidi w:val="0"/>
              <w:spacing w:lineRule="auto" w:line="240" w:before="0" w:after="40"/>
              <w:jc w:val="start"/>
              <w:rPr/>
            </w:pPr>
            <w:r>
              <w:rPr>
                <w:sz w:val="19"/>
              </w:rPr>
              <w:t>T05–T11</w:t>
            </w:r>
          </w:p>
        </w:tc>
        <w:tc>
          <w:tcPr>
            <w:tcW w:w="4680" w:type="dxa"/>
            <w:tcBorders/>
            <w:vAlign w:val="top"/>
            <w:shd w:fill="F7F9FB"/>
          </w:tcPr>
          <w:p>
            <w:pPr>
              <w:pStyle w:val="Normal"/>
              <w:widowControl/>
              <w:bidi w:val="0"/>
              <w:spacing w:lineRule="auto" w:line="240" w:before="0" w:after="40"/>
              <w:jc w:val="start"/>
              <w:rPr/>
            </w:pPr>
            <w:r>
              <w:rPr>
                <w:sz w:val="19"/>
              </w:rPr>
              <w:t>HYBRID definition/dependency/order scans and model fixtures plus named primitive-floor, nonimplication, account-firstness, exact scope-firewall, and authority review.</w:t>
            </w:r>
          </w:p>
        </w:tc>
      </w:tr>
      <w:tr>
        <w:trPr/>
        <w:tc>
          <w:tcPr>
            <w:tcW w:w="4680" w:type="dxa"/>
            <w:tcBorders/>
            <w:vAlign w:val="top"/>
          </w:tcPr>
          <w:p>
            <w:pPr>
              <w:pStyle w:val="Normal"/>
              <w:widowControl/>
              <w:bidi w:val="0"/>
              <w:spacing w:lineRule="auto" w:line="240" w:before="0" w:after="40"/>
              <w:jc w:val="start"/>
              <w:rPr/>
            </w:pPr>
            <w:r>
              <w:rPr>
                <w:sz w:val="19"/>
              </w:rPr>
              <w:t>T12–T14</w:t>
            </w:r>
          </w:p>
        </w:tc>
        <w:tc>
          <w:tcPr>
            <w:tcW w:w="4680" w:type="dxa"/>
            <w:tcBorders/>
            <w:vAlign w:val="top"/>
          </w:tcPr>
          <w:p>
            <w:pPr>
              <w:pStyle w:val="Normal"/>
              <w:widowControl/>
              <w:bidi w:val="0"/>
              <w:spacing w:lineRule="auto" w:line="240" w:before="0" w:after="40"/>
              <w:jc w:val="start"/>
              <w:rPr/>
            </w:pPr>
            <w:r>
              <w:rPr>
                <w:sz w:val="19"/>
              </w:rPr>
              <w:t>HYBRID deterministic delete/swap/predecessor transformations, structural diffs, and named intelligibility/strictness review for every applicable new card, profile, composite, and RAINBOW realization.</w:t>
            </w:r>
          </w:p>
        </w:tc>
      </w:tr>
      <w:tr>
        <w:trPr/>
        <w:tc>
          <w:tcPr>
            <w:tcW w:w="4680" w:type="dxa"/>
            <w:tcBorders/>
            <w:vAlign w:val="top"/>
            <w:shd w:fill="F7F9FB"/>
          </w:tcPr>
          <w:p>
            <w:pPr>
              <w:pStyle w:val="Normal"/>
              <w:widowControl/>
              <w:bidi w:val="0"/>
              <w:spacing w:lineRule="auto" w:line="240" w:before="0" w:after="40"/>
              <w:jc w:val="start"/>
              <w:rPr/>
            </w:pPr>
            <w:r>
              <w:rPr>
                <w:sz w:val="19"/>
              </w:rPr>
              <w:t>T15–T18</w:t>
            </w:r>
          </w:p>
        </w:tc>
        <w:tc>
          <w:tcPr>
            <w:tcW w:w="4680" w:type="dxa"/>
            <w:tcBorders/>
            <w:vAlign w:val="top"/>
            <w:shd w:fill="F7F9FB"/>
          </w:tcPr>
          <w:p>
            <w:pPr>
              <w:pStyle w:val="Normal"/>
              <w:widowControl/>
              <w:bidi w:val="0"/>
              <w:spacing w:lineRule="auto" w:line="240" w:before="0" w:after="40"/>
              <w:jc w:val="start"/>
              <w:rPr/>
            </w:pPr>
            <w:r>
              <w:rPr>
                <w:sz w:val="19"/>
              </w:rPr>
              <w:t>HYBRID witness, trace, immutability, status-route, and negative-mutation fixtures plus semantic nonmanufacture, no-backflow, and residual-destination review.</w:t>
            </w:r>
          </w:p>
        </w:tc>
      </w:tr>
      <w:tr>
        <w:trPr/>
        <w:tc>
          <w:tcPr>
            <w:tcW w:w="4680" w:type="dxa"/>
            <w:tcBorders/>
            <w:vAlign w:val="top"/>
          </w:tcPr>
          <w:p>
            <w:pPr>
              <w:pStyle w:val="Normal"/>
              <w:widowControl/>
              <w:bidi w:val="0"/>
              <w:spacing w:lineRule="auto" w:line="240" w:before="0" w:after="40"/>
              <w:jc w:val="start"/>
              <w:rPr/>
            </w:pPr>
            <w:r>
              <w:rPr>
                <w:sz w:val="19"/>
              </w:rPr>
              <w:t>T19</w:t>
            </w:r>
          </w:p>
        </w:tc>
        <w:tc>
          <w:tcPr>
            <w:tcW w:w="4680" w:type="dxa"/>
            <w:tcBorders/>
            <w:vAlign w:val="top"/>
          </w:tcPr>
          <w:p>
            <w:pPr>
              <w:pStyle w:val="Normal"/>
              <w:widowControl/>
              <w:bidi w:val="0"/>
              <w:spacing w:lineRule="auto" w:line="240" w:before="0" w:after="40"/>
              <w:jc w:val="start"/>
              <w:rPr/>
            </w:pPr>
            <w:r>
              <w:rPr>
                <w:sz w:val="19"/>
              </w:rPr>
              <w:t>MACHINE branch-deletion/diff fixture plus SEMANTIC review that the spine remains defined and no branch has been absorbed.</w:t>
            </w:r>
          </w:p>
        </w:tc>
      </w:tr>
      <w:tr>
        <w:trPr/>
        <w:tc>
          <w:tcPr>
            <w:tcW w:w="4680" w:type="dxa"/>
            <w:tcBorders/>
            <w:vAlign w:val="top"/>
            <w:shd w:fill="F7F9FB"/>
          </w:tcPr>
          <w:p>
            <w:pPr>
              <w:pStyle w:val="Normal"/>
              <w:widowControl/>
              <w:bidi w:val="0"/>
              <w:spacing w:lineRule="auto" w:line="240" w:before="0" w:after="40"/>
              <w:jc w:val="start"/>
              <w:rPr/>
            </w:pPr>
            <w:r>
              <w:rPr>
                <w:sz w:val="19"/>
              </w:rPr>
              <w:t>T20–T24</w:t>
            </w:r>
          </w:p>
        </w:tc>
        <w:tc>
          <w:tcPr>
            <w:tcW w:w="4680" w:type="dxa"/>
            <w:tcBorders/>
            <w:vAlign w:val="top"/>
            <w:shd w:fill="F7F9FB"/>
          </w:tcPr>
          <w:p>
            <w:pPr>
              <w:pStyle w:val="Normal"/>
              <w:widowControl/>
              <w:bidi w:val="0"/>
              <w:spacing w:lineRule="auto" w:line="240" w:before="0" w:after="40"/>
              <w:jc w:val="start"/>
              <w:rPr/>
            </w:pPr>
            <w:r>
              <w:rPr>
                <w:sz w:val="19"/>
              </w:rPr>
              <w:t>HYBRID A11/A15 fixture execution, receipt-schema/state/invalidation parsing, finite-domain checks, and semantic anti-coercion/authority-ceiling review.</w:t>
            </w:r>
          </w:p>
        </w:tc>
      </w:tr>
      <w:tr>
        <w:trPr/>
        <w:tc>
          <w:tcPr>
            <w:tcW w:w="4680" w:type="dxa"/>
            <w:tcBorders/>
            <w:vAlign w:val="top"/>
          </w:tcPr>
          <w:p>
            <w:pPr>
              <w:pStyle w:val="Normal"/>
              <w:widowControl/>
              <w:bidi w:val="0"/>
              <w:spacing w:lineRule="auto" w:line="240" w:before="0" w:after="40"/>
              <w:jc w:val="start"/>
              <w:rPr/>
            </w:pPr>
            <w:r>
              <w:rPr>
                <w:sz w:val="19"/>
              </w:rPr>
              <w:t>T25–T26</w:t>
            </w:r>
          </w:p>
        </w:tc>
        <w:tc>
          <w:tcPr>
            <w:tcW w:w="4680" w:type="dxa"/>
            <w:tcBorders/>
            <w:vAlign w:val="top"/>
          </w:tcPr>
          <w:p>
            <w:pPr>
              <w:pStyle w:val="Normal"/>
              <w:widowControl/>
              <w:bidi w:val="0"/>
              <w:spacing w:lineRule="auto" w:line="240" w:before="0" w:after="40"/>
              <w:jc w:val="start"/>
              <w:rPr/>
            </w:pPr>
            <w:r>
              <w:rPr>
                <w:sz w:val="19"/>
              </w:rPr>
              <w:t>MACHINE compatibility/cross-reference/ID/coverage comparison plus SEMANTIC publication-succession, no-retrofit, source-role, identity, and cross-surface authority review.</w:t>
            </w:r>
          </w:p>
        </w:tc>
      </w:tr>
      <w:tr>
        <w:trPr/>
        <w:tc>
          <w:tcPr>
            <w:tcW w:w="4680" w:type="dxa"/>
            <w:tcBorders/>
            <w:vAlign w:val="top"/>
            <w:shd w:fill="F7F9FB"/>
          </w:tcPr>
          <w:p>
            <w:pPr>
              <w:pStyle w:val="Normal"/>
              <w:widowControl/>
              <w:bidi w:val="0"/>
              <w:spacing w:lineRule="auto" w:line="240" w:before="0" w:after="40"/>
              <w:jc w:val="start"/>
              <w:rPr/>
            </w:pPr>
            <w:r>
              <w:rPr>
                <w:sz w:val="19"/>
              </w:rPr>
              <w:t>T27</w:t>
            </w:r>
          </w:p>
        </w:tc>
        <w:tc>
          <w:tcPr>
            <w:tcW w:w="4680" w:type="dxa"/>
            <w:tcBorders/>
            <w:vAlign w:val="top"/>
            <w:shd w:fill="F7F9FB"/>
          </w:tcPr>
          <w:p>
            <w:pPr>
              <w:pStyle w:val="Normal"/>
              <w:widowControl/>
              <w:bidi w:val="0"/>
              <w:spacing w:lineRule="auto" w:line="240" w:before="0" w:after="40"/>
              <w:jc w:val="start"/>
              <w:rPr/>
            </w:pPr>
            <w:r>
              <w:rPr>
                <w:sz w:val="19"/>
              </w:rPr>
              <w:t>SEMANTIC named-reviewer recital from mechanical cards only; invocation of a realization to recover identity fails.</w:t>
            </w:r>
          </w:p>
        </w:tc>
      </w:tr>
      <w:tr>
        <w:trPr/>
        <w:tc>
          <w:tcPr>
            <w:tcW w:w="4680" w:type="dxa"/>
            <w:tcBorders/>
            <w:vAlign w:val="top"/>
          </w:tcPr>
          <w:p>
            <w:pPr>
              <w:pStyle w:val="Normal"/>
              <w:widowControl/>
              <w:bidi w:val="0"/>
              <w:spacing w:lineRule="auto" w:line="240" w:before="0" w:after="40"/>
              <w:jc w:val="start"/>
              <w:rPr/>
            </w:pPr>
            <w:r>
              <w:rPr>
                <w:sz w:val="19"/>
              </w:rPr>
              <w:t>T28</w:t>
            </w:r>
          </w:p>
        </w:tc>
        <w:tc>
          <w:tcPr>
            <w:tcW w:w="4680" w:type="dxa"/>
            <w:tcBorders/>
            <w:vAlign w:val="top"/>
          </w:tcPr>
          <w:p>
            <w:pPr>
              <w:pStyle w:val="Normal"/>
              <w:widowControl/>
              <w:bidi w:val="0"/>
              <w:spacing w:lineRule="auto" w:line="240" w:before="0" w:after="40"/>
              <w:jc w:val="start"/>
              <w:rPr/>
            </w:pPr>
            <w:r>
              <w:rPr>
                <w:sz w:val="19"/>
              </w:rPr>
              <w:t>MACHINE locator/version/hash resolution plus SEMANTIC classification of prior result, new synthesis, fixture, interpretation, presentation, same-author lineage, private antecedent, and authority.</w:t>
            </w:r>
          </w:p>
        </w:tc>
      </w:tr>
      <w:tr>
        <w:trPr/>
        <w:tc>
          <w:tcPr>
            <w:tcW w:w="4680" w:type="dxa"/>
            <w:tcBorders/>
            <w:vAlign w:val="top"/>
            <w:shd w:fill="F7F9FB"/>
          </w:tcPr>
          <w:p>
            <w:pPr>
              <w:pStyle w:val="Normal"/>
              <w:widowControl/>
              <w:bidi w:val="0"/>
              <w:spacing w:lineRule="auto" w:line="240" w:before="0" w:after="40"/>
              <w:jc w:val="start"/>
              <w:rPr/>
            </w:pPr>
            <w:r>
              <w:rPr>
                <w:sz w:val="19"/>
              </w:rPr>
              <w:t>T29</w:t>
            </w:r>
          </w:p>
        </w:tc>
        <w:tc>
          <w:tcPr>
            <w:tcW w:w="4680" w:type="dxa"/>
            <w:tcBorders/>
            <w:vAlign w:val="top"/>
            <w:shd w:fill="F7F9FB"/>
          </w:tcPr>
          <w:p>
            <w:pPr>
              <w:pStyle w:val="Normal"/>
              <w:widowControl/>
              <w:bidi w:val="0"/>
              <w:spacing w:lineRule="auto" w:line="240" w:before="0" w:after="40"/>
              <w:jc w:val="start"/>
              <w:rPr/>
            </w:pPr>
            <w:r>
              <w:rPr>
                <w:sz w:val="19"/>
              </w:rPr>
              <w:t>MACHINE lexical lint plus mandatory SEMANTIC review of every package-wide non-equivalence, scope-firewall ceiling, RAINBOW ceiling, and contextual exception.</w:t>
            </w:r>
          </w:p>
        </w:tc>
      </w:tr>
      <w:tr>
        <w:trPr/>
        <w:tc>
          <w:tcPr>
            <w:tcW w:w="4680" w:type="dxa"/>
            <w:tcBorders/>
            <w:vAlign w:val="top"/>
          </w:tcPr>
          <w:p>
            <w:pPr>
              <w:pStyle w:val="Normal"/>
              <w:widowControl/>
              <w:bidi w:val="0"/>
              <w:spacing w:lineRule="auto" w:line="240" w:before="0" w:after="40"/>
              <w:jc w:val="start"/>
              <w:rPr/>
            </w:pPr>
            <w:r>
              <w:rPr>
                <w:sz w:val="19"/>
              </w:rPr>
              <w:t>T30</w:t>
            </w:r>
          </w:p>
        </w:tc>
        <w:tc>
          <w:tcPr>
            <w:tcW w:w="4680" w:type="dxa"/>
            <w:tcBorders/>
            <w:vAlign w:val="top"/>
          </w:tcPr>
          <w:p>
            <w:pPr>
              <w:pStyle w:val="Normal"/>
              <w:widowControl/>
              <w:bidi w:val="0"/>
              <w:spacing w:lineRule="auto" w:line="240" w:before="0" w:after="40"/>
              <w:jc w:val="start"/>
              <w:rPr/>
            </w:pPr>
            <w:r>
              <w:rPr>
                <w:sz w:val="19"/>
              </w:rPr>
              <w:t>MACHINE+RENDER regeneration, wrapper exclusion, page/text sequence, frozen-component identity, bookmark/order, and sixth-surface authority audit.</w:t>
            </w:r>
          </w:p>
        </w:tc>
      </w:tr>
      <w:tr>
        <w:trPr/>
        <w:tc>
          <w:tcPr>
            <w:tcW w:w="4680" w:type="dxa"/>
            <w:tcBorders/>
            <w:vAlign w:val="top"/>
            <w:shd w:fill="F7F9FB"/>
          </w:tcPr>
          <w:p>
            <w:pPr>
              <w:pStyle w:val="Normal"/>
              <w:widowControl/>
              <w:bidi w:val="0"/>
              <w:spacing w:lineRule="auto" w:line="240" w:before="0" w:after="40"/>
              <w:jc w:val="start"/>
              <w:rPr/>
            </w:pPr>
            <w:r>
              <w:rPr>
                <w:sz w:val="19"/>
              </w:rPr>
              <w:t>T31–T32</w:t>
            </w:r>
          </w:p>
        </w:tc>
        <w:tc>
          <w:tcPr>
            <w:tcW w:w="4680" w:type="dxa"/>
            <w:tcBorders/>
            <w:vAlign w:val="top"/>
            <w:shd w:fill="F7F9FB"/>
          </w:tcPr>
          <w:p>
            <w:pPr>
              <w:pStyle w:val="Normal"/>
              <w:widowControl/>
              <w:bidi w:val="0"/>
              <w:spacing w:lineRule="auto" w:line="240" w:before="0" w:after="40"/>
              <w:jc w:val="start"/>
              <w:rPr/>
            </w:pPr>
            <w:r>
              <w:rPr>
                <w:sz w:val="19"/>
              </w:rPr>
              <w:t>SEMANTIC useful-room, modesty, non-totalization, nonphysical, nonontological, and non-self-validation review against exact source hashes.</w:t>
            </w:r>
          </w:p>
        </w:tc>
      </w:tr>
      <w:tr>
        <w:trPr/>
        <w:tc>
          <w:tcPr>
            <w:tcW w:w="4680" w:type="dxa"/>
            <w:tcBorders/>
            <w:vAlign w:val="top"/>
          </w:tcPr>
          <w:p>
            <w:pPr>
              <w:pStyle w:val="Normal"/>
              <w:widowControl/>
              <w:bidi w:val="0"/>
              <w:spacing w:lineRule="auto" w:line="240" w:before="0" w:after="40"/>
              <w:jc w:val="start"/>
              <w:rPr/>
            </w:pPr>
            <w:r>
              <w:rPr>
                <w:sz w:val="19"/>
              </w:rPr>
              <w:t>T33–T40</w:t>
            </w:r>
          </w:p>
        </w:tc>
        <w:tc>
          <w:tcPr>
            <w:tcW w:w="4680" w:type="dxa"/>
            <w:tcBorders/>
            <w:vAlign w:val="top"/>
          </w:tcPr>
          <w:p>
            <w:pPr>
              <w:pStyle w:val="Normal"/>
              <w:widowControl/>
              <w:bidi w:val="0"/>
              <w:spacing w:lineRule="auto" w:line="240" w:before="0" w:after="40"/>
              <w:jc w:val="start"/>
              <w:rPr/>
            </w:pPr>
            <w:r>
              <w:rPr>
                <w:sz w:val="19"/>
              </w:rPr>
              <w:t>HYBRID account/source/witness/cost/occurrence/inquiry/append fixtures and byte/field comparisons plus every explicit named semantic review retained in the historical definition.</w:t>
            </w:r>
          </w:p>
        </w:tc>
      </w:tr>
      <w:tr>
        <w:trPr/>
        <w:tc>
          <w:tcPr>
            <w:tcW w:w="4680" w:type="dxa"/>
            <w:tcBorders/>
            <w:vAlign w:val="top"/>
            <w:shd w:fill="F7F9FB"/>
          </w:tcPr>
          <w:p>
            <w:pPr>
              <w:pStyle w:val="Normal"/>
              <w:widowControl/>
              <w:bidi w:val="0"/>
              <w:spacing w:lineRule="auto" w:line="240" w:before="0" w:after="40"/>
              <w:jc w:val="start"/>
              <w:rPr/>
            </w:pPr>
            <w:r>
              <w:rPr>
                <w:sz w:val="19"/>
              </w:rPr>
              <w:t>T41–T45</w:t>
            </w:r>
          </w:p>
        </w:tc>
        <w:tc>
          <w:tcPr>
            <w:tcW w:w="4680" w:type="dxa"/>
            <w:tcBorders/>
            <w:vAlign w:val="top"/>
            <w:shd w:fill="F7F9FB"/>
          </w:tcPr>
          <w:p>
            <w:pPr>
              <w:pStyle w:val="Normal"/>
              <w:widowControl/>
              <w:bidi w:val="0"/>
              <w:spacing w:lineRule="auto" w:line="240" w:before="0" w:after="40"/>
              <w:jc w:val="start"/>
              <w:rPr/>
            </w:pPr>
            <w:r>
              <w:rPr>
                <w:sz w:val="19"/>
              </w:rPr>
              <w:t>MACHINE schema, topology, integrity, legacy/residual lineage, generator run-space, mutation, and coverage checks plus SEMANTIC migration and authority review wherever identity or implication is at issue.</w:t>
            </w:r>
          </w:p>
        </w:tc>
      </w:tr>
      <w:tr>
        <w:trPr/>
        <w:tc>
          <w:tcPr>
            <w:tcW w:w="4680" w:type="dxa"/>
            <w:tcBorders/>
            <w:vAlign w:val="top"/>
          </w:tcPr>
          <w:p>
            <w:pPr>
              <w:pStyle w:val="Normal"/>
              <w:widowControl/>
              <w:bidi w:val="0"/>
              <w:spacing w:lineRule="auto" w:line="240" w:before="0" w:after="40"/>
              <w:jc w:val="start"/>
              <w:rPr/>
            </w:pPr>
            <w:r>
              <w:rPr>
                <w:sz w:val="19"/>
              </w:rPr>
              <w:t>T46</w:t>
            </w:r>
          </w:p>
        </w:tc>
        <w:tc>
          <w:tcPr>
            <w:tcW w:w="4680" w:type="dxa"/>
            <w:tcBorders/>
            <w:vAlign w:val="top"/>
          </w:tcPr>
          <w:p>
            <w:pPr>
              <w:pStyle w:val="Normal"/>
              <w:widowControl/>
              <w:bidi w:val="0"/>
              <w:spacing w:lineRule="auto" w:line="240" w:before="0" w:after="40"/>
              <w:jc w:val="start"/>
              <w:rPr/>
            </w:pPr>
            <w:r>
              <w:rPr>
                <w:sz w:val="19"/>
              </w:rPr>
              <w:t>HYBRID finite/model execution plus named review of quantifier order, finite/local/global, fixed-n/arbitrary-finite/infinite, state-frame, and transport scope.</w:t>
            </w:r>
          </w:p>
        </w:tc>
      </w:tr>
      <w:tr>
        <w:trPr/>
        <w:tc>
          <w:tcPr>
            <w:tcW w:w="4680" w:type="dxa"/>
            <w:tcBorders/>
            <w:vAlign w:val="top"/>
            <w:shd w:fill="F7F9FB"/>
          </w:tcPr>
          <w:p>
            <w:pPr>
              <w:pStyle w:val="Normal"/>
              <w:widowControl/>
              <w:bidi w:val="0"/>
              <w:spacing w:lineRule="auto" w:line="240" w:before="0" w:after="40"/>
              <w:jc w:val="start"/>
              <w:rPr/>
            </w:pPr>
            <w:r>
              <w:rPr>
                <w:sz w:val="19"/>
              </w:rPr>
              <w:t>T47</w:t>
            </w:r>
          </w:p>
        </w:tc>
        <w:tc>
          <w:tcPr>
            <w:tcW w:w="4680" w:type="dxa"/>
            <w:tcBorders/>
            <w:vAlign w:val="top"/>
            <w:shd w:fill="F7F9FB"/>
          </w:tcPr>
          <w:p>
            <w:pPr>
              <w:pStyle w:val="Normal"/>
              <w:widowControl/>
              <w:bidi w:val="0"/>
              <w:spacing w:lineRule="auto" w:line="240" w:before="0" w:after="40"/>
              <w:jc w:val="start"/>
              <w:rPr/>
            </w:pPr>
            <w:r>
              <w:rPr>
                <w:sz w:val="19"/>
              </w:rPr>
              <w:t>HYBRID ordinary-arithmetic/model fixtures plus semantic separation of cross-model underdetermination from within-model truth switching, Ω, or metaphysical firstness.</w:t>
            </w:r>
          </w:p>
        </w:tc>
      </w:tr>
      <w:tr>
        <w:trPr/>
        <w:tc>
          <w:tcPr>
            <w:tcW w:w="4680" w:type="dxa"/>
            <w:tcBorders/>
            <w:vAlign w:val="top"/>
          </w:tcPr>
          <w:p>
            <w:pPr>
              <w:pStyle w:val="Normal"/>
              <w:widowControl/>
              <w:bidi w:val="0"/>
              <w:spacing w:lineRule="auto" w:line="240" w:before="0" w:after="40"/>
              <w:jc w:val="start"/>
              <w:rPr/>
            </w:pPr>
            <w:r>
              <w:rPr>
                <w:sz w:val="19"/>
              </w:rPr>
              <w:t>T48</w:t>
            </w:r>
          </w:p>
        </w:tc>
        <w:tc>
          <w:tcPr>
            <w:tcW w:w="4680" w:type="dxa"/>
            <w:tcBorders/>
            <w:vAlign w:val="top"/>
          </w:tcPr>
          <w:p>
            <w:pPr>
              <w:pStyle w:val="Normal"/>
              <w:widowControl/>
              <w:bidi w:val="0"/>
              <w:spacing w:lineRule="auto" w:line="240" w:before="0" w:after="40"/>
              <w:jc w:val="start"/>
              <w:rPr/>
            </w:pPr>
            <w:r>
              <w:rPr>
                <w:sz w:val="19"/>
              </w:rPr>
              <w:t>MACHINE bounded operator/kernel/window fixtures plus SEMANTIC finite-check, restriction, transported-frame, and no-universal-promotion review.</w:t>
            </w:r>
          </w:p>
        </w:tc>
      </w:tr>
    </w:tbl>
    <w:p>
      <w:pPr>
        <w:pStyle w:val="Heading3"/>
        <w:keepNext/>
        <w:keepLines/>
        <w:rPr/>
      </w:pPr>
      <w:bookmarkStart w:id="90" w:name="t29-mandatory-semantic-non-equivalence-o"/>
      <w:r>
        <w:rPr/>
        <w:t>T29 mandatory semantic non-equivalence oracle</w:t>
      </w:r>
      <w:bookmarkEnd w:id="90"/>
    </w:p>
    <w:p>
      <w:pPr>
        <w:pStyle w:val="Normal"/>
        <w:keepNext/>
        <w:keepLines/>
        <w:rPr/>
      </w:pPr>
      <w:r>
        <w:rPr/>
        <w:t>The named reviewer must confirm each non-equivalence by meaning and implication across all five faces, derived metadata, source/figure material, and rendered text; the presence of a disclaimer string elsewhere does not cure a contradictory claim.</w:t>
      </w:r>
    </w:p>
    <w:p>
      <w:pPr>
        <w:pStyle w:val="BodyText"/>
        <w:numPr>
          <w:ilvl w:val="0"/>
          <w:numId w:val="35"/>
        </w:numPr>
        <w:spacing w:before="0" w:after="0"/>
        <w:rPr/>
      </w:pPr>
      <w:r>
        <w:rPr/>
        <w:t>Ω ≠ residue ≠ exterior ≠ topological boundary.</w:t>
      </w:r>
    </w:p>
    <w:p>
      <w:pPr>
        <w:pStyle w:val="BodyText"/>
        <w:numPr>
          <w:ilvl w:val="0"/>
          <w:numId w:val="35"/>
        </w:numPr>
        <w:spacing w:before="0" w:after="0"/>
        <w:rPr/>
      </w:pPr>
      <w:r>
        <w:rPr/>
        <w:t>A0 cut ≠ chain boundary ≠ detector interface ≠ compactification boundary ≠ constraint zero ≠ A15 scope.</w:t>
      </w:r>
    </w:p>
    <w:p>
      <w:pPr>
        <w:pStyle w:val="BodyText"/>
        <w:numPr>
          <w:ilvl w:val="0"/>
          <w:numId w:val="35"/>
        </w:numPr>
        <w:spacing w:before="0" w:after="0"/>
        <w:rPr/>
      </w:pPr>
      <w:r>
        <w:rPr/>
        <w:t>θ structural minimum ≠ least positive metric quantity.</w:t>
      </w:r>
    </w:p>
    <w:p>
      <w:pPr>
        <w:pStyle w:val="BodyText"/>
        <w:numPr>
          <w:ilvl w:val="0"/>
          <w:numId w:val="35"/>
        </w:numPr>
        <w:spacing w:before="0" w:after="0"/>
        <w:rPr/>
      </w:pPr>
      <w:r>
        <w:rPr/>
        <w:t>Boolean comparator output ≠ a complete three-way comparison.</w:t>
      </w:r>
    </w:p>
    <w:p>
      <w:pPr>
        <w:pStyle w:val="BodyText"/>
        <w:numPr>
          <w:ilvl w:val="0"/>
          <w:numId w:val="35"/>
        </w:numPr>
        <w:spacing w:before="0" w:after="0"/>
        <w:rPr/>
      </w:pPr>
      <w:r>
        <w:rPr/>
        <w:t>Endpoint equality ≠ path identity.</w:t>
      </w:r>
    </w:p>
    <w:p>
      <w:pPr>
        <w:pStyle w:val="BodyText"/>
        <w:numPr>
          <w:ilvl w:val="0"/>
          <w:numId w:val="35"/>
        </w:numPr>
        <w:spacing w:before="0" w:after="0"/>
        <w:rPr/>
      </w:pPr>
      <w:r>
        <w:rPr/>
        <w:t>Filled-bigon homology collapse ≠ erased historical route.</w:t>
      </w:r>
    </w:p>
    <w:p>
      <w:pPr>
        <w:pStyle w:val="BodyText"/>
        <w:numPr>
          <w:ilvl w:val="0"/>
          <w:numId w:val="35"/>
        </w:numPr>
        <w:spacing w:before="0" w:after="0"/>
        <w:rPr/>
      </w:pPr>
      <w:r>
        <w:rPr/>
        <w:t>Preserved relation or edge identity ≠ preserved source identity.</w:t>
      </w:r>
    </w:p>
    <w:p>
      <w:pPr>
        <w:pStyle w:val="BodyText"/>
        <w:numPr>
          <w:ilvl w:val="0"/>
          <w:numId w:val="35"/>
        </w:numPr>
        <w:spacing w:before="0" w:after="0"/>
        <w:rPr/>
      </w:pPr>
      <w:r>
        <w:rPr/>
        <w:t>Reachable decoder ≠ total decoder.</w:t>
      </w:r>
    </w:p>
    <w:p>
      <w:pPr>
        <w:pStyle w:val="BodyText"/>
        <w:numPr>
          <w:ilvl w:val="0"/>
          <w:numId w:val="35"/>
        </w:numPr>
        <w:spacing w:before="0" w:after="0"/>
        <w:rPr/>
      </w:pPr>
      <w:r>
        <w:rPr/>
        <w:t>Set-theoretic decoder ≠ continuous, measurable, computable, efficient, causal, privacy-preserving, permitted, or authorized decoder.</w:t>
      </w:r>
    </w:p>
    <w:p>
      <w:pPr>
        <w:pStyle w:val="BodyText"/>
        <w:numPr>
          <w:ilvl w:val="0"/>
          <w:numId w:val="35"/>
        </w:numPr>
        <w:spacing w:before="0" w:after="0"/>
        <w:rPr/>
      </w:pPr>
      <w:r>
        <w:rPr/>
        <w:t>Action-bit lift ≠ retained A2 receipt.</w:t>
      </w:r>
    </w:p>
    <w:p>
      <w:pPr>
        <w:pStyle w:val="BodyText"/>
        <w:numPr>
          <w:ilvl w:val="0"/>
          <w:numId w:val="35"/>
        </w:numPr>
        <w:spacing w:before="0" w:after="0"/>
        <w:rPr/>
      </w:pPr>
      <w:r>
        <w:rPr/>
        <w:t>Exact checkpoint state ≠ A12 token authority by itself.</w:t>
      </w:r>
    </w:p>
    <w:p>
      <w:pPr>
        <w:pStyle w:val="BodyText"/>
        <w:numPr>
          <w:ilvl w:val="0"/>
          <w:numId w:val="35"/>
        </w:numPr>
        <w:spacing w:before="0" w:after="0"/>
        <w:rPr/>
      </w:pPr>
      <w:r>
        <w:rPr/>
        <w:t>Work-projection stutter ≠ total-state identity.</w:t>
      </w:r>
    </w:p>
    <w:p>
      <w:pPr>
        <w:pStyle w:val="BodyText"/>
        <w:numPr>
          <w:ilvl w:val="0"/>
          <w:numId w:val="35"/>
        </w:numPr>
        <w:spacing w:before="0" w:after="0"/>
        <w:rPr/>
      </w:pPr>
      <w:r>
        <w:rPr/>
        <w:t>Heartbeat ≠ progress, liveness, success, consciousness, or permission.</w:t>
      </w:r>
    </w:p>
    <w:p>
      <w:pPr>
        <w:pStyle w:val="BodyText"/>
        <w:numPr>
          <w:ilvl w:val="0"/>
          <w:numId w:val="35"/>
        </w:numPr>
        <w:spacing w:before="0" w:after="0"/>
        <w:rPr/>
      </w:pPr>
      <w:r>
        <w:rPr/>
        <w:t>Zero direct residual ≠ zero resource cost or unchanged slack.</w:t>
      </w:r>
    </w:p>
    <w:p>
      <w:pPr>
        <w:pStyle w:val="BodyText"/>
        <w:numPr>
          <w:ilvl w:val="0"/>
          <w:numId w:val="35"/>
        </w:numPr>
        <w:spacing w:before="0" w:after="0"/>
        <w:rPr/>
      </w:pPr>
      <w:r>
        <w:rPr/>
        <w:t>Transport break ≠ topological puncture without an adapter.</w:t>
      </w:r>
    </w:p>
    <w:p>
      <w:pPr>
        <w:pStyle w:val="BodyText"/>
        <w:numPr>
          <w:ilvl w:val="0"/>
          <w:numId w:val="35"/>
        </w:numPr>
        <w:spacing w:before="0" w:after="0"/>
        <w:rPr/>
      </w:pPr>
      <w:r>
        <w:rPr/>
        <w:t>Compactification closure ≠ PAL A15 closure.</w:t>
      </w:r>
    </w:p>
    <w:p>
      <w:pPr>
        <w:pStyle w:val="BodyText"/>
        <w:numPr>
          <w:ilvl w:val="0"/>
          <w:numId w:val="35"/>
        </w:numPr>
        <w:spacing w:before="0" w:after="0"/>
        <w:rPr/>
      </w:pPr>
      <w:r>
        <w:rPr/>
        <w:t>Branch outcome code ≠ PAL claim status.</w:t>
      </w:r>
    </w:p>
    <w:p>
      <w:pPr>
        <w:pStyle w:val="BodyText"/>
        <w:numPr>
          <w:ilvl w:val="0"/>
          <w:numId w:val="35"/>
        </w:numPr>
        <w:spacing w:before="0" w:after="0"/>
        <w:rPr/>
      </w:pPr>
      <w:r>
        <w:rPr/>
        <w:t>Same-author source agreement ≠ independent corroboration.</w:t>
      </w:r>
    </w:p>
    <w:p>
      <w:pPr>
        <w:pStyle w:val="Heading2"/>
        <w:keepNext/>
        <w:keepLines/>
        <w:rPr/>
      </w:pPr>
      <w:bookmarkStart w:id="91" w:name="t49t72-primary-bindings"/>
      <w:r>
        <w:rPr/>
        <w:t>9.3 T49–T72 primary bindings</w:t>
      </w:r>
      <w:bookmarkEnd w:id="9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Address</w:t>
            </w:r>
          </w:p>
        </w:tc>
        <w:tc>
          <w:tcPr>
            <w:tcW w:w="2340" w:type="dxa"/>
            <w:tcBorders/>
            <w:vAlign w:val="top"/>
            <w:shd w:fill="DCE6F1"/>
          </w:tcPr>
          <w:p>
            <w:pPr>
              <w:pStyle w:val="Normal"/>
              <w:spacing w:before="0" w:after="40" w:line="240" w:lineRule="auto"/>
              <w:rPr>
                <w:b/>
                <w:bCs/>
              </w:rPr>
            </w:pPr>
            <w:r>
              <w:rPr>
                <w:b/>
                <w:bCs/>
                <w:color w:val="1F4D78"/>
                <w:sz w:val="18"/>
              </w:rPr>
              <w:t>Class and positive fixture</w:t>
            </w:r>
          </w:p>
        </w:tc>
        <w:tc>
          <w:tcPr>
            <w:tcW w:w="2340" w:type="dxa"/>
            <w:tcBorders/>
            <w:vAlign w:val="top"/>
            <w:shd w:fill="DCE6F1"/>
          </w:tcPr>
          <w:p>
            <w:pPr>
              <w:pStyle w:val="Normal"/>
              <w:spacing w:before="0" w:after="40" w:line="240" w:lineRule="auto"/>
              <w:rPr>
                <w:b/>
                <w:bCs/>
              </w:rPr>
            </w:pPr>
            <w:r>
              <w:rPr>
                <w:b/>
                <w:bCs/>
                <w:color w:val="1F4D78"/>
                <w:sz w:val="18"/>
              </w:rPr>
              <w:t>Required negative mutation</w:t>
            </w:r>
          </w:p>
        </w:tc>
        <w:tc>
          <w:tcPr>
            <w:tcW w:w="2340" w:type="dxa"/>
            <w:tcBorders/>
            <w:vAlign w:val="top"/>
            <w:shd w:fill="DCE6F1"/>
          </w:tcPr>
          <w:p>
            <w:pPr>
              <w:pStyle w:val="Normal"/>
              <w:spacing w:before="0" w:after="40" w:line="240" w:lineRule="auto"/>
              <w:rPr>
                <w:b/>
                <w:bCs/>
              </w:rPr>
            </w:pPr>
            <w:r>
              <w:rPr>
                <w:b/>
                <w:bCs/>
                <w:color w:val="1F4D78"/>
                <w:sz w:val="18"/>
              </w:rPr>
              <w:t>Evidence and earliest reopening</w:t>
            </w:r>
          </w:p>
        </w:tc>
      </w:tr>
      <w:tr>
        <w:trPr/>
        <w:tc>
          <w:tcPr>
            <w:tcW w:w="2340" w:type="dxa"/>
            <w:tcBorders/>
            <w:vAlign w:val="top"/>
          </w:tcPr>
          <w:p>
            <w:pPr>
              <w:pStyle w:val="Normal"/>
              <w:widowControl/>
              <w:bidi w:val="0"/>
              <w:spacing w:lineRule="auto" w:line="240" w:before="0" w:after="40"/>
              <w:jc w:val="start"/>
              <w:rPr/>
            </w:pPr>
            <w:r>
              <w:rPr>
                <w:sz w:val="18"/>
              </w:rPr>
              <w:t>T49@2.3</w:t>
            </w:r>
          </w:p>
        </w:tc>
        <w:tc>
          <w:tcPr>
            <w:tcW w:w="2340" w:type="dxa"/>
            <w:tcBorders/>
            <w:vAlign w:val="top"/>
          </w:tcPr>
          <w:p>
            <w:pPr>
              <w:pStyle w:val="Normal"/>
              <w:widowControl/>
              <w:bidi w:val="0"/>
              <w:spacing w:lineRule="auto" w:line="240" w:before="0" w:after="40"/>
              <w:jc w:val="start"/>
              <w:rPr/>
            </w:pPr>
            <w:r>
              <w:rPr>
                <w:sz w:val="18"/>
              </w:rPr>
              <w:t>HYBRID. FX49-BOUNDARY-REGISTRY: enumerate every native v2.3 BoundaryRef; type role, carrier/domain, scope, applicable orientation/coefficients/resolution or reasoned N/A; resolve each cross-role adapter and confirm fibers remain separately typed.</w:t>
            </w:r>
          </w:p>
        </w:tc>
        <w:tc>
          <w:tcPr>
            <w:tcW w:w="2340" w:type="dxa"/>
            <w:tcBorders/>
            <w:vAlign w:val="top"/>
          </w:tcPr>
          <w:p>
            <w:pPr>
              <w:pStyle w:val="Normal"/>
              <w:widowControl/>
              <w:bidi w:val="0"/>
              <w:spacing w:lineRule="auto" w:line="240" w:before="0" w:after="40"/>
              <w:jc w:val="start"/>
              <w:rPr/>
            </w:pPr>
            <w:r>
              <w:rPr>
                <w:sz w:val="18"/>
              </w:rPr>
              <w:t>Delete or swap a role; reuse one boundary word to transfer a cut, topology, detector, constraint, closure, or transport property; retype a fiber without supplied boundary structure.</w:t>
            </w:r>
          </w:p>
        </w:tc>
        <w:tc>
          <w:tcPr>
            <w:tcW w:w="2340" w:type="dxa"/>
            <w:tcBorders/>
            <w:vAlign w:val="top"/>
          </w:tcPr>
          <w:p>
            <w:pPr>
              <w:pStyle w:val="Normal"/>
              <w:widowControl/>
              <w:bidi w:val="0"/>
              <w:spacing w:lineRule="auto" w:line="240" w:before="0" w:after="40"/>
              <w:jc w:val="start"/>
              <w:rPr/>
            </w:pPr>
            <w:r>
              <w:rPr>
                <w:sz w:val="18"/>
              </w:rPr>
              <w:t>Registry walk, adapter graph, mutation log, semantic noncoercion review; D31/O52.</w:t>
            </w:r>
          </w:p>
        </w:tc>
      </w:tr>
      <w:tr>
        <w:trPr/>
        <w:tc>
          <w:tcPr>
            <w:tcW w:w="2340" w:type="dxa"/>
            <w:tcBorders/>
            <w:vAlign w:val="top"/>
            <w:shd w:fill="F7F9FB"/>
          </w:tcPr>
          <w:p>
            <w:pPr>
              <w:pStyle w:val="Normal"/>
              <w:widowControl/>
              <w:bidi w:val="0"/>
              <w:spacing w:lineRule="auto" w:line="240" w:before="0" w:after="40"/>
              <w:jc w:val="start"/>
              <w:rPr/>
            </w:pPr>
            <w:r>
              <w:rPr>
                <w:sz w:val="18"/>
              </w:rPr>
              <w:t>T50@2.3</w:t>
            </w:r>
          </w:p>
        </w:tc>
        <w:tc>
          <w:tcPr>
            <w:tcW w:w="2340" w:type="dxa"/>
            <w:tcBorders/>
            <w:vAlign w:val="top"/>
            <w:shd w:fill="F7F9FB"/>
          </w:tcPr>
          <w:p>
            <w:pPr>
              <w:pStyle w:val="Normal"/>
              <w:widowControl/>
              <w:bidi w:val="0"/>
              <w:spacing w:lineRule="auto" w:line="240" w:before="0" w:after="40"/>
              <w:jc w:val="start"/>
              <w:rPr/>
            </w:pPr>
            <w:r>
              <w:rPr>
                <w:sz w:val="18"/>
              </w:rPr>
              <w:t>HYBRID. FX50-QSPLIT: exact rational cases including P=q, odd/even q-lattice cases, scale mutation, and the fixed-q limit; prove conservation and declared-resolution minimality.</w:t>
            </w:r>
          </w:p>
        </w:tc>
        <w:tc>
          <w:tcPr>
            <w:tcW w:w="2340" w:type="dxa"/>
            <w:tcBorders/>
            <w:vAlign w:val="top"/>
            <w:shd w:fill="F7F9FB"/>
          </w:tcPr>
          <w:p>
            <w:pPr>
              <w:pStyle w:val="Normal"/>
              <w:widowControl/>
              <w:bidi w:val="0"/>
              <w:spacing w:lineRule="auto" w:line="240" w:before="0" w:after="40"/>
              <w:jc w:val="start"/>
              <w:rPr/>
            </w:pPr>
            <w:r>
              <w:rPr>
                <w:sz w:val="18"/>
              </w:rPr>
              <w:t>Assert a least positive real, substitute ordinary-real infinity, omit the admissible set/resolution, or promote q-split content to A0 or θ.</w:t>
            </w:r>
          </w:p>
        </w:tc>
        <w:tc>
          <w:tcPr>
            <w:tcW w:w="2340" w:type="dxa"/>
            <w:tcBorders/>
            <w:vAlign w:val="top"/>
            <w:shd w:fill="F7F9FB"/>
          </w:tcPr>
          <w:p>
            <w:pPr>
              <w:pStyle w:val="Normal"/>
              <w:widowControl/>
              <w:bidi w:val="0"/>
              <w:spacing w:lineRule="auto" w:line="240" w:before="0" w:after="40"/>
              <w:jc w:val="start"/>
              <w:rPr/>
            </w:pPr>
            <w:r>
              <w:rPr>
                <w:sz w:val="18"/>
              </w:rPr>
              <w:t>Exact-arithmetic log, proof/citation locator, extremal-language review; D32/O53.</w:t>
            </w:r>
          </w:p>
        </w:tc>
      </w:tr>
      <w:tr>
        <w:trPr/>
        <w:tc>
          <w:tcPr>
            <w:tcW w:w="2340" w:type="dxa"/>
            <w:tcBorders/>
            <w:vAlign w:val="top"/>
          </w:tcPr>
          <w:p>
            <w:pPr>
              <w:pStyle w:val="Normal"/>
              <w:widowControl/>
              <w:bidi w:val="0"/>
              <w:spacing w:lineRule="auto" w:line="240" w:before="0" w:after="40"/>
              <w:jc w:val="start"/>
              <w:rPr/>
            </w:pPr>
            <w:r>
              <w:rPr>
                <w:sz w:val="18"/>
              </w:rPr>
              <w:t>T51@2.3</w:t>
            </w:r>
          </w:p>
        </w:tc>
        <w:tc>
          <w:tcPr>
            <w:tcW w:w="2340" w:type="dxa"/>
            <w:tcBorders/>
            <w:vAlign w:val="top"/>
          </w:tcPr>
          <w:p>
            <w:pPr>
              <w:pStyle w:val="Normal"/>
              <w:widowControl/>
              <w:bidi w:val="0"/>
              <w:spacing w:lineRule="auto" w:line="240" w:before="0" w:after="40"/>
              <w:jc w:val="start"/>
              <w:rPr/>
            </w:pPr>
            <w:r>
              <w:rPr>
                <w:sz w:val="18"/>
              </w:rPr>
              <w:t>HYBRID. FX51-GEOMETRY-DELETE: delete every new geometry fixture, composite plate, RAINBOW card/plate, and branch route, then compare the recovered Ω/M0/A0/Ω*/θ/A1 identities and layer/status inventories.</w:t>
            </w:r>
          </w:p>
        </w:tc>
        <w:tc>
          <w:tcPr>
            <w:tcW w:w="2340" w:type="dxa"/>
            <w:tcBorders/>
            <w:vAlign w:val="top"/>
          </w:tcPr>
          <w:p>
            <w:pPr>
              <w:pStyle w:val="Normal"/>
              <w:widowControl/>
              <w:bidi w:val="0"/>
              <w:spacing w:lineRule="auto" w:line="240" w:before="0" w:after="40"/>
              <w:jc w:val="start"/>
              <w:rPr/>
            </w:pPr>
            <w:r>
              <w:rPr>
                <w:sz w:val="18"/>
              </w:rPr>
              <w:t>Make a lens, lattice, graph, coordinate, comparator, q-split, golden angle, RAINBOW name, or decoration necessary to define the primitive floor.</w:t>
            </w:r>
          </w:p>
        </w:tc>
        <w:tc>
          <w:tcPr>
            <w:tcW w:w="2340" w:type="dxa"/>
            <w:tcBorders/>
            <w:vAlign w:val="top"/>
          </w:tcPr>
          <w:p>
            <w:pPr>
              <w:pStyle w:val="Normal"/>
              <w:widowControl/>
              <w:bidi w:val="0"/>
              <w:spacing w:lineRule="auto" w:line="240" w:before="0" w:after="40"/>
              <w:jc w:val="start"/>
              <w:rPr/>
            </w:pPr>
            <w:r>
              <w:rPr>
                <w:sz w:val="18"/>
              </w:rPr>
              <w:t>Structural diff plus named removability/authority review; D32/D37/D39, O53/O59/O62.</w:t>
            </w:r>
          </w:p>
        </w:tc>
      </w:tr>
      <w:tr>
        <w:trPr/>
        <w:tc>
          <w:tcPr>
            <w:tcW w:w="2340" w:type="dxa"/>
            <w:tcBorders/>
            <w:vAlign w:val="top"/>
            <w:shd w:fill="F7F9FB"/>
          </w:tcPr>
          <w:p>
            <w:pPr>
              <w:pStyle w:val="Normal"/>
              <w:widowControl/>
              <w:bidi w:val="0"/>
              <w:spacing w:lineRule="auto" w:line="240" w:before="0" w:after="40"/>
              <w:jc w:val="start"/>
              <w:rPr/>
            </w:pPr>
            <w:r>
              <w:rPr>
                <w:sz w:val="18"/>
              </w:rPr>
              <w:t>T52@2.3</w:t>
            </w:r>
          </w:p>
        </w:tc>
        <w:tc>
          <w:tcPr>
            <w:tcW w:w="2340" w:type="dxa"/>
            <w:tcBorders/>
            <w:vAlign w:val="top"/>
            <w:shd w:fill="F7F9FB"/>
          </w:tcPr>
          <w:p>
            <w:pPr>
              <w:pStyle w:val="Normal"/>
              <w:widowControl/>
              <w:bidi w:val="0"/>
              <w:spacing w:lineRule="auto" w:line="240" w:before="0" w:after="40"/>
              <w:jc w:val="start"/>
              <w:rPr/>
            </w:pPr>
            <w:r>
              <w:rPr>
                <w:sz w:val="18"/>
              </w:rPr>
              <w:t>HYBRID. FX52-NO-ELIMINATOR: hold the A0/Ω*/θ receipts fixed while supplying two different valid readouts and one no-readout case.</w:t>
            </w:r>
          </w:p>
        </w:tc>
        <w:tc>
          <w:tcPr>
            <w:tcW w:w="2340" w:type="dxa"/>
            <w:tcBorders/>
            <w:vAlign w:val="top"/>
            <w:shd w:fill="F7F9FB"/>
          </w:tcPr>
          <w:p>
            <w:pPr>
              <w:pStyle w:val="Normal"/>
              <w:widowControl/>
              <w:bidi w:val="0"/>
              <w:spacing w:lineRule="auto" w:line="240" w:before="0" w:after="40"/>
              <w:jc w:val="start"/>
              <w:rPr/>
            </w:pPr>
            <w:r>
              <w:rPr>
                <w:sz w:val="18"/>
              </w:rPr>
              <w:t>Derive a side, A1, occurrence, golden angle, or comparator from θ or A0 alone.</w:t>
            </w:r>
          </w:p>
        </w:tc>
        <w:tc>
          <w:tcPr>
            <w:tcW w:w="2340" w:type="dxa"/>
            <w:tcBorders/>
            <w:vAlign w:val="top"/>
            <w:shd w:fill="F7F9FB"/>
          </w:tcPr>
          <w:p>
            <w:pPr>
              <w:pStyle w:val="Normal"/>
              <w:widowControl/>
              <w:bidi w:val="0"/>
              <w:spacing w:lineRule="auto" w:line="240" w:before="0" w:after="40"/>
              <w:jc w:val="start"/>
              <w:rPr/>
            </w:pPr>
            <w:r>
              <w:rPr>
                <w:sz w:val="18"/>
              </w:rPr>
              <w:t>Fixture comparison, dependency trace, semantic no-eliminator review; D32/O53.</w:t>
            </w:r>
          </w:p>
        </w:tc>
      </w:tr>
      <w:tr>
        <w:trPr/>
        <w:tc>
          <w:tcPr>
            <w:tcW w:w="2340" w:type="dxa"/>
            <w:tcBorders/>
            <w:vAlign w:val="top"/>
          </w:tcPr>
          <w:p>
            <w:pPr>
              <w:pStyle w:val="Normal"/>
              <w:widowControl/>
              <w:bidi w:val="0"/>
              <w:spacing w:lineRule="auto" w:line="240" w:before="0" w:after="40"/>
              <w:jc w:val="start"/>
              <w:rPr/>
            </w:pPr>
            <w:r>
              <w:rPr>
                <w:sz w:val="18"/>
              </w:rPr>
              <w:t>T53@2.3</w:t>
            </w:r>
          </w:p>
        </w:tc>
        <w:tc>
          <w:tcPr>
            <w:tcW w:w="2340" w:type="dxa"/>
            <w:tcBorders/>
            <w:vAlign w:val="top"/>
          </w:tcPr>
          <w:p>
            <w:pPr>
              <w:pStyle w:val="Normal"/>
              <w:widowControl/>
              <w:bidi w:val="0"/>
              <w:spacing w:lineRule="auto" w:line="240" w:before="0" w:after="40"/>
              <w:jc w:val="start"/>
              <w:rPr/>
            </w:pPr>
            <w:r>
              <w:rPr>
                <w:sz w:val="18"/>
              </w:rPr>
              <w:t>MACHINE+SEMANTIC. FX53-PROFILE: validate every new or revised realization card making geometry, interface, projection, path, decoder, checkpoint, heartbeat, quantitative-extremal, or RAINBOW claims against the conditional extension profile, including reasoned N/A.</w:t>
            </w:r>
          </w:p>
        </w:tc>
        <w:tc>
          <w:tcPr>
            <w:tcW w:w="2340" w:type="dxa"/>
            <w:tcBorders/>
            <w:vAlign w:val="top"/>
          </w:tcPr>
          <w:p>
            <w:pPr>
              <w:pStyle w:val="Normal"/>
              <w:widowControl/>
              <w:bidi w:val="0"/>
              <w:spacing w:lineRule="auto" w:line="240" w:before="0" w:after="40"/>
              <w:jc w:val="start"/>
              <w:rPr/>
            </w:pPr>
            <w:r>
              <w:rPr>
                <w:sz w:val="18"/>
              </w:rPr>
              <w:t>Omit one applicable field or hide a theorem/synthesis, state-coordinate, decoder, residual, or reopening dependency in prose.</w:t>
            </w:r>
          </w:p>
        </w:tc>
        <w:tc>
          <w:tcPr>
            <w:tcW w:w="2340" w:type="dxa"/>
            <w:tcBorders/>
            <w:vAlign w:val="top"/>
          </w:tcPr>
          <w:p>
            <w:pPr>
              <w:pStyle w:val="Normal"/>
              <w:widowControl/>
              <w:bidi w:val="0"/>
              <w:spacing w:lineRule="auto" w:line="240" w:before="0" w:after="40"/>
              <w:jc w:val="start"/>
              <w:rPr/>
            </w:pPr>
            <w:r>
              <w:rPr>
                <w:sz w:val="18"/>
              </w:rPr>
              <w:t>Schema report, complete card inventory, reviewer receipt; D31/O52 and the Atlas conditional profile.</w:t>
            </w:r>
          </w:p>
        </w:tc>
      </w:tr>
      <w:tr>
        <w:trPr/>
        <w:tc>
          <w:tcPr>
            <w:tcW w:w="2340" w:type="dxa"/>
            <w:tcBorders/>
            <w:vAlign w:val="top"/>
            <w:shd w:fill="F7F9FB"/>
          </w:tcPr>
          <w:p>
            <w:pPr>
              <w:pStyle w:val="Normal"/>
              <w:widowControl/>
              <w:bidi w:val="0"/>
              <w:spacing w:lineRule="auto" w:line="240" w:before="0" w:after="40"/>
              <w:jc w:val="start"/>
              <w:rPr/>
            </w:pPr>
            <w:r>
              <w:rPr>
                <w:sz w:val="18"/>
              </w:rPr>
              <w:t>T54@2.3</w:t>
            </w:r>
          </w:p>
        </w:tc>
        <w:tc>
          <w:tcPr>
            <w:tcW w:w="2340" w:type="dxa"/>
            <w:tcBorders/>
            <w:vAlign w:val="top"/>
            <w:shd w:fill="F7F9FB"/>
          </w:tcPr>
          <w:p>
            <w:pPr>
              <w:pStyle w:val="Normal"/>
              <w:widowControl/>
              <w:bidi w:val="0"/>
              <w:spacing w:lineRule="auto" w:line="240" w:before="0" w:after="40"/>
              <w:jc w:val="start"/>
              <w:rPr/>
            </w:pPr>
            <w:r>
              <w:rPr>
                <w:sz w:val="18"/>
              </w:rPr>
              <w:t>MACHINE. FX54-FIBER: for finite declared maps, compute R=τ(W), L(τ,q), fibers, and the unique reachable decoder; include a noninjective but q-constant map.</w:t>
            </w:r>
          </w:p>
        </w:tc>
        <w:tc>
          <w:tcPr>
            <w:tcW w:w="2340" w:type="dxa"/>
            <w:tcBorders/>
            <w:vAlign w:val="top"/>
            <w:shd w:fill="F7F9FB"/>
          </w:tcPr>
          <w:p>
            <w:pPr>
              <w:pStyle w:val="Normal"/>
              <w:widowControl/>
              <w:bidi w:val="0"/>
              <w:spacing w:lineRule="auto" w:line="240" w:before="0" w:after="40"/>
              <w:jc w:val="start"/>
              <w:rPr/>
            </w:pPr>
            <w:r>
              <w:rPr>
                <w:sz w:val="18"/>
              </w:rPr>
              <w:t>Ignore a target-conflicting collision or report noninjectivity alone as requested-answer loss.</w:t>
            </w:r>
          </w:p>
        </w:tc>
        <w:tc>
          <w:tcPr>
            <w:tcW w:w="2340" w:type="dxa"/>
            <w:tcBorders/>
            <w:vAlign w:val="top"/>
            <w:shd w:fill="F7F9FB"/>
          </w:tcPr>
          <w:p>
            <w:pPr>
              <w:pStyle w:val="Normal"/>
              <w:widowControl/>
              <w:bidi w:val="0"/>
              <w:spacing w:lineRule="auto" w:line="240" w:before="0" w:after="40"/>
              <w:jc w:val="start"/>
              <w:rPr/>
            </w:pPr>
            <w:r>
              <w:rPr>
                <w:sz w:val="18"/>
              </w:rPr>
              <w:t>Exact finite tables and factorization assertions; D33/O54.</w:t>
            </w:r>
          </w:p>
        </w:tc>
      </w:tr>
      <w:tr>
        <w:trPr/>
        <w:tc>
          <w:tcPr>
            <w:tcW w:w="2340" w:type="dxa"/>
            <w:tcBorders/>
            <w:vAlign w:val="top"/>
          </w:tcPr>
          <w:p>
            <w:pPr>
              <w:pStyle w:val="Normal"/>
              <w:widowControl/>
              <w:bidi w:val="0"/>
              <w:spacing w:lineRule="auto" w:line="240" w:before="0" w:after="40"/>
              <w:jc w:val="start"/>
              <w:rPr/>
            </w:pPr>
            <w:r>
              <w:rPr>
                <w:sz w:val="18"/>
              </w:rPr>
              <w:t>T55@2.3</w:t>
            </w:r>
          </w:p>
        </w:tc>
        <w:tc>
          <w:tcPr>
            <w:tcW w:w="2340" w:type="dxa"/>
            <w:tcBorders/>
            <w:vAlign w:val="top"/>
          </w:tcPr>
          <w:p>
            <w:pPr>
              <w:pStyle w:val="Normal"/>
              <w:widowControl/>
              <w:bidi w:val="0"/>
              <w:spacing w:lineRule="auto" w:line="240" w:before="0" w:after="40"/>
              <w:jc w:val="start"/>
              <w:rPr/>
            </w:pPr>
            <w:r>
              <w:rPr>
                <w:sz w:val="18"/>
              </w:rPr>
              <w:t>HYBRID. FX55-TOTALIZATION: separately exercise non-surjective reachable image, totalizable and nontotalizable codomains, W=∅, empty answer type, and undefined detector cases.</w:t>
            </w:r>
          </w:p>
        </w:tc>
        <w:tc>
          <w:tcPr>
            <w:tcW w:w="2340" w:type="dxa"/>
            <w:tcBorders/>
            <w:vAlign w:val="top"/>
          </w:tcPr>
          <w:p>
            <w:pPr>
              <w:pStyle w:val="Normal"/>
              <w:widowControl/>
              <w:bidi w:val="0"/>
              <w:spacing w:lineRule="auto" w:line="240" w:before="0" w:after="40"/>
              <w:jc w:val="start"/>
              <w:rPr/>
            </w:pPr>
            <w:r>
              <w:rPr>
                <w:sz w:val="18"/>
              </w:rPr>
              <w:t>Manufacture a source, extension, answer, total decoder, or numeric zero from vacuity or undefinedness.</w:t>
            </w:r>
          </w:p>
        </w:tc>
        <w:tc>
          <w:tcPr>
            <w:tcW w:w="2340" w:type="dxa"/>
            <w:tcBorders/>
            <w:vAlign w:val="top"/>
          </w:tcPr>
          <w:p>
            <w:pPr>
              <w:pStyle w:val="Normal"/>
              <w:widowControl/>
              <w:bidi w:val="0"/>
              <w:spacing w:lineRule="auto" w:line="240" w:before="0" w:after="40"/>
              <w:jc w:val="start"/>
              <w:rPr/>
            </w:pPr>
            <w:r>
              <w:rPr>
                <w:sz w:val="18"/>
              </w:rPr>
              <w:t>Domain/cardinality log and existence-seam review; D33/O54.</w:t>
            </w:r>
          </w:p>
        </w:tc>
      </w:tr>
      <w:tr>
        <w:trPr/>
        <w:tc>
          <w:tcPr>
            <w:tcW w:w="2340" w:type="dxa"/>
            <w:tcBorders/>
            <w:vAlign w:val="top"/>
            <w:shd w:fill="F7F9FB"/>
          </w:tcPr>
          <w:p>
            <w:pPr>
              <w:pStyle w:val="Normal"/>
              <w:widowControl/>
              <w:bidi w:val="0"/>
              <w:spacing w:lineRule="auto" w:line="240" w:before="0" w:after="40"/>
              <w:jc w:val="start"/>
              <w:rPr/>
            </w:pPr>
            <w:r>
              <w:rPr>
                <w:sz w:val="18"/>
              </w:rPr>
              <w:t>T56@2.3</w:t>
            </w:r>
          </w:p>
        </w:tc>
        <w:tc>
          <w:tcPr>
            <w:tcW w:w="2340" w:type="dxa"/>
            <w:tcBorders/>
            <w:vAlign w:val="top"/>
            <w:shd w:fill="F7F9FB"/>
          </w:tcPr>
          <w:p>
            <w:pPr>
              <w:pStyle w:val="Normal"/>
              <w:widowControl/>
              <w:bidi w:val="0"/>
              <w:spacing w:lineRule="auto" w:line="240" w:before="0" w:after="40"/>
              <w:jc w:val="start"/>
              <w:rPr/>
            </w:pPr>
            <w:r>
              <w:rPr>
                <w:sz w:val="18"/>
              </w:rPr>
              <w:t>HYBRID. FX56-DECODER-CLASS: issue separate claims for set-theoretic reachable decoding and, only under the strict compact-to-Hausdorff quotient assumptions, continuous decoding; leave all other class flags independently evidenced.</w:t>
            </w:r>
          </w:p>
        </w:tc>
        <w:tc>
          <w:tcPr>
            <w:tcW w:w="2340" w:type="dxa"/>
            <w:tcBorders/>
            <w:vAlign w:val="top"/>
            <w:shd w:fill="F7F9FB"/>
          </w:tcPr>
          <w:p>
            <w:pPr>
              <w:pStyle w:val="Normal"/>
              <w:widowControl/>
              <w:bidi w:val="0"/>
              <w:spacing w:lineRule="auto" w:line="240" w:before="0" w:after="40"/>
              <w:jc w:val="start"/>
              <w:rPr/>
            </w:pPr>
            <w:r>
              <w:rPr>
                <w:sz w:val="18"/>
              </w:rPr>
              <w:t>Infer computability, efficiency, causality, privacy, consent, permission, standing, or authority from function existence.</w:t>
            </w:r>
          </w:p>
        </w:tc>
        <w:tc>
          <w:tcPr>
            <w:tcW w:w="2340" w:type="dxa"/>
            <w:tcBorders/>
            <w:vAlign w:val="top"/>
            <w:shd w:fill="F7F9FB"/>
          </w:tcPr>
          <w:p>
            <w:pPr>
              <w:pStyle w:val="Normal"/>
              <w:widowControl/>
              <w:bidi w:val="0"/>
              <w:spacing w:lineRule="auto" w:line="240" w:before="0" w:after="40"/>
              <w:jc w:val="start"/>
              <w:rPr/>
            </w:pPr>
            <w:r>
              <w:rPr>
                <w:sz w:val="18"/>
              </w:rPr>
              <w:t>Class-by-class witness matrix and authority review; D33/O54.</w:t>
            </w:r>
          </w:p>
        </w:tc>
      </w:tr>
      <w:tr>
        <w:trPr/>
        <w:tc>
          <w:tcPr>
            <w:tcW w:w="2340" w:type="dxa"/>
            <w:tcBorders/>
            <w:vAlign w:val="top"/>
          </w:tcPr>
          <w:p>
            <w:pPr>
              <w:pStyle w:val="Normal"/>
              <w:widowControl/>
              <w:bidi w:val="0"/>
              <w:spacing w:lineRule="auto" w:line="240" w:before="0" w:after="40"/>
              <w:jc w:val="start"/>
              <w:rPr/>
            </w:pPr>
            <w:r>
              <w:rPr>
                <w:sz w:val="18"/>
              </w:rPr>
              <w:t>T57@2.3</w:t>
            </w:r>
          </w:p>
        </w:tc>
        <w:tc>
          <w:tcPr>
            <w:tcW w:w="2340" w:type="dxa"/>
            <w:tcBorders/>
            <w:vAlign w:val="top"/>
          </w:tcPr>
          <w:p>
            <w:pPr>
              <w:pStyle w:val="Normal"/>
              <w:widowControl/>
              <w:bidi w:val="0"/>
              <w:spacing w:lineRule="auto" w:line="240" w:before="0" w:after="40"/>
              <w:jc w:val="start"/>
              <w:rPr/>
            </w:pPr>
            <w:r>
              <w:rPr>
                <w:sz w:val="18"/>
              </w:rPr>
              <w:t>MACHINE+SEMANTIC. FX57-TRANSFORMS: verify postprocessing monotonicity, refinement intersection, deterministic restatement, question coarsening, the finite auxiliary-label lower bound under declared finite hypotheses, the joint-trace kernel identity, and an XOR strict-joint-sufficiency fixture.</w:t>
            </w:r>
          </w:p>
        </w:tc>
        <w:tc>
          <w:tcPr>
            <w:tcW w:w="2340" w:type="dxa"/>
            <w:tcBorders/>
            <w:vAlign w:val="top"/>
          </w:tcPr>
          <w:p>
            <w:pPr>
              <w:pStyle w:val="Normal"/>
              <w:widowControl/>
              <w:bidi w:val="0"/>
              <w:spacing w:lineRule="auto" w:line="240" w:before="0" w:after="40"/>
              <w:jc w:val="start"/>
              <w:rPr/>
            </w:pPr>
            <w:r>
              <w:rPr>
                <w:sz w:val="18"/>
              </w:rPr>
              <w:t>Repair an existing collision by postprocessing; count copied trace as side evidence; convert number of conflict pairs directly into bit cost; or infer causal interaction, generation, or authority from joint certification.</w:t>
            </w:r>
          </w:p>
        </w:tc>
        <w:tc>
          <w:tcPr>
            <w:tcW w:w="2340" w:type="dxa"/>
            <w:tcBorders/>
            <w:vAlign w:val="top"/>
          </w:tcPr>
          <w:p>
            <w:pPr>
              <w:pStyle w:val="Normal"/>
              <w:widowControl/>
              <w:bidi w:val="0"/>
              <w:spacing w:lineRule="auto" w:line="240" w:before="0" w:after="40"/>
              <w:jc w:val="start"/>
              <w:rPr/>
            </w:pPr>
            <w:r>
              <w:rPr>
                <w:sz w:val="18"/>
              </w:rPr>
              <w:t>Exact relation sets, transformation and joint-kernel logs, XOR truth table, hypothesis/ceiling review; D33/O54.</w:t>
            </w:r>
          </w:p>
        </w:tc>
      </w:tr>
      <w:tr>
        <w:trPr/>
        <w:tc>
          <w:tcPr>
            <w:tcW w:w="2340" w:type="dxa"/>
            <w:tcBorders/>
            <w:vAlign w:val="top"/>
            <w:shd w:fill="F7F9FB"/>
          </w:tcPr>
          <w:p>
            <w:pPr>
              <w:pStyle w:val="Normal"/>
              <w:widowControl/>
              <w:bidi w:val="0"/>
              <w:spacing w:lineRule="auto" w:line="240" w:before="0" w:after="40"/>
              <w:jc w:val="start"/>
              <w:rPr/>
            </w:pPr>
            <w:r>
              <w:rPr>
                <w:sz w:val="18"/>
              </w:rPr>
              <w:t>T58@2.3</w:t>
            </w:r>
          </w:p>
        </w:tc>
        <w:tc>
          <w:tcPr>
            <w:tcW w:w="2340" w:type="dxa"/>
            <w:tcBorders/>
            <w:vAlign w:val="top"/>
            <w:shd w:fill="F7F9FB"/>
          </w:tcPr>
          <w:p>
            <w:pPr>
              <w:pStyle w:val="Normal"/>
              <w:widowControl/>
              <w:bidi w:val="0"/>
              <w:spacing w:lineRule="auto" w:line="240" w:before="0" w:after="40"/>
              <w:jc w:val="start"/>
              <w:rPr/>
            </w:pPr>
            <w:r>
              <w:rPr>
                <w:sz w:val="18"/>
              </w:rPr>
              <w:t>HYBRID. F-GOLD-BIGON plus FX58-RAINBOW-HISTORY: compare labeled arcs, endpoints, displacement, signed second-level area, hollow/filled bigon state, and RAINBOW endpoint/history fibers with separately retained receipts.</w:t>
            </w:r>
          </w:p>
        </w:tc>
        <w:tc>
          <w:tcPr>
            <w:tcW w:w="2340" w:type="dxa"/>
            <w:tcBorders/>
            <w:vAlign w:val="top"/>
            <w:shd w:fill="F7F9FB"/>
          </w:tcPr>
          <w:p>
            <w:pPr>
              <w:pStyle w:val="Normal"/>
              <w:widowControl/>
              <w:bidi w:val="0"/>
              <w:spacing w:lineRule="auto" w:line="240" w:before="0" w:after="40"/>
              <w:jc w:val="start"/>
              <w:rPr/>
            </w:pPr>
            <w:r>
              <w:rPr>
                <w:sz w:val="18"/>
              </w:rPr>
              <w:t>Identify endpoint with path; let H₁=0, a label, ribbon overlap, or endpoint confluence erase/create a receipt or prove interference.</w:t>
            </w:r>
          </w:p>
        </w:tc>
        <w:tc>
          <w:tcPr>
            <w:tcW w:w="2340" w:type="dxa"/>
            <w:tcBorders/>
            <w:vAlign w:val="top"/>
            <w:shd w:fill="F7F9FB"/>
          </w:tcPr>
          <w:p>
            <w:pPr>
              <w:pStyle w:val="Normal"/>
              <w:widowControl/>
              <w:bidi w:val="0"/>
              <w:spacing w:lineRule="auto" w:line="240" w:before="0" w:after="40"/>
              <w:jc w:val="start"/>
              <w:rPr/>
            </w:pPr>
            <w:r>
              <w:rPr>
                <w:sz w:val="18"/>
              </w:rPr>
              <w:t>Exact route/area record, homology/source locator, history-store and semantic review; D31/D37/D39, O52/O59/O62.</w:t>
            </w:r>
          </w:p>
        </w:tc>
      </w:tr>
      <w:tr>
        <w:trPr/>
        <w:tc>
          <w:tcPr>
            <w:tcW w:w="2340" w:type="dxa"/>
            <w:tcBorders/>
            <w:vAlign w:val="top"/>
          </w:tcPr>
          <w:p>
            <w:pPr>
              <w:pStyle w:val="Normal"/>
              <w:widowControl/>
              <w:bidi w:val="0"/>
              <w:spacing w:lineRule="auto" w:line="240" w:before="0" w:after="40"/>
              <w:jc w:val="start"/>
              <w:rPr/>
            </w:pPr>
            <w:r>
              <w:rPr>
                <w:sz w:val="18"/>
              </w:rPr>
              <w:t>T59@2.3</w:t>
            </w:r>
          </w:p>
        </w:tc>
        <w:tc>
          <w:tcPr>
            <w:tcW w:w="2340" w:type="dxa"/>
            <w:tcBorders/>
            <w:vAlign w:val="top"/>
          </w:tcPr>
          <w:p>
            <w:pPr>
              <w:pStyle w:val="Normal"/>
              <w:widowControl/>
              <w:bidi w:val="0"/>
              <w:spacing w:lineRule="auto" w:line="240" w:before="0" w:after="40"/>
              <w:jc w:val="start"/>
              <w:rPr/>
            </w:pPr>
            <w:r>
              <w:rPr>
                <w:sz w:val="18"/>
              </w:rPr>
              <w:t>HYBRID. F-GOLD-CUBE plus FX59-RAINBOW-DOMAIN: verify all twelve cube-graph edges survive the graph-to-wheel map while 000 and 111 collide; then replace the source by the solid cube and refuse the discrete one-bit result.</w:t>
            </w:r>
          </w:p>
        </w:tc>
        <w:tc>
          <w:tcPr>
            <w:tcW w:w="2340" w:type="dxa"/>
            <w:tcBorders/>
            <w:vAlign w:val="top"/>
          </w:tcPr>
          <w:p>
            <w:pPr>
              <w:pStyle w:val="Normal"/>
              <w:widowControl/>
              <w:bidi w:val="0"/>
              <w:spacing w:lineRule="auto" w:line="240" w:before="0" w:after="40"/>
              <w:jc w:val="start"/>
              <w:rPr/>
            </w:pPr>
            <w:r>
              <w:rPr>
                <w:sz w:val="18"/>
              </w:rPr>
              <w:t>Infer source identity from relation preservation or transfer the two-point bit bound to a continuum fiber, shell, orbit, or drawing.</w:t>
            </w:r>
          </w:p>
        </w:tc>
        <w:tc>
          <w:tcPr>
            <w:tcW w:w="2340" w:type="dxa"/>
            <w:tcBorders/>
            <w:vAlign w:val="top"/>
          </w:tcPr>
          <w:p>
            <w:pPr>
              <w:pStyle w:val="Normal"/>
              <w:widowControl/>
              <w:bidi w:val="0"/>
              <w:spacing w:lineRule="auto" w:line="240" w:before="0" w:after="40"/>
              <w:jc w:val="start"/>
              <w:rPr/>
            </w:pPr>
            <w:r>
              <w:rPr>
                <w:sz w:val="18"/>
              </w:rPr>
              <w:t>Adjacency/fiber enumeration and domain-scope review; D31/D37/D39, O52/O59/O62.</w:t>
            </w:r>
          </w:p>
        </w:tc>
      </w:tr>
      <w:tr>
        <w:trPr/>
        <w:tc>
          <w:tcPr>
            <w:tcW w:w="2340" w:type="dxa"/>
            <w:tcBorders/>
            <w:vAlign w:val="top"/>
            <w:shd w:fill="F7F9FB"/>
          </w:tcPr>
          <w:p>
            <w:pPr>
              <w:pStyle w:val="Normal"/>
              <w:widowControl/>
              <w:bidi w:val="0"/>
              <w:spacing w:lineRule="auto" w:line="240" w:before="0" w:after="40"/>
              <w:jc w:val="start"/>
              <w:rPr/>
            </w:pPr>
            <w:r>
              <w:rPr>
                <w:sz w:val="18"/>
              </w:rPr>
              <w:t>T60@2.3</w:t>
            </w:r>
          </w:p>
        </w:tc>
        <w:tc>
          <w:tcPr>
            <w:tcW w:w="2340" w:type="dxa"/>
            <w:tcBorders/>
            <w:vAlign w:val="top"/>
            <w:shd w:fill="F7F9FB"/>
          </w:tcPr>
          <w:p>
            <w:pPr>
              <w:pStyle w:val="Normal"/>
              <w:widowControl/>
              <w:bidi w:val="0"/>
              <w:spacing w:lineRule="auto" w:line="240" w:before="0" w:after="40"/>
              <w:jc w:val="start"/>
              <w:rPr/>
            </w:pPr>
            <w:r>
              <w:rPr>
                <w:sz w:val="18"/>
              </w:rPr>
              <w:t>MACHINE+SEMANTIC. M-A2-TRACE-LIFT: exhibit an update collision, prove the action-bit lift injective by explicit left inverse, reverse a known finite schedule from stored bits, and retrieve the bound A2 record.</w:t>
            </w:r>
          </w:p>
        </w:tc>
        <w:tc>
          <w:tcPr>
            <w:tcW w:w="2340" w:type="dxa"/>
            <w:tcBorders/>
            <w:vAlign w:val="top"/>
            <w:shd w:fill="F7F9FB"/>
          </w:tcPr>
          <w:p>
            <w:pPr>
              <w:pStyle w:val="Normal"/>
              <w:widowControl/>
              <w:bidi w:val="0"/>
              <w:spacing w:lineRule="auto" w:line="240" w:before="0" w:after="40"/>
              <w:jc w:val="start"/>
              <w:rPr/>
            </w:pPr>
            <w:r>
              <w:rPr>
                <w:sz w:val="18"/>
              </w:rPr>
              <w:t>Discard or leave the bit transient; substitute a digest that cannot thaw; claim A2 persistence or global optimality from algebraic reversibility.</w:t>
            </w:r>
          </w:p>
        </w:tc>
        <w:tc>
          <w:tcPr>
            <w:tcW w:w="2340" w:type="dxa"/>
            <w:tcBorders/>
            <w:vAlign w:val="top"/>
            <w:shd w:fill="F7F9FB"/>
          </w:tcPr>
          <w:p>
            <w:pPr>
              <w:pStyle w:val="Normal"/>
              <w:widowControl/>
              <w:bidi w:val="0"/>
              <w:spacing w:lineRule="auto" w:line="240" w:before="0" w:after="40"/>
              <w:jc w:val="start"/>
              <w:rPr/>
            </w:pPr>
            <w:r>
              <w:rPr>
                <w:sz w:val="18"/>
              </w:rPr>
              <w:t>Exhaustive local map, inverse/replay log, storage-address receipt; D34/O55.</w:t>
            </w:r>
          </w:p>
        </w:tc>
      </w:tr>
      <w:tr>
        <w:trPr/>
        <w:tc>
          <w:tcPr>
            <w:tcW w:w="2340" w:type="dxa"/>
            <w:tcBorders/>
            <w:vAlign w:val="top"/>
          </w:tcPr>
          <w:p>
            <w:pPr>
              <w:pStyle w:val="Normal"/>
              <w:widowControl/>
              <w:bidi w:val="0"/>
              <w:spacing w:lineRule="auto" w:line="240" w:before="0" w:after="40"/>
              <w:jc w:val="start"/>
              <w:rPr/>
            </w:pPr>
            <w:r>
              <w:rPr>
                <w:sz w:val="18"/>
              </w:rPr>
              <w:t>T61@2.3</w:t>
            </w:r>
          </w:p>
        </w:tc>
        <w:tc>
          <w:tcPr>
            <w:tcW w:w="2340" w:type="dxa"/>
            <w:tcBorders/>
            <w:vAlign w:val="top"/>
          </w:tcPr>
          <w:p>
            <w:pPr>
              <w:pStyle w:val="Normal"/>
              <w:widowControl/>
              <w:bidi w:val="0"/>
              <w:spacing w:lineRule="auto" w:line="240" w:before="0" w:after="40"/>
              <w:jc w:val="start"/>
              <w:rPr/>
            </w:pPr>
            <w:r>
              <w:rPr>
                <w:sz w:val="18"/>
              </w:rPr>
              <w:t>MACHINE+SEMANTIC. F-SCT-PAIRWISE and F-FUNG-SWEEP: enumerate finite V² as diagonal plus oriented nonloops, check chain boundaries, n² scheduled comparisons, pass invariant, and reverse reconstruction.</w:t>
            </w:r>
          </w:p>
        </w:tc>
        <w:tc>
          <w:tcPr>
            <w:tcW w:w="2340" w:type="dxa"/>
            <w:tcBorders/>
            <w:vAlign w:val="top"/>
          </w:tcPr>
          <w:p>
            <w:pPr>
              <w:pStyle w:val="Normal"/>
              <w:widowControl/>
              <w:bidi w:val="0"/>
              <w:spacing w:lineRule="auto" w:line="240" w:before="0" w:after="40"/>
              <w:jc w:val="start"/>
              <w:rPr/>
            </w:pPr>
            <w:r>
              <w:rPr>
                <w:sz w:val="18"/>
              </w:rPr>
              <w:t>Use an infinite terminating sweep, omit schedule dependence, claim practical superiority, or inflate a local lower bound into whole-run minimality.</w:t>
            </w:r>
          </w:p>
        </w:tc>
        <w:tc>
          <w:tcPr>
            <w:tcW w:w="2340" w:type="dxa"/>
            <w:tcBorders/>
            <w:vAlign w:val="top"/>
          </w:tcPr>
          <w:p>
            <w:pPr>
              <w:pStyle w:val="Normal"/>
              <w:widowControl/>
              <w:bidi w:val="0"/>
              <w:spacing w:lineRule="auto" w:line="240" w:before="0" w:after="40"/>
              <w:jc w:val="start"/>
              <w:rPr/>
            </w:pPr>
            <w:r>
              <w:rPr>
                <w:sz w:val="18"/>
              </w:rPr>
              <w:t>Finite roster/schedule log, invariant trace, source-credit and quantifier review; D34/D37, O55/O59.</w:t>
            </w:r>
          </w:p>
        </w:tc>
      </w:tr>
      <w:tr>
        <w:trPr/>
        <w:tc>
          <w:tcPr>
            <w:tcW w:w="2340" w:type="dxa"/>
            <w:tcBorders/>
            <w:vAlign w:val="top"/>
            <w:shd w:fill="F7F9FB"/>
          </w:tcPr>
          <w:p>
            <w:pPr>
              <w:pStyle w:val="Normal"/>
              <w:widowControl/>
              <w:bidi w:val="0"/>
              <w:spacing w:lineRule="auto" w:line="240" w:before="0" w:after="40"/>
              <w:jc w:val="start"/>
              <w:rPr/>
            </w:pPr>
            <w:r>
              <w:rPr>
                <w:sz w:val="18"/>
              </w:rPr>
              <w:t>T62@2.3</w:t>
            </w:r>
          </w:p>
        </w:tc>
        <w:tc>
          <w:tcPr>
            <w:tcW w:w="2340" w:type="dxa"/>
            <w:tcBorders/>
            <w:vAlign w:val="top"/>
            <w:shd w:fill="F7F9FB"/>
          </w:tcPr>
          <w:p>
            <w:pPr>
              <w:pStyle w:val="Normal"/>
              <w:widowControl/>
              <w:bidi w:val="0"/>
              <w:spacing w:lineRule="auto" w:line="240" w:before="0" w:after="40"/>
              <w:jc w:val="start"/>
              <w:rPr/>
            </w:pPr>
            <w:r>
              <w:rPr>
                <w:sz w:val="18"/>
              </w:rPr>
              <w:t>MACHINE+SEMANTIC. M-RETURN-PROJ: classify exact fixed point, projected stutter, hidden motion, direct residual, collapse, periodic return, export, and a product-state heartbeat that fixes work while appending audit.</w:t>
            </w:r>
          </w:p>
        </w:tc>
        <w:tc>
          <w:tcPr>
            <w:tcW w:w="2340" w:type="dxa"/>
            <w:tcBorders/>
            <w:vAlign w:val="top"/>
            <w:shd w:fill="F7F9FB"/>
          </w:tcPr>
          <w:p>
            <w:pPr>
              <w:pStyle w:val="Normal"/>
              <w:widowControl/>
              <w:bidi w:val="0"/>
              <w:spacing w:lineRule="auto" w:line="240" w:before="0" w:after="40"/>
              <w:jc w:val="start"/>
              <w:rPr/>
            </w:pPr>
            <w:r>
              <w:rPr>
                <w:sz w:val="18"/>
              </w:rPr>
              <w:t>Promote projected equality to total identity or delete an exported receipt because direct residual is zero.</w:t>
            </w:r>
          </w:p>
        </w:tc>
        <w:tc>
          <w:tcPr>
            <w:tcW w:w="2340" w:type="dxa"/>
            <w:tcBorders/>
            <w:vAlign w:val="top"/>
            <w:shd w:fill="F7F9FB"/>
          </w:tcPr>
          <w:p>
            <w:pPr>
              <w:pStyle w:val="Normal"/>
              <w:widowControl/>
              <w:bidi w:val="0"/>
              <w:spacing w:lineRule="auto" w:line="240" w:before="0" w:after="40"/>
              <w:jc w:val="start"/>
              <w:rPr/>
            </w:pPr>
            <w:r>
              <w:rPr>
                <w:sz w:val="18"/>
              </w:rPr>
              <w:t>State-coordinate truth table, transition log, projection/authority review; D35/O56.</w:t>
            </w:r>
          </w:p>
        </w:tc>
      </w:tr>
      <w:tr>
        <w:trPr/>
        <w:tc>
          <w:tcPr>
            <w:tcW w:w="2340" w:type="dxa"/>
            <w:tcBorders/>
            <w:vAlign w:val="top"/>
          </w:tcPr>
          <w:p>
            <w:pPr>
              <w:pStyle w:val="Normal"/>
              <w:widowControl/>
              <w:bidi w:val="0"/>
              <w:spacing w:lineRule="auto" w:line="240" w:before="0" w:after="40"/>
              <w:jc w:val="start"/>
              <w:rPr/>
            </w:pPr>
            <w:r>
              <w:rPr>
                <w:sz w:val="18"/>
              </w:rPr>
              <w:t>T63@2.3</w:t>
            </w:r>
          </w:p>
        </w:tc>
        <w:tc>
          <w:tcPr>
            <w:tcW w:w="2340" w:type="dxa"/>
            <w:tcBorders/>
            <w:vAlign w:val="top"/>
          </w:tcPr>
          <w:p>
            <w:pPr>
              <w:pStyle w:val="Normal"/>
              <w:widowControl/>
              <w:bidi w:val="0"/>
              <w:spacing w:lineRule="auto" w:line="240" w:before="0" w:after="40"/>
              <w:jc w:val="start"/>
              <w:rPr/>
            </w:pPr>
            <w:r>
              <w:rPr>
                <w:sz w:val="18"/>
              </w:rPr>
              <w:t>MACHINE+SEMANTIC. M-A12-CAPSULE: serialize a complete capsule, check r∘f=id on declared work state, replay thaw, and separately revalidate cursor, comparator, schedule, code/dependency/environment, invariant, grant, resource, authority, audit, residual, and trace coordinates.</w:t>
            </w:r>
          </w:p>
        </w:tc>
        <w:tc>
          <w:tcPr>
            <w:tcW w:w="2340" w:type="dxa"/>
            <w:tcBorders/>
            <w:vAlign w:val="top"/>
          </w:tcPr>
          <w:p>
            <w:pPr>
              <w:pStyle w:val="Normal"/>
              <w:widowControl/>
              <w:bidi w:val="0"/>
              <w:spacing w:lineRule="auto" w:line="240" w:before="0" w:after="40"/>
              <w:jc w:val="start"/>
              <w:rPr/>
            </w:pPr>
            <w:r>
              <w:rPr>
                <w:sz w:val="18"/>
              </w:rPr>
              <w:t>Use hash-only storage, omit cursor or identity input, present only an invariant formula, or conflate non-work equality with thaw.</w:t>
            </w:r>
          </w:p>
        </w:tc>
        <w:tc>
          <w:tcPr>
            <w:tcW w:w="2340" w:type="dxa"/>
            <w:tcBorders/>
            <w:vAlign w:val="top"/>
          </w:tcPr>
          <w:p>
            <w:pPr>
              <w:pStyle w:val="Normal"/>
              <w:widowControl/>
              <w:bidi w:val="0"/>
              <w:spacing w:lineRule="auto" w:line="240" w:before="0" w:after="40"/>
              <w:jc w:val="start"/>
              <w:rPr/>
            </w:pPr>
            <w:r>
              <w:rPr>
                <w:sz w:val="18"/>
              </w:rPr>
              <w:t>Freeze/thaw bytes, field inventory, replay log, semantic transport ceiling; D36/O57.</w:t>
            </w:r>
          </w:p>
        </w:tc>
      </w:tr>
      <w:tr>
        <w:trPr/>
        <w:tc>
          <w:tcPr>
            <w:tcW w:w="2340" w:type="dxa"/>
            <w:tcBorders/>
            <w:vAlign w:val="top"/>
            <w:shd w:fill="F7F9FB"/>
          </w:tcPr>
          <w:p>
            <w:pPr>
              <w:pStyle w:val="Normal"/>
              <w:widowControl/>
              <w:bidi w:val="0"/>
              <w:spacing w:lineRule="auto" w:line="240" w:before="0" w:after="40"/>
              <w:jc w:val="start"/>
              <w:rPr/>
            </w:pPr>
            <w:r>
              <w:rPr>
                <w:sz w:val="18"/>
              </w:rPr>
              <w:t>T64@2.3</w:t>
            </w:r>
          </w:p>
        </w:tc>
        <w:tc>
          <w:tcPr>
            <w:tcW w:w="2340" w:type="dxa"/>
            <w:tcBorders/>
            <w:vAlign w:val="top"/>
            <w:shd w:fill="F7F9FB"/>
          </w:tcPr>
          <w:p>
            <w:pPr>
              <w:pStyle w:val="Normal"/>
              <w:widowControl/>
              <w:bidi w:val="0"/>
              <w:spacing w:lineRule="auto" w:line="240" w:before="0" w:after="40"/>
              <w:jc w:val="start"/>
              <w:rPr/>
            </w:pPr>
            <w:r>
              <w:rPr>
                <w:sz w:val="18"/>
              </w:rPr>
              <w:t>MACHINE+SEMANTIC. FX64-REENTRY: compare uninterrupted and resumed deterministic suffixes on work state; inject each material mismatch; enforce one live A12 token and append a transport-break/A15 re-entry history.</w:t>
            </w:r>
          </w:p>
        </w:tc>
        <w:tc>
          <w:tcPr>
            <w:tcW w:w="2340" w:type="dxa"/>
            <w:tcBorders/>
            <w:vAlign w:val="top"/>
            <w:shd w:fill="F7F9FB"/>
          </w:tcPr>
          <w:p>
            <w:pPr>
              <w:pStyle w:val="Normal"/>
              <w:widowControl/>
              <w:bidi w:val="0"/>
              <w:spacing w:lineRule="auto" w:line="240" w:before="0" w:after="40"/>
              <w:jc w:val="start"/>
              <w:rPr/>
            </w:pPr>
            <w:r>
              <w:rPr>
                <w:sz w:val="18"/>
              </w:rPr>
              <w:t>Duplicate token/authority, accept stale replay, continue without revalidation, expand authority, erase history, or introduce a fifth status.</w:t>
            </w:r>
          </w:p>
        </w:tc>
        <w:tc>
          <w:tcPr>
            <w:tcW w:w="2340" w:type="dxa"/>
            <w:tcBorders/>
            <w:vAlign w:val="top"/>
            <w:shd w:fill="F7F9FB"/>
          </w:tcPr>
          <w:p>
            <w:pPr>
              <w:pStyle w:val="Normal"/>
              <w:widowControl/>
              <w:bidi w:val="0"/>
              <w:spacing w:lineRule="auto" w:line="240" w:before="0" w:after="40"/>
              <w:jc w:val="start"/>
              <w:rPr/>
            </w:pPr>
            <w:r>
              <w:rPr>
                <w:sz w:val="18"/>
              </w:rPr>
              <w:t>Suffix comparison, token ledger, mismatch matrix, history graph; D36/O57.</w:t>
            </w:r>
          </w:p>
        </w:tc>
      </w:tr>
      <w:tr>
        <w:trPr/>
        <w:tc>
          <w:tcPr>
            <w:tcW w:w="2340" w:type="dxa"/>
            <w:tcBorders/>
            <w:vAlign w:val="top"/>
          </w:tcPr>
          <w:p>
            <w:pPr>
              <w:pStyle w:val="Normal"/>
              <w:widowControl/>
              <w:bidi w:val="0"/>
              <w:spacing w:lineRule="auto" w:line="240" w:before="0" w:after="40"/>
              <w:jc w:val="start"/>
              <w:rPr/>
            </w:pPr>
            <w:r>
              <w:rPr>
                <w:sz w:val="18"/>
              </w:rPr>
              <w:t>T65@2.3</w:t>
            </w:r>
          </w:p>
        </w:tc>
        <w:tc>
          <w:tcPr>
            <w:tcW w:w="2340" w:type="dxa"/>
            <w:tcBorders/>
            <w:vAlign w:val="top"/>
          </w:tcPr>
          <w:p>
            <w:pPr>
              <w:pStyle w:val="Normal"/>
              <w:widowControl/>
              <w:bidi w:val="0"/>
              <w:spacing w:lineRule="auto" w:line="240" w:before="0" w:after="40"/>
              <w:jc w:val="start"/>
              <w:rPr/>
            </w:pPr>
            <w:r>
              <w:rPr>
                <w:sz w:val="18"/>
              </w:rPr>
              <w:t>MACHINE+SEMANTIC. M-A13-STUTTER: classify →₀, →₁, and ⇒ = →₀* ; →₁ ; →₀*; verify productive rank/fairness evidence separately; include sparse checks around an unseen work mutation.</w:t>
            </w:r>
          </w:p>
        </w:tc>
        <w:tc>
          <w:tcPr>
            <w:tcW w:w="2340" w:type="dxa"/>
            <w:tcBorders/>
            <w:vAlign w:val="top"/>
          </w:tcPr>
          <w:p>
            <w:pPr>
              <w:pStyle w:val="Normal"/>
              <w:widowControl/>
              <w:bidi w:val="0"/>
              <w:spacing w:lineRule="auto" w:line="240" w:before="0" w:after="40"/>
              <w:jc w:val="start"/>
              <w:rPr/>
            </w:pPr>
            <w:r>
              <w:rPr>
                <w:sz w:val="18"/>
              </w:rPr>
              <w:t>Count receipts, time, wakeups, quiescence, stagnation, or heartbeat-only recurrence as cadence, success, or certified progress.</w:t>
            </w:r>
          </w:p>
        </w:tc>
        <w:tc>
          <w:tcPr>
            <w:tcW w:w="2340" w:type="dxa"/>
            <w:tcBorders/>
            <w:vAlign w:val="top"/>
          </w:tcPr>
          <w:p>
            <w:pPr>
              <w:pStyle w:val="Normal"/>
              <w:widowControl/>
              <w:bidi w:val="0"/>
              <w:spacing w:lineRule="auto" w:line="240" w:before="0" w:after="40"/>
              <w:jc w:val="start"/>
              <w:rPr/>
            </w:pPr>
            <w:r>
              <w:rPr>
                <w:sz w:val="18"/>
              </w:rPr>
              <w:t>Transition trace, rank/fairness evidence, hidden-mutation and semantic review; D35/D36, O56/O58.</w:t>
            </w:r>
          </w:p>
        </w:tc>
      </w:tr>
      <w:tr>
        <w:trPr/>
        <w:tc>
          <w:tcPr>
            <w:tcW w:w="2340" w:type="dxa"/>
            <w:tcBorders/>
            <w:vAlign w:val="top"/>
            <w:shd w:fill="F7F9FB"/>
          </w:tcPr>
          <w:p>
            <w:pPr>
              <w:pStyle w:val="Normal"/>
              <w:widowControl/>
              <w:bidi w:val="0"/>
              <w:spacing w:lineRule="auto" w:line="240" w:before="0" w:after="40"/>
              <w:jc w:val="start"/>
              <w:rPr/>
            </w:pPr>
            <w:r>
              <w:rPr>
                <w:sz w:val="18"/>
              </w:rPr>
              <w:t>T66@2.3</w:t>
            </w:r>
          </w:p>
        </w:tc>
        <w:tc>
          <w:tcPr>
            <w:tcW w:w="2340" w:type="dxa"/>
            <w:tcBorders/>
            <w:vAlign w:val="top"/>
            <w:shd w:fill="F7F9FB"/>
          </w:tcPr>
          <w:p>
            <w:pPr>
              <w:pStyle w:val="Normal"/>
              <w:widowControl/>
              <w:bidi w:val="0"/>
              <w:spacing w:lineRule="auto" w:line="240" w:before="0" w:after="40"/>
              <w:jc w:val="start"/>
              <w:rPr/>
            </w:pPr>
            <w:r>
              <w:rPr>
                <w:sz w:val="18"/>
              </w:rPr>
              <w:t>SEMANTIC+MACHINE lint. FX66-HEARTBEAT-NAMESPACE: compare controller suspension heartbeat, source-declared exogenous pulse alignment, and any failure-detector use; bind subject, scheduler/clock, projection, observation, and ceiling.</w:t>
            </w:r>
          </w:p>
        </w:tc>
        <w:tc>
          <w:tcPr>
            <w:tcW w:w="2340" w:type="dxa"/>
            <w:tcBorders/>
            <w:vAlign w:val="top"/>
            <w:shd w:fill="F7F9FB"/>
          </w:tcPr>
          <w:p>
            <w:pPr>
              <w:pStyle w:val="Normal"/>
              <w:widowControl/>
              <w:bidi w:val="0"/>
              <w:spacing w:lineRule="auto" w:line="240" w:before="0" w:after="40"/>
              <w:jc w:val="start"/>
              <w:rPr/>
            </w:pPr>
            <w:r>
              <w:rPr>
                <w:sz w:val="18"/>
              </w:rPr>
              <w:t>Use a shared name to identify mechanisms or infer worker progress/success from monitor responsiveness.</w:t>
            </w:r>
          </w:p>
        </w:tc>
        <w:tc>
          <w:tcPr>
            <w:tcW w:w="2340" w:type="dxa"/>
            <w:tcBorders/>
            <w:vAlign w:val="top"/>
            <w:shd w:fill="F7F9FB"/>
          </w:tcPr>
          <w:p>
            <w:pPr>
              <w:pStyle w:val="Normal"/>
              <w:widowControl/>
              <w:bidi w:val="0"/>
              <w:spacing w:lineRule="auto" w:line="240" w:before="0" w:after="40"/>
              <w:jc w:val="start"/>
              <w:rPr/>
            </w:pPr>
            <w:r>
              <w:rPr>
                <w:sz w:val="18"/>
              </w:rPr>
              <w:t>Namespace table, source locators, lexical and semantic receipt; D35/O56.</w:t>
            </w:r>
          </w:p>
        </w:tc>
      </w:tr>
      <w:tr>
        <w:trPr/>
        <w:tc>
          <w:tcPr>
            <w:tcW w:w="2340" w:type="dxa"/>
            <w:tcBorders/>
            <w:vAlign w:val="top"/>
          </w:tcPr>
          <w:p>
            <w:pPr>
              <w:pStyle w:val="Normal"/>
              <w:widowControl/>
              <w:bidi w:val="0"/>
              <w:spacing w:lineRule="auto" w:line="240" w:before="0" w:after="40"/>
              <w:jc w:val="start"/>
              <w:rPr/>
            </w:pPr>
            <w:r>
              <w:rPr>
                <w:sz w:val="18"/>
              </w:rPr>
              <w:t>T67@2.3</w:t>
            </w:r>
          </w:p>
        </w:tc>
        <w:tc>
          <w:tcPr>
            <w:tcW w:w="2340" w:type="dxa"/>
            <w:tcBorders/>
            <w:vAlign w:val="top"/>
          </w:tcPr>
          <w:p>
            <w:pPr>
              <w:pStyle w:val="Normal"/>
              <w:widowControl/>
              <w:bidi w:val="0"/>
              <w:spacing w:lineRule="auto" w:line="240" w:before="0" w:after="40"/>
              <w:jc w:val="start"/>
              <w:rPr/>
            </w:pPr>
            <w:r>
              <w:rPr>
                <w:sz w:val="18"/>
              </w:rPr>
              <w:t>MACHINE+SEMANTIC. M-A14-SLACK: for each grant epoch compute sₖ=B−cₖ, include work-stuttering consumption, then append a linked top-up epoch.</w:t>
            </w:r>
          </w:p>
        </w:tc>
        <w:tc>
          <w:tcPr>
            <w:tcW w:w="2340" w:type="dxa"/>
            <w:tcBorders/>
            <w:vAlign w:val="top"/>
          </w:tcPr>
          <w:p>
            <w:pPr>
              <w:pStyle w:val="Normal"/>
              <w:widowControl/>
              <w:bidi w:val="0"/>
              <w:spacing w:lineRule="auto" w:line="240" w:before="0" w:after="40"/>
              <w:jc w:val="start"/>
              <w:rPr/>
            </w:pPr>
            <w:r>
              <w:rPr>
                <w:sz w:val="18"/>
              </w:rPr>
              <w:t>Let resume reset consumption or let state recoverability renew resource, grant, or authority.</w:t>
            </w:r>
          </w:p>
        </w:tc>
        <w:tc>
          <w:tcPr>
            <w:tcW w:w="2340" w:type="dxa"/>
            <w:tcBorders/>
            <w:vAlign w:val="top"/>
          </w:tcPr>
          <w:p>
            <w:pPr>
              <w:pStyle w:val="Normal"/>
              <w:widowControl/>
              <w:bidi w:val="0"/>
              <w:spacing w:lineRule="auto" w:line="240" w:before="0" w:after="40"/>
              <w:jc w:val="start"/>
              <w:rPr/>
            </w:pPr>
            <w:r>
              <w:rPr>
                <w:sz w:val="18"/>
              </w:rPr>
              <w:t>Exact budget ledger, monotonicity assertions, epoch-link review; D36/O58.</w:t>
            </w:r>
          </w:p>
        </w:tc>
      </w:tr>
      <w:tr>
        <w:trPr/>
        <w:tc>
          <w:tcPr>
            <w:tcW w:w="2340" w:type="dxa"/>
            <w:tcBorders/>
            <w:vAlign w:val="top"/>
            <w:shd w:fill="F7F9FB"/>
          </w:tcPr>
          <w:p>
            <w:pPr>
              <w:pStyle w:val="Normal"/>
              <w:widowControl/>
              <w:bidi w:val="0"/>
              <w:spacing w:lineRule="auto" w:line="240" w:before="0" w:after="40"/>
              <w:jc w:val="start"/>
              <w:rPr/>
            </w:pPr>
            <w:r>
              <w:rPr>
                <w:sz w:val="18"/>
              </w:rPr>
              <w:t>T68@2.3</w:t>
            </w:r>
          </w:p>
        </w:tc>
        <w:tc>
          <w:tcPr>
            <w:tcW w:w="2340" w:type="dxa"/>
            <w:tcBorders/>
            <w:vAlign w:val="top"/>
            <w:shd w:fill="F7F9FB"/>
          </w:tcPr>
          <w:p>
            <w:pPr>
              <w:pStyle w:val="Normal"/>
              <w:widowControl/>
              <w:bidi w:val="0"/>
              <w:spacing w:lineRule="auto" w:line="240" w:before="0" w:after="40"/>
              <w:jc w:val="start"/>
              <w:rPr/>
            </w:pPr>
            <w:r>
              <w:rPr>
                <w:sz w:val="18"/>
              </w:rPr>
              <w:t>MACHINE+RENDER+SEMANTIC. F-GOLD-LENS and FX68-RAINBOW-SHELL: verify exact triangular/Eisenstein carrier definitions, lens formulas, role labels, finite shell arithmetic, normalized-versus-unscaled scale, and lattice-only emptiness.</w:t>
            </w:r>
          </w:p>
        </w:tc>
        <w:tc>
          <w:tcPr>
            <w:tcW w:w="2340" w:type="dxa"/>
            <w:tcBorders/>
            <w:vAlign w:val="top"/>
            <w:shd w:fill="F7F9FB"/>
          </w:tcPr>
          <w:p>
            <w:pPr>
              <w:pStyle w:val="Normal"/>
              <w:widowControl/>
              <w:bidi w:val="0"/>
              <w:spacing w:lineRule="auto" w:line="240" w:before="0" w:after="40"/>
              <w:jc w:val="start"/>
              <w:rPr/>
            </w:pPr>
            <w:r>
              <w:rPr>
                <w:sz w:val="18"/>
              </w:rPr>
              <w:t>Claim an empty continuum or physical void, swap center/tip lens definitions, claim a least polygonal enclosure/universal scale, call a shell a boundary without its adapter, or let an SVG label override the card.</w:t>
            </w:r>
          </w:p>
        </w:tc>
        <w:tc>
          <w:tcPr>
            <w:tcW w:w="2340" w:type="dxa"/>
            <w:tcBorders/>
            <w:vAlign w:val="top"/>
            <w:shd w:fill="F7F9FB"/>
          </w:tcPr>
          <w:p>
            <w:pPr>
              <w:pStyle w:val="Normal"/>
              <w:widowControl/>
              <w:bidi w:val="0"/>
              <w:spacing w:lineRule="auto" w:line="240" w:before="0" w:after="40"/>
              <w:jc w:val="start"/>
              <w:rPr/>
            </w:pPr>
            <w:r>
              <w:rPr>
                <w:sz w:val="18"/>
              </w:rPr>
              <w:t>Exact-math report, finite shell log, SVG source/render/grayscale receipts, scale review; D37/D39, O59/O62.</w:t>
            </w:r>
          </w:p>
        </w:tc>
      </w:tr>
      <w:tr>
        <w:trPr/>
        <w:tc>
          <w:tcPr>
            <w:tcW w:w="2340" w:type="dxa"/>
            <w:tcBorders/>
            <w:vAlign w:val="top"/>
          </w:tcPr>
          <w:p>
            <w:pPr>
              <w:pStyle w:val="Normal"/>
              <w:widowControl/>
              <w:bidi w:val="0"/>
              <w:spacing w:lineRule="auto" w:line="240" w:before="0" w:after="40"/>
              <w:jc w:val="start"/>
              <w:rPr/>
            </w:pPr>
            <w:r>
              <w:rPr>
                <w:sz w:val="18"/>
              </w:rPr>
              <w:t>T69@2.3</w:t>
            </w:r>
          </w:p>
        </w:tc>
        <w:tc>
          <w:tcPr>
            <w:tcW w:w="2340" w:type="dxa"/>
            <w:tcBorders/>
            <w:vAlign w:val="top"/>
          </w:tcPr>
          <w:p>
            <w:pPr>
              <w:pStyle w:val="Normal"/>
              <w:widowControl/>
              <w:bidi w:val="0"/>
              <w:spacing w:lineRule="auto" w:line="240" w:before="0" w:after="40"/>
              <w:jc w:val="start"/>
              <w:rPr/>
            </w:pPr>
            <w:r>
              <w:rPr>
                <w:sz w:val="18"/>
              </w:rPr>
              <w:t>MACHINE+SEMANTIC. F-GOLD-COMMON, F-GOLD-SECTOR, and FX69-RAINBOW-AMPLITUDE: verify the 1+5 decomposition, 2+2+1 mode split, projectors and spectrum, phase reconstruction from sector plus residual, the cut-indexed involution and local rank-two criterion with rank-loss controls, and optional coherent-amplitude readout only under a supplied amplitude space, interface rule, and valid coherence matrix.</w:t>
            </w:r>
          </w:p>
        </w:tc>
        <w:tc>
          <w:tcPr>
            <w:tcW w:w="2340" w:type="dxa"/>
            <w:tcBorders/>
            <w:vAlign w:val="top"/>
          </w:tcPr>
          <w:p>
            <w:pPr>
              <w:pStyle w:val="Normal"/>
              <w:widowControl/>
              <w:bidi w:val="0"/>
              <w:spacing w:lineRule="auto" w:line="240" w:before="0" w:after="40"/>
              <w:jc w:val="start"/>
              <w:rPr/>
            </w:pPr>
            <w:r>
              <w:rPr>
                <w:sz w:val="18"/>
              </w:rPr>
              <w:t>Treat sector alone as lossless; infer identity/consciousness/persistence from common mode; identify golden angle with θ or an optimum; infer a cross-term from orbit overlap or path multiplicity; accept a non-Hermitian/non-PSD coherence matrix or normalize at a zero denominator.</w:t>
            </w:r>
          </w:p>
        </w:tc>
        <w:tc>
          <w:tcPr>
            <w:tcW w:w="2340" w:type="dxa"/>
            <w:tcBorders/>
            <w:vAlign w:val="top"/>
          </w:tcPr>
          <w:p>
            <w:pPr>
              <w:pStyle w:val="Normal"/>
              <w:widowControl/>
              <w:bidi w:val="0"/>
              <w:spacing w:lineRule="auto" w:line="240" w:before="0" w:after="40"/>
              <w:jc w:val="start"/>
              <w:rPr/>
            </w:pPr>
            <w:r>
              <w:rPr>
                <w:sz w:val="18"/>
              </w:rPr>
              <w:t>Linear-algebra, phase, involution/rank, amplitude/coherence, and negative-mutation logs plus interpretation review; D37/D39, O59/O62.</w:t>
            </w:r>
          </w:p>
        </w:tc>
      </w:tr>
      <w:tr>
        <w:trPr/>
        <w:tc>
          <w:tcPr>
            <w:tcW w:w="2340" w:type="dxa"/>
            <w:tcBorders/>
            <w:vAlign w:val="top"/>
            <w:shd w:fill="F7F9FB"/>
          </w:tcPr>
          <w:p>
            <w:pPr>
              <w:pStyle w:val="Normal"/>
              <w:widowControl/>
              <w:bidi w:val="0"/>
              <w:spacing w:lineRule="auto" w:line="240" w:before="0" w:after="40"/>
              <w:jc w:val="start"/>
              <w:rPr/>
            </w:pPr>
            <w:r>
              <w:rPr>
                <w:sz w:val="18"/>
              </w:rPr>
              <w:t>T70@2.3</w:t>
            </w:r>
          </w:p>
        </w:tc>
        <w:tc>
          <w:tcPr>
            <w:tcW w:w="2340" w:type="dxa"/>
            <w:tcBorders/>
            <w:vAlign w:val="top"/>
            <w:shd w:fill="F7F9FB"/>
          </w:tcPr>
          <w:p>
            <w:pPr>
              <w:pStyle w:val="Normal"/>
              <w:widowControl/>
              <w:bidi w:val="0"/>
              <w:spacing w:lineRule="auto" w:line="240" w:before="0" w:after="40"/>
              <w:jc w:val="start"/>
              <w:rPr/>
            </w:pPr>
            <w:r>
              <w:rPr>
                <w:sz w:val="18"/>
              </w:rPr>
              <w:t>MACHINE+SEMANTIC. F-GOLD-EULER: test closed triangulations against Σ(6−deg v)=6χ and finite patches against the boundary-corrected interior-6/boundary-4 ledger; type any RAINBOW use of shell/global contribution separately.</w:t>
            </w:r>
          </w:p>
        </w:tc>
        <w:tc>
          <w:tcPr>
            <w:tcW w:w="2340" w:type="dxa"/>
            <w:tcBorders/>
            <w:vAlign w:val="top"/>
            <w:shd w:fill="F7F9FB"/>
          </w:tcPr>
          <w:p>
            <w:pPr>
              <w:pStyle w:val="Normal"/>
              <w:widowControl/>
              <w:bidi w:val="0"/>
              <w:spacing w:lineRule="auto" w:line="240" w:before="0" w:after="40"/>
              <w:jc w:val="start"/>
              <w:rPr/>
            </w:pPr>
            <w:r>
              <w:rPr>
                <w:sz w:val="18"/>
              </w:rPr>
              <w:t>Apply the closed formula to a patch, equate contribution with a fiber theorem, omit boundary accounting, or infer absence of local defects from zero total defect.</w:t>
            </w:r>
          </w:p>
        </w:tc>
        <w:tc>
          <w:tcPr>
            <w:tcW w:w="2340" w:type="dxa"/>
            <w:tcBorders/>
            <w:vAlign w:val="top"/>
            <w:shd w:fill="F7F9FB"/>
          </w:tcPr>
          <w:p>
            <w:pPr>
              <w:pStyle w:val="Normal"/>
              <w:widowControl/>
              <w:bidi w:val="0"/>
              <w:spacing w:lineRule="auto" w:line="240" w:before="0" w:after="40"/>
              <w:jc w:val="start"/>
              <w:rPr/>
            </w:pPr>
            <w:r>
              <w:rPr>
                <w:sz w:val="18"/>
              </w:rPr>
              <w:t>Combinatorial counts, topology hypotheses, boundary-role review; D31/D37/D39, O52/O59/O62.</w:t>
            </w:r>
          </w:p>
        </w:tc>
      </w:tr>
      <w:tr>
        <w:trPr/>
        <w:tc>
          <w:tcPr>
            <w:tcW w:w="2340" w:type="dxa"/>
            <w:tcBorders/>
            <w:vAlign w:val="top"/>
          </w:tcPr>
          <w:p>
            <w:pPr>
              <w:pStyle w:val="Normal"/>
              <w:widowControl/>
              <w:bidi w:val="0"/>
              <w:spacing w:lineRule="auto" w:line="240" w:before="0" w:after="40"/>
              <w:jc w:val="start"/>
              <w:rPr/>
            </w:pPr>
            <w:r>
              <w:rPr>
                <w:sz w:val="18"/>
              </w:rPr>
              <w:t>T71@2.3</w:t>
            </w:r>
          </w:p>
        </w:tc>
        <w:tc>
          <w:tcPr>
            <w:tcW w:w="2340" w:type="dxa"/>
            <w:tcBorders/>
            <w:vAlign w:val="top"/>
          </w:tcPr>
          <w:p>
            <w:pPr>
              <w:pStyle w:val="Normal"/>
              <w:widowControl/>
              <w:bidi w:val="0"/>
              <w:spacing w:lineRule="auto" w:line="240" w:before="0" w:after="40"/>
              <w:jc w:val="start"/>
              <w:rPr/>
            </w:pPr>
            <w:r>
              <w:rPr>
                <w:sz w:val="18"/>
              </w:rPr>
              <w:t>HYBRID. F-CC-PROFILE: instantiate obstruction, contribution, target-relative identification loss, structural ambiguity, visible ambiguity, and zero profile as distinct typed coordinates; inspect any RAINBOW boundary/interface adapter.</w:t>
            </w:r>
          </w:p>
        </w:tc>
        <w:tc>
          <w:tcPr>
            <w:tcW w:w="2340" w:type="dxa"/>
            <w:tcBorders/>
            <w:vAlign w:val="top"/>
          </w:tcPr>
          <w:p>
            <w:pPr>
              <w:pStyle w:val="Normal"/>
              <w:widowControl/>
              <w:bidi w:val="0"/>
              <w:spacing w:lineRule="auto" w:line="240" w:before="0" w:after="40"/>
              <w:jc w:val="start"/>
              <w:rPr/>
            </w:pPr>
            <w:r>
              <w:rPr>
                <w:sz w:val="18"/>
              </w:rPr>
              <w:t>Scalarize the profile; coerce ⊥ to 0; infer zero from an omitted detector; identify decoder with existence or compactification closure with A15 closure.</w:t>
            </w:r>
          </w:p>
        </w:tc>
        <w:tc>
          <w:tcPr>
            <w:tcW w:w="2340" w:type="dxa"/>
            <w:tcBorders/>
            <w:vAlign w:val="top"/>
          </w:tcPr>
          <w:p>
            <w:pPr>
              <w:pStyle w:val="Normal"/>
              <w:widowControl/>
              <w:bidi w:val="0"/>
              <w:spacing w:lineRule="auto" w:line="240" w:before="0" w:after="40"/>
              <w:jc w:val="start"/>
              <w:rPr/>
            </w:pPr>
            <w:r>
              <w:rPr>
                <w:sz w:val="18"/>
              </w:rPr>
              <w:t>Typed-profile serialization, mutation log, adapter/semantic review; D31/D37/D39, O52/O59/O62.</w:t>
            </w:r>
          </w:p>
        </w:tc>
      </w:tr>
      <w:tr>
        <w:trPr/>
        <w:tc>
          <w:tcPr>
            <w:tcW w:w="2340" w:type="dxa"/>
            <w:tcBorders/>
            <w:vAlign w:val="top"/>
            <w:shd w:fill="F7F9FB"/>
          </w:tcPr>
          <w:p>
            <w:pPr>
              <w:pStyle w:val="Normal"/>
              <w:widowControl/>
              <w:bidi w:val="0"/>
              <w:spacing w:lineRule="auto" w:line="240" w:before="0" w:after="40"/>
              <w:jc w:val="start"/>
              <w:rPr/>
            </w:pPr>
            <w:r>
              <w:rPr>
                <w:sz w:val="18"/>
              </w:rPr>
              <w:t>T72@2.3</w:t>
            </w:r>
          </w:p>
        </w:tc>
        <w:tc>
          <w:tcPr>
            <w:tcW w:w="2340" w:type="dxa"/>
            <w:tcBorders/>
            <w:vAlign w:val="top"/>
            <w:shd w:fill="F7F9FB"/>
          </w:tcPr>
          <w:p>
            <w:pPr>
              <w:pStyle w:val="Normal"/>
              <w:widowControl/>
              <w:bidi w:val="0"/>
              <w:spacing w:lineRule="auto" w:line="240" w:before="0" w:after="40"/>
              <w:jc w:val="start"/>
              <w:rPr/>
            </w:pPr>
            <w:r>
              <w:rPr>
                <w:sz w:val="18"/>
              </w:rPr>
              <w:t>MACHINE+SEMANTIC. F-GPPR plus FX72-RAINBOW-GPPR-SEAM: evaluate exact finite prime-valuation vectors, monoid addition, orientation, equal-endpoint/different-order ribbons, O22 routing, and separation from RAINBOW’s Eisenstein and visual encodings.</w:t>
            </w:r>
          </w:p>
        </w:tc>
        <w:tc>
          <w:tcPr>
            <w:tcW w:w="2340" w:type="dxa"/>
            <w:tcBorders/>
            <w:vAlign w:val="top"/>
            <w:shd w:fill="F7F9FB"/>
          </w:tcPr>
          <w:p>
            <w:pPr>
              <w:pStyle w:val="Normal"/>
              <w:widowControl/>
              <w:bidi w:val="0"/>
              <w:spacing w:lineRule="auto" w:line="240" w:before="0" w:after="40"/>
              <w:jc w:val="start"/>
              <w:rPr/>
            </w:pPr>
            <w:r>
              <w:rPr>
                <w:sz w:val="18"/>
              </w:rPr>
              <w:t>Claim finite-bit losslessness, factoring speedup, efficient approximate inverse, secrecy, total order, measured advantage, endpoint=history, RAINBOW identity, or primitive promotion.</w:t>
            </w:r>
          </w:p>
        </w:tc>
        <w:tc>
          <w:tcPr>
            <w:tcW w:w="2340" w:type="dxa"/>
            <w:tcBorders/>
            <w:vAlign w:val="top"/>
            <w:shd w:fill="F7F9FB"/>
          </w:tcPr>
          <w:p>
            <w:pPr>
              <w:pStyle w:val="Normal"/>
              <w:widowControl/>
              <w:bidi w:val="0"/>
              <w:spacing w:lineRule="auto" w:line="240" w:before="0" w:after="40"/>
              <w:jc w:val="start"/>
              <w:rPr/>
            </w:pPr>
            <w:r>
              <w:rPr>
                <w:sz w:val="18"/>
              </w:rPr>
              <w:t>Exact-code/run log, route/history comparison, source-role and ceiling review; D37/D39, O59/O62.</w:t>
            </w:r>
          </w:p>
        </w:tc>
      </w:tr>
    </w:tbl>
    <w:p>
      <w:pPr>
        <w:pStyle w:val="Heading3"/>
        <w:keepNext/>
        <w:keepLines/>
        <w:rPr/>
      </w:pPr>
      <w:bookmarkStart w:id="92" w:name="t49-boundary-role-oracle"/>
      <w:r>
        <w:rPr/>
        <w:t>T49 boundary-role oracle</w:t>
      </w:r>
      <w:bookmarkEnd w:id="92"/>
    </w:p>
    <w:p>
      <w:pPr>
        <w:pStyle w:val="Normal"/>
        <w:keepNext/>
        <w:keepLines/>
        <w:rPr/>
      </w:pPr>
      <w:r>
        <w:rPr/>
        <w:t>Every native v2.3 boundary-bearing record uses:</w:t>
      </w:r>
    </w:p>
    <w:p>
      <w:pPr>
        <w:pStyle w:val="BodyText"/>
        <w:rPr/>
      </w:pPr>
      <w:r>
        <w:rPr/>
        <w:t>BoundaryRef = (boundary_id, role, carrier_or_domain, scope, orientation_or_coefficients_or_NA, resolution_or_admissible_set_or_NA, provenance)</w:t>
      </w:r>
    </w:p>
    <w:p>
      <w:pPr>
        <w:pStyle w:val="BodyText"/>
        <w:rPr/>
      </w:pPr>
      <w:r>
        <w:rPr/>
        <w:t>The admitted roles are CUT, CHAIN, TOPOLOGICAL, INTERFACE, CONSTRAINT, SCOPE, and TRANSPORT_VALIDITY. A CHAIN boundary is the boundary-operator output or its support, not the chain/path itself. An INTERFACE is declared observation/transport structure, not the map-induced fiber itself. Nonmetric roles use a reasoned N/A rather than an invented metric.</w:t>
      </w:r>
    </w:p>
    <w:p>
      <w:pPr>
        <w:pStyle w:val="BodyText"/>
        <w:rPr/>
      </w:pPr>
      <w:r>
        <w:rPr/>
        <w:t>Every cross-role adapter states its source and target roles, hypotheses, witness, preserved data, lost data, scope, evidence, authority ceiling, residual, and reopening condition. The existing TransportReceipt machinery carries adapter/checkpoint/heartbeat/re-entry evidence under profiles BOUNDARY_ADAPTER, CHECKPOINT_FREEZE, CHECKPOINT_THAW, HEARTBEAT_STUTTER, and REENTRY; these are profiles, not new receipt classes.</w:t>
      </w:r>
    </w:p>
    <w:p>
      <w:pPr>
        <w:pStyle w:val="Heading3"/>
        <w:keepNext/>
        <w:keepLines/>
        <w:rPr/>
      </w:pPr>
      <w:bookmarkStart w:id="93" w:name="t50t46-extremal-scope-oracle"/>
      <w:r>
        <w:rPr/>
        <w:t>T50/T46 extremal-scope oracle</w:t>
      </w:r>
      <w:bookmarkEnd w:id="93"/>
    </w:p>
    <w:p>
      <w:pPr>
        <w:pStyle w:val="Normal"/>
        <w:keepNext/>
        <w:keepLines/>
        <w:rPr/>
      </w:pPr>
      <w:r>
        <w:rPr/>
        <w:t xml:space="preserve">Every current use of </w:t>
      </w:r>
      <w:r>
        <w:rPr>
          <w:i/>
          <w:iCs/>
        </w:rPr>
        <w:t>minimum</w:t>
      </w:r>
      <w:r>
        <w:rPr/>
        <w:t xml:space="preserve">, </w:t>
      </w:r>
      <w:r>
        <w:rPr>
          <w:i/>
          <w:iCs/>
        </w:rPr>
        <w:t>smallest</w:t>
      </w:r>
      <w:r>
        <w:rPr/>
        <w:t xml:space="preserve">, </w:t>
      </w:r>
      <w:r>
        <w:rPr>
          <w:i/>
          <w:iCs/>
        </w:rPr>
        <w:t>maximum</w:t>
      </w:r>
      <w:r>
        <w:rPr/>
        <w:t xml:space="preserve">, </w:t>
      </w:r>
      <w:r>
        <w:rPr>
          <w:i/>
          <w:iCs/>
        </w:rPr>
        <w:t>largest</w:t>
      </w:r>
      <w:r>
        <w:rPr/>
        <w:t xml:space="preserve">, </w:t>
      </w:r>
      <w:r>
        <w:rPr>
          <w:i/>
          <w:iCs/>
        </w:rPr>
        <w:t>zero</w:t>
      </w:r>
      <w:r>
        <w:rPr/>
        <w:t xml:space="preserve">, </w:t>
      </w:r>
      <w:r>
        <w:rPr>
          <w:i/>
          <w:iCs/>
        </w:rPr>
        <w:t>empty</w:t>
      </w:r>
      <w:r>
        <w:rPr/>
        <w:t xml:space="preserve">, </w:t>
      </w:r>
      <w:r>
        <w:rPr>
          <w:i/>
          <w:iCs/>
        </w:rPr>
        <w:t>finite</w:t>
      </w:r>
      <w:r>
        <w:rPr/>
        <w:t xml:space="preserve">, </w:t>
      </w:r>
      <w:r>
        <w:rPr>
          <w:i/>
          <w:iCs/>
        </w:rPr>
        <w:t>local</w:t>
      </w:r>
      <w:r>
        <w:rPr/>
        <w:t xml:space="preserve">, </w:t>
      </w:r>
      <w:r>
        <w:rPr>
          <w:i/>
          <w:iCs/>
        </w:rPr>
        <w:t>global</w:t>
      </w:r>
      <w:r>
        <w:rPr/>
        <w:t xml:space="preserve">, or </w:t>
      </w:r>
      <w:r>
        <w:rPr>
          <w:i/>
          <w:iCs/>
        </w:rPr>
        <w:t>complete</w:t>
      </w:r>
      <w:r>
        <w:rPr/>
        <w:t xml:space="preserve"> declares its carrier/universe, quantifier domain, order/comparison, observational or implementation scale, admissible value set, resolution/tolerance where applicable, and finite, arbitrary-finite, or infinite extent. A reasoned N/A is permitted only when the named field truly does not apply. θ’s minimum remains structural in PAL’s capability order.</w:t>
      </w:r>
    </w:p>
    <w:p>
      <w:pPr>
        <w:pStyle w:val="Heading3"/>
        <w:keepNext/>
        <w:keepLines/>
        <w:rPr/>
      </w:pPr>
      <w:bookmarkStart w:id="94" w:name="t53-conditional-extension-profile-oracle"/>
      <w:r>
        <w:rPr/>
        <w:t>T53 conditional extension-profile oracle</w:t>
      </w:r>
      <w:bookmarkEnd w:id="94"/>
    </w:p>
    <w:p>
      <w:pPr>
        <w:pStyle w:val="Normal"/>
        <w:keepNext/>
        <w:keepLines/>
        <w:rPr/>
      </w:pPr>
      <w:r>
        <w:rPr/>
        <w:t>Every new or revised card that makes geometry, interface, projection, path, decoder, checkpoint, heartbeat, RAINBOW, or quantitative-extremal claims declares all applicable items below and supplies a reasoned N/A for the rest:</w:t>
      </w:r>
    </w:p>
    <w:p>
      <w:pPr>
        <w:pStyle w:val="BodyText"/>
        <w:numPr>
          <w:ilvl w:val="0"/>
          <w:numId w:val="36"/>
        </w:numPr>
        <w:spacing w:before="0" w:after="0"/>
        <w:rPr/>
      </w:pPr>
      <w:r>
        <w:rPr/>
        <w:t>carrier or model envelope;</w:t>
      </w:r>
    </w:p>
    <w:p>
      <w:pPr>
        <w:pStyle w:val="BodyText"/>
        <w:numPr>
          <w:ilvl w:val="0"/>
          <w:numId w:val="36"/>
        </w:numPr>
        <w:spacing w:before="0" w:after="0"/>
        <w:rPr/>
      </w:pPr>
      <w:r>
        <w:rPr/>
        <w:t>scale, resolution, admissible difference set, and tolerance;</w:t>
      </w:r>
    </w:p>
    <w:p>
      <w:pPr>
        <w:pStyle w:val="BodyText"/>
        <w:numPr>
          <w:ilvl w:val="0"/>
          <w:numId w:val="36"/>
        </w:numPr>
        <w:spacing w:before="0" w:after="0"/>
        <w:rPr/>
      </w:pPr>
      <w:r>
        <w:rPr/>
        <w:t>boundary role, domain, and scope;</w:t>
      </w:r>
    </w:p>
    <w:p>
      <w:pPr>
        <w:pStyle w:val="BodyText"/>
        <w:numPr>
          <w:ilvl w:val="0"/>
          <w:numId w:val="36"/>
        </w:numPr>
        <w:spacing w:before="0" w:after="0"/>
        <w:rPr/>
      </w:pPr>
      <w:r>
        <w:rPr/>
        <w:t>orientation and coefficient system;</w:t>
      </w:r>
    </w:p>
    <w:p>
      <w:pPr>
        <w:pStyle w:val="BodyText"/>
        <w:numPr>
          <w:ilvl w:val="0"/>
          <w:numId w:val="36"/>
        </w:numPr>
        <w:spacing w:before="0" w:after="0"/>
        <w:rPr/>
      </w:pPr>
      <w:r>
        <w:rPr/>
        <w:t>finite/local/global quantifiers;</w:t>
      </w:r>
    </w:p>
    <w:p>
      <w:pPr>
        <w:pStyle w:val="BodyText"/>
        <w:numPr>
          <w:ilvl w:val="0"/>
          <w:numId w:val="36"/>
        </w:numPr>
        <w:spacing w:before="0" w:after="0"/>
        <w:rPr/>
      </w:pPr>
      <w:r>
        <w:rPr/>
        <w:t>map or projector, fibers, and reachable image;</w:t>
      </w:r>
    </w:p>
    <w:p>
      <w:pPr>
        <w:pStyle w:val="BodyText"/>
        <w:numPr>
          <w:ilvl w:val="0"/>
          <w:numId w:val="36"/>
        </w:numPr>
        <w:spacing w:before="0" w:after="0"/>
        <w:rPr/>
      </w:pPr>
      <w:r>
        <w:rPr/>
        <w:t>detector and requested answer;</w:t>
      </w:r>
    </w:p>
    <w:p>
      <w:pPr>
        <w:pStyle w:val="BodyText"/>
        <w:numPr>
          <w:ilvl w:val="0"/>
          <w:numId w:val="36"/>
        </w:numPr>
        <w:spacing w:before="0" w:after="0"/>
        <w:rPr/>
      </w:pPr>
      <w:r>
        <w:rPr/>
        <w:t>reachable decoder versus totalization;</w:t>
      </w:r>
    </w:p>
    <w:p>
      <w:pPr>
        <w:pStyle w:val="BodyText"/>
        <w:numPr>
          <w:ilvl w:val="0"/>
          <w:numId w:val="36"/>
        </w:numPr>
        <w:spacing w:before="0" w:after="0"/>
        <w:rPr/>
      </w:pPr>
      <w:r>
        <w:rPr/>
        <w:t>decoder class;</w:t>
      </w:r>
    </w:p>
    <w:p>
      <w:pPr>
        <w:pStyle w:val="BodyText"/>
        <w:numPr>
          <w:ilvl w:val="0"/>
          <w:numId w:val="36"/>
        </w:numPr>
        <w:spacing w:before="0" w:after="0"/>
        <w:rPr/>
      </w:pPr>
      <w:r>
        <w:rPr/>
        <w:t>endpoint, path, relation, receipt, work, audit, grant, resource, and authority separations;</w:t>
      </w:r>
    </w:p>
    <w:p>
      <w:pPr>
        <w:pStyle w:val="BodyText"/>
        <w:numPr>
          <w:ilvl w:val="0"/>
          <w:numId w:val="36"/>
        </w:numPr>
        <w:spacing w:before="0" w:after="0"/>
        <w:rPr/>
      </w:pPr>
      <w:r>
        <w:rPr/>
        <w:t>exact theorem, executable fixture, interpretation, presentation, and new PAL synthesis labels; and</w:t>
      </w:r>
    </w:p>
    <w:p>
      <w:pPr>
        <w:pStyle w:val="BodyText"/>
        <w:numPr>
          <w:ilvl w:val="0"/>
          <w:numId w:val="36"/>
        </w:numPr>
        <w:spacing w:before="0" w:after="0"/>
        <w:rPr/>
      </w:pPr>
      <w:r>
        <w:rPr/>
        <w:t>residual and reopening route.</w:t>
      </w:r>
    </w:p>
    <w:p>
      <w:pPr>
        <w:pStyle w:val="Normal"/>
        <w:rPr/>
      </w:pPr>
      <w:r>
        <w:rPr/>
        <w:t>Every new card additionally receives delete, swap, predecessor, witness, finite-check, authority-ceiling, and return-to-PAL coverage. An index entry, caption, or diagram does not substitute for a complete card body.</w:t>
      </w:r>
    </w:p>
    <w:p>
      <w:pPr>
        <w:pStyle w:val="Heading2"/>
        <w:keepNext/>
        <w:keepLines/>
        <w:rPr/>
      </w:pPr>
      <w:bookmarkStart w:id="95" w:name="rainbow-late-directive-bindings"/>
      <w:r>
        <w:rPr/>
        <w:t>9.4 RAINBOW late-directive bindings</w:t>
      </w:r>
      <w:bookmarkEnd w:id="95"/>
    </w:p>
    <w:p>
      <w:pPr>
        <w:pStyle w:val="Normal"/>
        <w:keepNext/>
        <w:keepLines/>
        <w:rPr/>
      </w:pPr>
      <w:r>
        <w:rPr/>
        <w:t xml:space="preserve">The exact Atlas-local name is </w:t>
      </w:r>
      <w:r>
        <w:rPr>
          <w:b/>
          <w:bCs/>
        </w:rPr>
        <w:t>RAINBOW — Ribbon-Amplitude Interference Norms: Boundary-Orbit Weaves</w:t>
      </w:r>
      <w:r>
        <w:rPr/>
        <w:t>. RAINBOW remains removable and may not appear as a release-wide title, primitive, numbered layer, sixth authority face, claim-status value, authority source, physical theory, or ambient structure for Ω.</w:t>
      </w:r>
    </w:p>
    <w:p>
      <w:pPr>
        <w:pStyle w:val="BodyText"/>
        <w:rPr/>
      </w:pPr>
      <w:r>
        <w:rPr/>
        <w:t>Its claim classes remain separately tagged:</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Class</w:t>
            </w:r>
          </w:p>
        </w:tc>
        <w:tc>
          <w:tcPr>
            <w:tcW w:w="3120" w:type="dxa"/>
            <w:tcBorders/>
            <w:vAlign w:val="top"/>
            <w:shd w:fill="DCE6F1"/>
          </w:tcPr>
          <w:p>
            <w:pPr>
              <w:pStyle w:val="Normal"/>
              <w:spacing w:before="0" w:after="40" w:line="240" w:lineRule="auto"/>
              <w:rPr>
                <w:b/>
                <w:bCs/>
              </w:rPr>
            </w:pPr>
            <w:r>
              <w:rPr>
                <w:b/>
                <w:bCs/>
                <w:color w:val="1F4D78"/>
                <w:sz w:val="18"/>
              </w:rPr>
              <w:t>Admitted content</w:t>
            </w:r>
          </w:p>
        </w:tc>
        <w:tc>
          <w:tcPr>
            <w:tcW w:w="3120" w:type="dxa"/>
            <w:tcBorders/>
            <w:vAlign w:val="top"/>
            <w:shd w:fill="DCE6F1"/>
          </w:tcPr>
          <w:p>
            <w:pPr>
              <w:pStyle w:val="Normal"/>
              <w:spacing w:before="0" w:after="40" w:line="240" w:lineRule="auto"/>
              <w:rPr>
                <w:b/>
                <w:bCs/>
              </w:rPr>
            </w:pPr>
            <w:r>
              <w:rPr>
                <w:b/>
                <w:bCs/>
                <w:color w:val="1F4D78"/>
                <w:sz w:val="18"/>
              </w:rPr>
              <w:t>Mandatory ceiling</w:t>
            </w:r>
          </w:p>
        </w:tc>
      </w:tr>
      <w:tr>
        <w:trPr/>
        <w:tc>
          <w:tcPr>
            <w:tcW w:w="3120" w:type="dxa"/>
            <w:tcBorders/>
            <w:vAlign w:val="top"/>
          </w:tcPr>
          <w:p>
            <w:pPr>
              <w:pStyle w:val="Normal"/>
              <w:widowControl/>
              <w:bidi w:val="0"/>
              <w:spacing w:lineRule="auto" w:line="240" w:before="0" w:after="40"/>
              <w:jc w:val="start"/>
              <w:rPr/>
            </w:pPr>
            <w:r>
              <w:rPr>
                <w:sz w:val="18"/>
              </w:rPr>
              <w:t>Established mathematics</w:t>
            </w:r>
          </w:p>
        </w:tc>
        <w:tc>
          <w:tcPr>
            <w:tcW w:w="3120" w:type="dxa"/>
            <w:tcBorders/>
            <w:vAlign w:val="top"/>
          </w:tcPr>
          <w:p>
            <w:pPr>
              <w:pStyle w:val="Normal"/>
              <w:widowControl/>
              <w:bidi w:val="0"/>
              <w:spacing w:lineRule="auto" w:line="240" w:before="0" w:after="40"/>
              <w:jc w:val="start"/>
              <w:rPr/>
            </w:pPr>
            <w:r>
              <w:rPr>
                <w:sz w:val="18"/>
              </w:rPr>
              <w:t>Eisenstein/hexagonal-lattice norm arithmetic, including prime and composite shell representation and orbit counts.</w:t>
            </w:r>
          </w:p>
        </w:tc>
        <w:tc>
          <w:tcPr>
            <w:tcW w:w="3120" w:type="dxa"/>
            <w:tcBorders/>
            <w:vAlign w:val="top"/>
          </w:tcPr>
          <w:p>
            <w:pPr>
              <w:pStyle w:val="Normal"/>
              <w:widowControl/>
              <w:bidi w:val="0"/>
              <w:spacing w:lineRule="auto" w:line="240" w:before="0" w:after="40"/>
              <w:jc w:val="start"/>
              <w:rPr/>
            </w:pPr>
            <w:r>
              <w:rPr>
                <w:sz w:val="18"/>
              </w:rPr>
              <w:t>No PAL primitive, new prime theorem, physical law, or Ω content.</w:t>
            </w:r>
          </w:p>
        </w:tc>
      </w:tr>
      <w:tr>
        <w:trPr/>
        <w:tc>
          <w:tcPr>
            <w:tcW w:w="3120" w:type="dxa"/>
            <w:tcBorders/>
            <w:vAlign w:val="top"/>
            <w:shd w:fill="F7F9FB"/>
          </w:tcPr>
          <w:p>
            <w:pPr>
              <w:pStyle w:val="Normal"/>
              <w:widowControl/>
              <w:bidi w:val="0"/>
              <w:spacing w:lineRule="auto" w:line="240" w:before="0" w:after="40"/>
              <w:jc w:val="start"/>
              <w:rPr/>
            </w:pPr>
            <w:r>
              <w:rPr>
                <w:sz w:val="18"/>
              </w:rPr>
              <w:t>Constructed PAL realizations</w:t>
            </w:r>
          </w:p>
        </w:tc>
        <w:tc>
          <w:tcPr>
            <w:tcW w:w="3120" w:type="dxa"/>
            <w:tcBorders/>
            <w:vAlign w:val="top"/>
            <w:shd w:fill="F7F9FB"/>
          </w:tcPr>
          <w:p>
            <w:pPr>
              <w:pStyle w:val="Normal"/>
              <w:widowControl/>
              <w:bidi w:val="0"/>
              <w:spacing w:lineRule="auto" w:line="240" w:before="0" w:after="40"/>
              <w:jc w:val="start"/>
              <w:rPr/>
            </w:pPr>
            <w:r>
              <w:rPr>
                <w:sz w:val="18"/>
              </w:rPr>
              <w:t>Cut-indexed local-frame adapter, log-phase cylinder, retained factor-history weave, and typed boundary/interface adapters.</w:t>
            </w:r>
          </w:p>
        </w:tc>
        <w:tc>
          <w:tcPr>
            <w:tcW w:w="3120" w:type="dxa"/>
            <w:tcBorders/>
            <w:vAlign w:val="top"/>
            <w:shd w:fill="F7F9FB"/>
          </w:tcPr>
          <w:p>
            <w:pPr>
              <w:pStyle w:val="Normal"/>
              <w:widowControl/>
              <w:bidi w:val="0"/>
              <w:spacing w:lineRule="auto" w:line="240" w:before="0" w:after="40"/>
              <w:jc w:val="start"/>
              <w:rPr/>
            </w:pPr>
            <w:r>
              <w:rPr>
                <w:sz w:val="18"/>
              </w:rPr>
              <w:t>Constructed, removable, carrier-local synthesis; not canonical, universal, ambient, or a spine definition.</w:t>
            </w:r>
          </w:p>
        </w:tc>
      </w:tr>
      <w:tr>
        <w:trPr/>
        <w:tc>
          <w:tcPr>
            <w:tcW w:w="3120" w:type="dxa"/>
            <w:tcBorders/>
            <w:vAlign w:val="top"/>
          </w:tcPr>
          <w:p>
            <w:pPr>
              <w:pStyle w:val="Normal"/>
              <w:widowControl/>
              <w:bidi w:val="0"/>
              <w:spacing w:lineRule="auto" w:line="240" w:before="0" w:after="40"/>
              <w:jc w:val="start"/>
              <w:rPr/>
            </w:pPr>
            <w:r>
              <w:rPr>
                <w:sz w:val="18"/>
              </w:rPr>
              <w:t>Optional constructed adapter</w:t>
            </w:r>
          </w:p>
        </w:tc>
        <w:tc>
          <w:tcPr>
            <w:tcW w:w="3120" w:type="dxa"/>
            <w:tcBorders/>
            <w:vAlign w:val="top"/>
          </w:tcPr>
          <w:p>
            <w:pPr>
              <w:pStyle w:val="Normal"/>
              <w:widowControl/>
              <w:bidi w:val="0"/>
              <w:spacing w:lineRule="auto" w:line="240" w:before="0" w:after="40"/>
              <w:jc w:val="start"/>
              <w:rPr/>
            </w:pPr>
            <w:r>
              <w:rPr>
                <w:sz w:val="18"/>
              </w:rPr>
              <w:t>Supplied coherent amplitudes with a declared combination rule and interference readout.</w:t>
            </w:r>
          </w:p>
        </w:tc>
        <w:tc>
          <w:tcPr>
            <w:tcW w:w="3120" w:type="dxa"/>
            <w:tcBorders/>
            <w:vAlign w:val="top"/>
          </w:tcPr>
          <w:p>
            <w:pPr>
              <w:pStyle w:val="Normal"/>
              <w:widowControl/>
              <w:bidi w:val="0"/>
              <w:spacing w:lineRule="auto" w:line="240" w:before="0" w:after="40"/>
              <w:jc w:val="start"/>
              <w:rPr/>
            </w:pPr>
            <w:r>
              <w:rPr>
                <w:sz w:val="18"/>
              </w:rPr>
              <w:t>Orbit overlap, endpoint confluence, path multiplicity, color, ribbon thickness, blur, embedding, or camera projection alone supplies no interference term.</w:t>
            </w:r>
          </w:p>
        </w:tc>
      </w:tr>
      <w:tr>
        <w:trPr/>
        <w:tc>
          <w:tcPr>
            <w:tcW w:w="3120" w:type="dxa"/>
            <w:tcBorders/>
            <w:vAlign w:val="top"/>
            <w:shd w:fill="F7F9FB"/>
          </w:tcPr>
          <w:p>
            <w:pPr>
              <w:pStyle w:val="Normal"/>
              <w:widowControl/>
              <w:bidi w:val="0"/>
              <w:spacing w:lineRule="auto" w:line="240" w:before="0" w:after="40"/>
              <w:jc w:val="start"/>
              <w:rPr/>
            </w:pPr>
            <w:r>
              <w:rPr>
                <w:sz w:val="18"/>
              </w:rPr>
              <w:t>Presentation only</w:t>
            </w:r>
          </w:p>
        </w:tc>
        <w:tc>
          <w:tcPr>
            <w:tcW w:w="3120" w:type="dxa"/>
            <w:tcBorders/>
            <w:vAlign w:val="top"/>
            <w:shd w:fill="F7F9FB"/>
          </w:tcPr>
          <w:p>
            <w:pPr>
              <w:pStyle w:val="Normal"/>
              <w:widowControl/>
              <w:bidi w:val="0"/>
              <w:spacing w:lineRule="auto" w:line="240" w:before="0" w:after="40"/>
              <w:jc w:val="start"/>
              <w:rPr/>
            </w:pPr>
            <w:r>
              <w:rPr>
                <w:sz w:val="18"/>
              </w:rPr>
              <w:t>Color, decorative accents, camera choice, ribbon thickness, curvature, blur, normalized drawn radii, translucency, and page composition.</w:t>
            </w:r>
          </w:p>
        </w:tc>
        <w:tc>
          <w:tcPr>
            <w:tcW w:w="3120" w:type="dxa"/>
            <w:tcBorders/>
            <w:vAlign w:val="top"/>
            <w:shd w:fill="F7F9FB"/>
          </w:tcPr>
          <w:p>
            <w:pPr>
              <w:pStyle w:val="Normal"/>
              <w:widowControl/>
              <w:bidi w:val="0"/>
              <w:spacing w:lineRule="auto" w:line="240" w:before="0" w:after="40"/>
              <w:jc w:val="start"/>
              <w:rPr/>
            </w:pPr>
            <w:r>
              <w:rPr>
                <w:sz w:val="18"/>
              </w:rPr>
              <w:t>Appearance is not theorem, intrinsic thickness, probability, dynamics, witness, or evidence of a physical effect.</w:t>
            </w:r>
          </w:p>
        </w:tc>
      </w:tr>
      <w:tr>
        <w:trPr/>
        <w:tc>
          <w:tcPr>
            <w:tcW w:w="3120" w:type="dxa"/>
            <w:tcBorders/>
            <w:vAlign w:val="top"/>
          </w:tcPr>
          <w:p>
            <w:pPr>
              <w:pStyle w:val="Normal"/>
              <w:widowControl/>
              <w:bidi w:val="0"/>
              <w:spacing w:lineRule="auto" w:line="240" w:before="0" w:after="40"/>
              <w:jc w:val="start"/>
              <w:rPr/>
            </w:pPr>
            <w:r>
              <w:rPr>
                <w:sz w:val="18"/>
              </w:rPr>
              <w:t>Open analogies only</w:t>
            </w:r>
          </w:p>
        </w:tc>
        <w:tc>
          <w:tcPr>
            <w:tcW w:w="3120" w:type="dxa"/>
            <w:tcBorders/>
            <w:vAlign w:val="top"/>
          </w:tcPr>
          <w:p>
            <w:pPr>
              <w:pStyle w:val="Normal"/>
              <w:widowControl/>
              <w:bidi w:val="0"/>
              <w:spacing w:lineRule="auto" w:line="240" w:before="0" w:after="40"/>
              <w:jc w:val="start"/>
              <w:rPr/>
            </w:pPr>
            <w:r>
              <w:rPr>
                <w:sz w:val="18"/>
              </w:rPr>
              <w:t>Possible future comparison with Lagrange-point dynamics or wavefunction collapse.</w:t>
            </w:r>
          </w:p>
        </w:tc>
        <w:tc>
          <w:tcPr>
            <w:tcW w:w="3120" w:type="dxa"/>
            <w:tcBorders/>
            <w:vAlign w:val="top"/>
          </w:tcPr>
          <w:p>
            <w:pPr>
              <w:pStyle w:val="Normal"/>
              <w:widowControl/>
              <w:bidi w:val="0"/>
              <w:spacing w:lineRule="auto" w:line="240" w:before="0" w:after="40"/>
              <w:jc w:val="start"/>
              <w:rPr/>
            </w:pPr>
            <w:r>
              <w:rPr>
                <w:sz w:val="18"/>
              </w:rPr>
              <w:t>No quantum dynamics, Born rule, physical model, cosmological claim, ontology, Lagrange-point dynamics, or empirical correspondence is adopted.</w:t>
            </w:r>
          </w:p>
        </w:tc>
      </w:tr>
    </w:tbl>
    <w:p>
      <w:pPr>
        <w:pStyle w:val="Normal"/>
        <w:rPr/>
      </w:pPr>
      <w:r>
        <w:rPr/>
        <w:t>Five potentially similar “thickness” readings remain noncoercive: drawn ribbon width; arithmetic lattice degeneracy r_Q(n); unit-orbit count H(n)=r_Q(n)/6; retained-history multiplicity; and amplitude intensity. Any conversion requires its own named adapter and evidence.</w:t>
      </w:r>
    </w:p>
    <w:p>
      <w:pPr>
        <w:pStyle w:val="BodyText"/>
        <w:rPr/>
      </w:pPr>
      <w:r>
        <w:rPr/>
        <w:t>The following are named execution bindings under existing tests and therefore add no T-address: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Binding</w:t>
            </w:r>
          </w:p>
        </w:tc>
        <w:tc>
          <w:tcPr>
            <w:tcW w:w="4680" w:type="dxa"/>
            <w:tcBorders/>
            <w:vAlign w:val="top"/>
            <w:shd w:fill="DCE6F1"/>
          </w:tcPr>
          <w:p>
            <w:pPr>
              <w:pStyle w:val="Normal"/>
              <w:spacing w:before="0" w:after="40" w:line="240" w:lineRule="auto"/>
              <w:rPr>
                <w:b/>
                <w:bCs/>
              </w:rPr>
            </w:pPr>
            <w:r>
              <w:rPr>
                <w:b/>
                <w:bCs/>
                <w:color w:val="1F4D78"/>
                <w:sz w:val="19"/>
              </w:rPr>
              <w:t>Required audit</w:t>
            </w:r>
          </w:p>
        </w:tc>
      </w:tr>
      <w:tr>
        <w:trPr/>
        <w:tc>
          <w:tcPr>
            <w:tcW w:w="4680" w:type="dxa"/>
            <w:tcBorders/>
            <w:vAlign w:val="top"/>
          </w:tcPr>
          <w:p>
            <w:pPr>
              <w:pStyle w:val="Normal"/>
              <w:widowControl/>
              <w:bidi w:val="0"/>
              <w:spacing w:lineRule="auto" w:line="240" w:before="0" w:after="40"/>
              <w:jc w:val="start"/>
              <w:rPr/>
            </w:pPr>
            <w:r>
              <w:rPr>
                <w:sz w:val="19"/>
              </w:rPr>
              <w:t>T51@2.3 / RAINBOW-ATLAS-LOCAL</w:t>
            </w:r>
          </w:p>
        </w:tc>
        <w:tc>
          <w:tcPr>
            <w:tcW w:w="4680" w:type="dxa"/>
            <w:tcBorders/>
            <w:vAlign w:val="top"/>
          </w:tcPr>
          <w:p>
            <w:pPr>
              <w:pStyle w:val="Normal"/>
              <w:widowControl/>
              <w:bidi w:val="0"/>
              <w:spacing w:lineRule="auto" w:line="240" w:before="0" w:after="40"/>
              <w:jc w:val="start"/>
              <w:rPr/>
            </w:pPr>
            <w:r>
              <w:rPr>
                <w:sz w:val="19"/>
              </w:rPr>
              <w:t>Exact-name and placement lint; delete the complete section, M-RNBW-SHELL, M-RNBW-FRAME, M-RNBW-WEAVE, M-RNBW-AMPLITUDE, and plates 00–05; recover the unchanged spine and primitive floor; reject any release-wide-title, primitive, layer, status, authority, or Ω-carrier use.</w:t>
            </w:r>
          </w:p>
        </w:tc>
      </w:tr>
      <w:tr>
        <w:trPr/>
        <w:tc>
          <w:tcPr>
            <w:tcW w:w="4680" w:type="dxa"/>
            <w:tcBorders/>
            <w:vAlign w:val="top"/>
            <w:shd w:fill="F7F9FB"/>
          </w:tcPr>
          <w:p>
            <w:pPr>
              <w:pStyle w:val="Normal"/>
              <w:widowControl/>
              <w:bidi w:val="0"/>
              <w:spacing w:lineRule="auto" w:line="240" w:before="0" w:after="40"/>
              <w:jc w:val="start"/>
              <w:rPr/>
            </w:pPr>
            <w:r>
              <w:rPr>
                <w:sz w:val="19"/>
              </w:rPr>
              <w:t>T58@2.3 / RAINBOW-ENDPOINT-HISTORY</w:t>
            </w:r>
          </w:p>
        </w:tc>
        <w:tc>
          <w:tcPr>
            <w:tcW w:w="4680" w:type="dxa"/>
            <w:tcBorders/>
            <w:vAlign w:val="top"/>
            <w:shd w:fill="F7F9FB"/>
          </w:tcPr>
          <w:p>
            <w:pPr>
              <w:pStyle w:val="Normal"/>
              <w:widowControl/>
              <w:bidi w:val="0"/>
              <w:spacing w:lineRule="auto" w:line="240" w:before="0" w:after="40"/>
              <w:jc w:val="start"/>
              <w:rPr/>
            </w:pPr>
            <w:r>
              <w:rPr>
                <w:sz w:val="19"/>
              </w:rPr>
              <w:t>Verify exact arithmetic endpoints separately from ordered histories and drawn paths; require an addressable retained-history receipt for A2/A3 claims; treat curve, width, confluence, and overlap as presentation unless separately typed.</w:t>
            </w:r>
          </w:p>
        </w:tc>
      </w:tr>
      <w:tr>
        <w:trPr/>
        <w:tc>
          <w:tcPr>
            <w:tcW w:w="4680" w:type="dxa"/>
            <w:tcBorders/>
            <w:vAlign w:val="top"/>
          </w:tcPr>
          <w:p>
            <w:pPr>
              <w:pStyle w:val="Normal"/>
              <w:widowControl/>
              <w:bidi w:val="0"/>
              <w:spacing w:lineRule="auto" w:line="240" w:before="0" w:after="40"/>
              <w:jc w:val="start"/>
              <w:rPr/>
            </w:pPr>
            <w:r>
              <w:rPr>
                <w:sz w:val="19"/>
              </w:rPr>
              <w:t>T59@2.3 / RAINBOW-CARRIER-SCOPE</w:t>
            </w:r>
          </w:p>
        </w:tc>
        <w:tc>
          <w:tcPr>
            <w:tcW w:w="4680" w:type="dxa"/>
            <w:tcBorders/>
            <w:vAlign w:val="top"/>
          </w:tcPr>
          <w:p>
            <w:pPr>
              <w:pStyle w:val="Normal"/>
              <w:widowControl/>
              <w:bidi w:val="0"/>
              <w:spacing w:lineRule="auto" w:line="240" w:before="0" w:after="40"/>
              <w:jc w:val="start"/>
              <w:rPr/>
            </w:pPr>
            <w:r>
              <w:rPr>
                <w:sz w:val="19"/>
              </w:rPr>
              <w:t>Keep Eisenstein lattice points, unit orbits, log-phase endpoints, chart paths, amplitude inputs, and rendered marks in their declared domains; reject source-identity and cross-domain bit claims.</w:t>
            </w:r>
          </w:p>
        </w:tc>
      </w:tr>
      <w:tr>
        <w:trPr/>
        <w:tc>
          <w:tcPr>
            <w:tcW w:w="4680" w:type="dxa"/>
            <w:tcBorders/>
            <w:vAlign w:val="top"/>
            <w:shd w:fill="F7F9FB"/>
          </w:tcPr>
          <w:p>
            <w:pPr>
              <w:pStyle w:val="Normal"/>
              <w:widowControl/>
              <w:bidi w:val="0"/>
              <w:spacing w:lineRule="auto" w:line="240" w:before="0" w:after="40"/>
              <w:jc w:val="start"/>
              <w:rPr/>
            </w:pPr>
            <w:r>
              <w:rPr>
                <w:sz w:val="19"/>
              </w:rPr>
              <w:t>T68@2.3 / RAINBOW-SHELL-MATH-SVG</w:t>
            </w:r>
          </w:p>
        </w:tc>
        <w:tc>
          <w:tcPr>
            <w:tcW w:w="4680" w:type="dxa"/>
            <w:tcBorders/>
            <w:vAlign w:val="top"/>
            <w:shd w:fill="F7F9FB"/>
          </w:tcPr>
          <w:p>
            <w:pPr>
              <w:pStyle w:val="Normal"/>
              <w:widowControl/>
              <w:bidi w:val="0"/>
              <w:spacing w:lineRule="auto" w:line="240" w:before="0" w:after="40"/>
              <w:jc w:val="start"/>
              <w:rPr/>
            </w:pPr>
            <w:r>
              <w:rPr>
                <w:sz w:val="19"/>
              </w:rPr>
              <w:t>Run the shell/count oracle in §9.6, validate all six SVG sources and their captions/alt text, and inspect color and grayscale renders for equivalent logical distinctions.</w:t>
            </w:r>
          </w:p>
        </w:tc>
      </w:tr>
      <w:tr>
        <w:trPr/>
        <w:tc>
          <w:tcPr>
            <w:tcW w:w="4680" w:type="dxa"/>
            <w:tcBorders/>
            <w:vAlign w:val="top"/>
          </w:tcPr>
          <w:p>
            <w:pPr>
              <w:pStyle w:val="Normal"/>
              <w:widowControl/>
              <w:bidi w:val="0"/>
              <w:spacing w:lineRule="auto" w:line="240" w:before="0" w:after="40"/>
              <w:jc w:val="start"/>
              <w:rPr/>
            </w:pPr>
            <w:r>
              <w:rPr>
                <w:sz w:val="19"/>
              </w:rPr>
              <w:t>T69@2.3 / RAINBOW-FRAME-AMPLITUDE</w:t>
            </w:r>
          </w:p>
        </w:tc>
        <w:tc>
          <w:tcPr>
            <w:tcW w:w="4680" w:type="dxa"/>
            <w:tcBorders/>
            <w:vAlign w:val="top"/>
          </w:tcPr>
          <w:p>
            <w:pPr>
              <w:pStyle w:val="Normal"/>
              <w:widowControl/>
              <w:bidi w:val="0"/>
              <w:spacing w:lineRule="auto" w:line="240" w:before="0" w:after="40"/>
              <w:jc w:val="start"/>
              <w:rPr/>
            </w:pPr>
            <w:r>
              <w:rPr>
                <w:sz w:val="19"/>
              </w:rPr>
              <w:t>Verify local-frame and amplitude formulas only in their declared carriers; distinguish orbit count, retained-history multiplicity, amplitude intensity, and drawn thickness; reject arithmetic coincidence as interference.</w:t>
            </w:r>
          </w:p>
        </w:tc>
      </w:tr>
      <w:tr>
        <w:trPr/>
        <w:tc>
          <w:tcPr>
            <w:tcW w:w="4680" w:type="dxa"/>
            <w:tcBorders/>
            <w:vAlign w:val="top"/>
            <w:shd w:fill="F7F9FB"/>
          </w:tcPr>
          <w:p>
            <w:pPr>
              <w:pStyle w:val="Normal"/>
              <w:widowControl/>
              <w:bidi w:val="0"/>
              <w:spacing w:lineRule="auto" w:line="240" w:before="0" w:after="40"/>
              <w:jc w:val="start"/>
              <w:rPr/>
            </w:pPr>
            <w:r>
              <w:rPr>
                <w:sz w:val="19"/>
              </w:rPr>
              <w:t>T70@2.3 / RAINBOW-GLOBAL-LOCAL</w:t>
            </w:r>
          </w:p>
        </w:tc>
        <w:tc>
          <w:tcPr>
            <w:tcW w:w="4680" w:type="dxa"/>
            <w:tcBorders/>
            <w:vAlign w:val="top"/>
            <w:shd w:fill="F7F9FB"/>
          </w:tcPr>
          <w:p>
            <w:pPr>
              <w:pStyle w:val="Normal"/>
              <w:widowControl/>
              <w:bidi w:val="0"/>
              <w:spacing w:lineRule="auto" w:line="240" w:before="0" w:after="40"/>
              <w:jc w:val="start"/>
              <w:rPr/>
            </w:pPr>
            <w:r>
              <w:rPr>
                <w:sz w:val="19"/>
              </w:rPr>
              <w:t>Keep shell/orbit arithmetic, global contribution ledgers, local adapters, boundary roles, and finite render checks distinct; reject silent topology or physical-law promotion.</w:t>
            </w:r>
          </w:p>
        </w:tc>
      </w:tr>
      <w:tr>
        <w:trPr/>
        <w:tc>
          <w:tcPr>
            <w:tcW w:w="4680" w:type="dxa"/>
            <w:tcBorders/>
            <w:vAlign w:val="top"/>
          </w:tcPr>
          <w:p>
            <w:pPr>
              <w:pStyle w:val="Normal"/>
              <w:widowControl/>
              <w:bidi w:val="0"/>
              <w:spacing w:lineRule="auto" w:line="240" w:before="0" w:after="40"/>
              <w:jc w:val="start"/>
              <w:rPr/>
            </w:pPr>
            <w:r>
              <w:rPr>
                <w:sz w:val="19"/>
              </w:rPr>
              <w:t>T71@2.3 / RAINBOW-ADAPTER-PROFILE</w:t>
            </w:r>
          </w:p>
        </w:tc>
        <w:tc>
          <w:tcPr>
            <w:tcW w:w="4680" w:type="dxa"/>
            <w:tcBorders/>
            <w:vAlign w:val="top"/>
          </w:tcPr>
          <w:p>
            <w:pPr>
              <w:pStyle w:val="Normal"/>
              <w:widowControl/>
              <w:bidi w:val="0"/>
              <w:spacing w:lineRule="auto" w:line="240" w:before="0" w:after="40"/>
              <w:jc w:val="start"/>
              <w:rPr/>
            </w:pPr>
            <w:r>
              <w:rPr>
                <w:sz w:val="19"/>
              </w:rPr>
              <w:t>Require each shell-to-boundary, route-to-interface, and amplitude-to-readout conversion to state hypotheses, preserved/lost data, scope, witness, residual, ceiling, and reopening condition.</w:t>
            </w:r>
          </w:p>
        </w:tc>
      </w:tr>
      <w:tr>
        <w:trPr/>
        <w:tc>
          <w:tcPr>
            <w:tcW w:w="4680" w:type="dxa"/>
            <w:tcBorders/>
            <w:vAlign w:val="top"/>
            <w:shd w:fill="F7F9FB"/>
          </w:tcPr>
          <w:p>
            <w:pPr>
              <w:pStyle w:val="Normal"/>
              <w:widowControl/>
              <w:bidi w:val="0"/>
              <w:spacing w:lineRule="auto" w:line="240" w:before="0" w:after="40"/>
              <w:jc w:val="start"/>
              <w:rPr/>
            </w:pPr>
            <w:r>
              <w:rPr>
                <w:sz w:val="19"/>
              </w:rPr>
              <w:t>T72@2.3 / RAINBOW-ENCODING-SEAM</w:t>
            </w:r>
          </w:p>
        </w:tc>
        <w:tc>
          <w:tcPr>
            <w:tcW w:w="4680" w:type="dxa"/>
            <w:tcBorders/>
            <w:vAlign w:val="top"/>
            <w:shd w:fill="F7F9FB"/>
          </w:tcPr>
          <w:p>
            <w:pPr>
              <w:pStyle w:val="Normal"/>
              <w:widowControl/>
              <w:bidi w:val="0"/>
              <w:spacing w:lineRule="auto" w:line="240" w:before="0" w:after="40"/>
              <w:jc w:val="start"/>
              <w:rPr/>
            </w:pPr>
            <w:r>
              <w:rPr>
                <w:sz w:val="19"/>
              </w:rPr>
              <w:t>Keep RAINBOW’s Eisenstein/log-phase construction distinct from GPPR’s prime-valuation code and from decorative encoding; shared golden-angle or ribbon language supplies no identity or performance claim.</w:t>
            </w:r>
          </w:p>
        </w:tc>
      </w:tr>
    </w:tbl>
    <w:p>
      <w:pPr>
        <w:pStyle w:val="Normal"/>
        <w:rPr/>
      </w:pPr>
      <w:r>
        <w:rPr/>
        <w:t>O62 remains a BRANCH obligation. Its conformance receipts establish only presentation/realization discipline for frozen inputs, not the truth of an open analogy or an independent physical validation.</w:t>
      </w:r>
    </w:p>
    <w:p>
      <w:pPr>
        <w:pStyle w:val="Heading2"/>
        <w:keepNext/>
        <w:keepLines/>
        <w:rPr/>
      </w:pPr>
      <w:bookmarkStart w:id="96" w:name="rainbow-svg-source-and-render-audit"/>
      <w:r>
        <w:rPr/>
        <w:t>9.5 RAINBOW SVG source and render audit</w:t>
      </w:r>
      <w:bookmarkEnd w:id="96"/>
    </w:p>
    <w:p>
      <w:pPr>
        <w:pStyle w:val="Normal"/>
        <w:keepNext/>
        <w:keepLines/>
        <w:rPr/>
      </w:pPr>
      <w:r>
        <w:rPr/>
        <w:t>The source audit covers exactly RAINBOW_00_Section_Opener.svg through RAINBOW_05_Boundary_Orbit_Interference.svg and the caption/insertion account. It executes under T51@2.3 / RAINBOW-ATLAS-LOCAL and T68@2.3 / RAINBOW-SHELL-MATH-SVG.</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807"/>
        <w:gridCol w:w="3745"/>
        <w:gridCol w:w="2808"/>
      </w:tblGrid>
      <w:tr>
        <w:trPr>
          <w:tblHeader w:val="true"/>
        </w:trPr>
        <w:tc>
          <w:tcPr>
            <w:tcW w:w="2807" w:type="dxa"/>
            <w:tcBorders/>
            <w:vAlign w:val="top"/>
            <w:shd w:fill="DCE6F1"/>
          </w:tcPr>
          <w:p>
            <w:pPr>
              <w:pStyle w:val="Normal"/>
              <w:spacing w:before="0" w:after="40" w:line="240" w:lineRule="auto"/>
              <w:rPr>
                <w:b/>
                <w:bCs/>
              </w:rPr>
            </w:pPr>
            <w:r>
              <w:rPr>
                <w:b/>
                <w:bCs/>
                <w:color w:val="1F4D78"/>
                <w:sz w:val="18"/>
              </w:rPr>
              <w:t>Required SVG source</w:t>
            </w:r>
          </w:p>
        </w:tc>
        <w:tc>
          <w:tcPr>
            <w:tcW w:w="3745" w:type="dxa"/>
            <w:tcBorders/>
            <w:vAlign w:val="top"/>
            <w:shd w:fill="DCE6F1"/>
          </w:tcPr>
          <w:p>
            <w:pPr>
              <w:pStyle w:val="Normal"/>
              <w:spacing w:before="0" w:after="40" w:line="240" w:lineRule="auto"/>
              <w:jc w:val="end"/>
              <w:rPr>
                <w:b/>
                <w:bCs/>
              </w:rPr>
            </w:pPr>
            <w:r>
              <w:rPr>
                <w:b/>
                <w:bCs/>
                <w:color w:val="1F4D78"/>
                <w:sz w:val="18"/>
              </w:rPr>
              <w:t>Required viewBox</w:t>
            </w:r>
          </w:p>
        </w:tc>
        <w:tc>
          <w:tcPr>
            <w:tcW w:w="2808" w:type="dxa"/>
            <w:tcBorders/>
            <w:vAlign w:val="top"/>
            <w:shd w:fill="DCE6F1"/>
          </w:tcPr>
          <w:p>
            <w:pPr>
              <w:pStyle w:val="Normal"/>
              <w:spacing w:before="0" w:after="40" w:line="240" w:lineRule="auto"/>
              <w:rPr>
                <w:b/>
                <w:bCs/>
              </w:rPr>
            </w:pPr>
            <w:r>
              <w:rPr>
                <w:b/>
                <w:bCs/>
                <w:color w:val="1F4D78"/>
                <w:sz w:val="18"/>
              </w:rPr>
              <w:t>Bound role</w:t>
            </w:r>
          </w:p>
        </w:tc>
      </w:tr>
      <w:tr>
        <w:trPr/>
        <w:tc>
          <w:tcPr>
            <w:tcW w:w="2807" w:type="dxa"/>
            <w:tcBorders/>
            <w:vAlign w:val="top"/>
          </w:tcPr>
          <w:p>
            <w:pPr>
              <w:pStyle w:val="Normal"/>
              <w:widowControl/>
              <w:bidi w:val="0"/>
              <w:spacing w:lineRule="auto" w:line="240" w:before="0" w:after="40"/>
              <w:jc w:val="start"/>
              <w:rPr/>
            </w:pPr>
            <w:r>
              <w:rPr>
                <w:sz w:val="18"/>
              </w:rPr>
              <w:t>RAINBOW_00_Section_Opener.svg</w:t>
            </w:r>
          </w:p>
        </w:tc>
        <w:tc>
          <w:tcPr>
            <w:tcW w:w="3745" w:type="dxa"/>
            <w:tcBorders/>
            <w:vAlign w:val="top"/>
          </w:tcPr>
          <w:p>
            <w:pPr>
              <w:pStyle w:val="Normal"/>
              <w:spacing w:before="0" w:after="40" w:line="240" w:lineRule="auto"/>
              <w:jc w:val="end"/>
              <w:rPr/>
            </w:pPr>
            <w:r>
              <w:rPr>
                <w:sz w:val="18"/>
              </w:rPr>
              <w:t>1600 × 620</w:t>
            </w:r>
          </w:p>
        </w:tc>
        <w:tc>
          <w:tcPr>
            <w:tcW w:w="2808" w:type="dxa"/>
            <w:tcBorders/>
            <w:vAlign w:val="top"/>
          </w:tcPr>
          <w:p>
            <w:pPr>
              <w:pStyle w:val="Normal"/>
              <w:widowControl/>
              <w:bidi w:val="0"/>
              <w:spacing w:lineRule="auto" w:line="240" w:before="0" w:after="40"/>
              <w:jc w:val="start"/>
              <w:rPr/>
            </w:pPr>
            <w:r>
              <w:rPr>
                <w:sz w:val="18"/>
              </w:rPr>
              <w:t>Section opener; presentation/non-card</w:t>
            </w:r>
          </w:p>
        </w:tc>
      </w:tr>
      <w:tr>
        <w:trPr/>
        <w:tc>
          <w:tcPr>
            <w:tcW w:w="2807" w:type="dxa"/>
            <w:tcBorders/>
            <w:vAlign w:val="top"/>
            <w:shd w:fill="F7F9FB"/>
          </w:tcPr>
          <w:p>
            <w:pPr>
              <w:pStyle w:val="Normal"/>
              <w:widowControl/>
              <w:bidi w:val="0"/>
              <w:spacing w:lineRule="auto" w:line="240" w:before="0" w:after="40"/>
              <w:jc w:val="start"/>
              <w:rPr/>
            </w:pPr>
            <w:r>
              <w:rPr>
                <w:sz w:val="18"/>
              </w:rPr>
              <w:t>RAINBOW_01_Prime_Norm_Shell_Selection.svg</w:t>
            </w:r>
          </w:p>
        </w:tc>
        <w:tc>
          <w:tcPr>
            <w:tcW w:w="3745" w:type="dxa"/>
            <w:tcBorders/>
            <w:vAlign w:val="top"/>
            <w:shd w:fill="F7F9FB"/>
          </w:tcPr>
          <w:p>
            <w:pPr>
              <w:pStyle w:val="Normal"/>
              <w:spacing w:before="0" w:after="40" w:line="240" w:lineRule="auto"/>
              <w:jc w:val="end"/>
              <w:rPr/>
            </w:pPr>
            <w:r>
              <w:rPr>
                <w:sz w:val="18"/>
              </w:rPr>
              <w:t>1600 × 1000</w:t>
            </w:r>
          </w:p>
        </w:tc>
        <w:tc>
          <w:tcPr>
            <w:tcW w:w="2808" w:type="dxa"/>
            <w:tcBorders/>
            <w:vAlign w:val="top"/>
            <w:shd w:fill="F7F9FB"/>
          </w:tcPr>
          <w:p>
            <w:pPr>
              <w:pStyle w:val="Normal"/>
              <w:widowControl/>
              <w:bidi w:val="0"/>
              <w:spacing w:lineRule="auto" w:line="240" w:before="0" w:after="40"/>
              <w:jc w:val="start"/>
              <w:rPr/>
            </w:pPr>
            <w:r>
              <w:rPr>
                <w:sz w:val="18"/>
              </w:rPr>
              <w:t>Prime shell arithmetic plate</w:t>
            </w:r>
          </w:p>
        </w:tc>
      </w:tr>
      <w:tr>
        <w:trPr/>
        <w:tc>
          <w:tcPr>
            <w:tcW w:w="2807" w:type="dxa"/>
            <w:tcBorders/>
            <w:vAlign w:val="top"/>
          </w:tcPr>
          <w:p>
            <w:pPr>
              <w:pStyle w:val="Normal"/>
              <w:widowControl/>
              <w:bidi w:val="0"/>
              <w:spacing w:lineRule="auto" w:line="240" w:before="0" w:after="40"/>
              <w:jc w:val="start"/>
              <w:rPr/>
            </w:pPr>
            <w:r>
              <w:rPr>
                <w:sz w:val="18"/>
              </w:rPr>
              <w:t>RAINBOW_02_Composite_Shell_Grammar.svg</w:t>
            </w:r>
          </w:p>
        </w:tc>
        <w:tc>
          <w:tcPr>
            <w:tcW w:w="3745" w:type="dxa"/>
            <w:tcBorders/>
            <w:vAlign w:val="top"/>
          </w:tcPr>
          <w:p>
            <w:pPr>
              <w:pStyle w:val="Normal"/>
              <w:spacing w:before="0" w:after="40" w:line="240" w:lineRule="auto"/>
              <w:jc w:val="end"/>
              <w:rPr/>
            </w:pPr>
            <w:r>
              <w:rPr>
                <w:sz w:val="18"/>
              </w:rPr>
              <w:t>1600 × 1140</w:t>
            </w:r>
          </w:p>
        </w:tc>
        <w:tc>
          <w:tcPr>
            <w:tcW w:w="2808" w:type="dxa"/>
            <w:tcBorders/>
            <w:vAlign w:val="top"/>
          </w:tcPr>
          <w:p>
            <w:pPr>
              <w:pStyle w:val="Normal"/>
              <w:widowControl/>
              <w:bidi w:val="0"/>
              <w:spacing w:lineRule="auto" w:line="240" w:before="0" w:after="40"/>
              <w:jc w:val="start"/>
              <w:rPr/>
            </w:pPr>
            <w:r>
              <w:rPr>
                <w:sz w:val="18"/>
              </w:rPr>
              <w:t>Composite shell/taxonomy plate</w:t>
            </w:r>
          </w:p>
        </w:tc>
      </w:tr>
      <w:tr>
        <w:trPr/>
        <w:tc>
          <w:tcPr>
            <w:tcW w:w="2807" w:type="dxa"/>
            <w:tcBorders/>
            <w:vAlign w:val="top"/>
            <w:shd w:fill="F7F9FB"/>
          </w:tcPr>
          <w:p>
            <w:pPr>
              <w:pStyle w:val="Normal"/>
              <w:widowControl/>
              <w:bidi w:val="0"/>
              <w:spacing w:lineRule="auto" w:line="240" w:before="0" w:after="40"/>
              <w:jc w:val="start"/>
              <w:rPr/>
            </w:pPr>
            <w:r>
              <w:rPr>
                <w:sz w:val="18"/>
              </w:rPr>
              <w:t>RAINBOW_03_Local_Frame_After_the_Cut.svg</w:t>
            </w:r>
          </w:p>
        </w:tc>
        <w:tc>
          <w:tcPr>
            <w:tcW w:w="3745" w:type="dxa"/>
            <w:tcBorders/>
            <w:vAlign w:val="top"/>
            <w:shd w:fill="F7F9FB"/>
          </w:tcPr>
          <w:p>
            <w:pPr>
              <w:pStyle w:val="Normal"/>
              <w:spacing w:before="0" w:after="40" w:line="240" w:lineRule="auto"/>
              <w:jc w:val="end"/>
              <w:rPr/>
            </w:pPr>
            <w:r>
              <w:rPr>
                <w:sz w:val="18"/>
              </w:rPr>
              <w:t>1600 × 930</w:t>
            </w:r>
          </w:p>
        </w:tc>
        <w:tc>
          <w:tcPr>
            <w:tcW w:w="2808" w:type="dxa"/>
            <w:tcBorders/>
            <w:vAlign w:val="top"/>
            <w:shd w:fill="F7F9FB"/>
          </w:tcPr>
          <w:p>
            <w:pPr>
              <w:pStyle w:val="Normal"/>
              <w:widowControl/>
              <w:bidi w:val="0"/>
              <w:spacing w:lineRule="auto" w:line="240" w:before="0" w:after="40"/>
              <w:jc w:val="start"/>
              <w:rPr/>
            </w:pPr>
            <w:r>
              <w:rPr>
                <w:sz w:val="18"/>
              </w:rPr>
              <w:t>Constructed local-frame plate</w:t>
            </w:r>
          </w:p>
        </w:tc>
      </w:tr>
      <w:tr>
        <w:trPr/>
        <w:tc>
          <w:tcPr>
            <w:tcW w:w="2807" w:type="dxa"/>
            <w:tcBorders/>
            <w:vAlign w:val="top"/>
          </w:tcPr>
          <w:p>
            <w:pPr>
              <w:pStyle w:val="Normal"/>
              <w:widowControl/>
              <w:bidi w:val="0"/>
              <w:spacing w:lineRule="auto" w:line="240" w:before="0" w:after="40"/>
              <w:jc w:val="start"/>
              <w:rPr/>
            </w:pPr>
            <w:r>
              <w:rPr>
                <w:sz w:val="18"/>
              </w:rPr>
              <w:t>RAINBOW_04_Log_Norm_Branching_Weave.svg</w:t>
            </w:r>
          </w:p>
        </w:tc>
        <w:tc>
          <w:tcPr>
            <w:tcW w:w="3745" w:type="dxa"/>
            <w:tcBorders/>
            <w:vAlign w:val="top"/>
          </w:tcPr>
          <w:p>
            <w:pPr>
              <w:pStyle w:val="Normal"/>
              <w:spacing w:before="0" w:after="40" w:line="240" w:lineRule="auto"/>
              <w:jc w:val="end"/>
              <w:rPr/>
            </w:pPr>
            <w:r>
              <w:rPr>
                <w:sz w:val="18"/>
              </w:rPr>
              <w:t>1600 × 1120</w:t>
            </w:r>
          </w:p>
        </w:tc>
        <w:tc>
          <w:tcPr>
            <w:tcW w:w="2808" w:type="dxa"/>
            <w:tcBorders/>
            <w:vAlign w:val="top"/>
          </w:tcPr>
          <w:p>
            <w:pPr>
              <w:pStyle w:val="Normal"/>
              <w:widowControl/>
              <w:bidi w:val="0"/>
              <w:spacing w:lineRule="auto" w:line="240" w:before="0" w:after="40"/>
              <w:jc w:val="start"/>
              <w:rPr/>
            </w:pPr>
            <w:r>
              <w:rPr>
                <w:sz w:val="18"/>
              </w:rPr>
              <w:t>Endpoint/history weave plate</w:t>
            </w:r>
          </w:p>
        </w:tc>
      </w:tr>
      <w:tr>
        <w:trPr/>
        <w:tc>
          <w:tcPr>
            <w:tcW w:w="2807" w:type="dxa"/>
            <w:tcBorders/>
            <w:vAlign w:val="top"/>
            <w:shd w:fill="F7F9FB"/>
          </w:tcPr>
          <w:p>
            <w:pPr>
              <w:pStyle w:val="Normal"/>
              <w:widowControl/>
              <w:bidi w:val="0"/>
              <w:spacing w:lineRule="auto" w:line="240" w:before="0" w:after="40"/>
              <w:jc w:val="start"/>
              <w:rPr/>
            </w:pPr>
            <w:r>
              <w:rPr>
                <w:sz w:val="18"/>
              </w:rPr>
              <w:t>RAINBOW_05_Boundary_Orbit_Interference.svg</w:t>
            </w:r>
          </w:p>
        </w:tc>
        <w:tc>
          <w:tcPr>
            <w:tcW w:w="3745" w:type="dxa"/>
            <w:tcBorders/>
            <w:vAlign w:val="top"/>
            <w:shd w:fill="F7F9FB"/>
          </w:tcPr>
          <w:p>
            <w:pPr>
              <w:pStyle w:val="Normal"/>
              <w:spacing w:before="0" w:after="40" w:line="240" w:lineRule="auto"/>
              <w:jc w:val="end"/>
              <w:rPr/>
            </w:pPr>
            <w:r>
              <w:rPr>
                <w:sz w:val="18"/>
              </w:rPr>
              <w:t>1600 × 1040</w:t>
            </w:r>
          </w:p>
        </w:tc>
        <w:tc>
          <w:tcPr>
            <w:tcW w:w="2808" w:type="dxa"/>
            <w:tcBorders/>
            <w:vAlign w:val="top"/>
            <w:shd w:fill="F7F9FB"/>
          </w:tcPr>
          <w:p>
            <w:pPr>
              <w:pStyle w:val="Normal"/>
              <w:widowControl/>
              <w:bidi w:val="0"/>
              <w:spacing w:lineRule="auto" w:line="240" w:before="0" w:after="40"/>
              <w:jc w:val="start"/>
              <w:rPr/>
            </w:pPr>
            <w:r>
              <w:rPr>
                <w:sz w:val="18"/>
              </w:rPr>
              <w:t>Optional amplitude-adapter plate</w:t>
            </w:r>
          </w:p>
        </w:tc>
      </w:tr>
    </w:tbl>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Audit dimension</w:t>
            </w:r>
          </w:p>
        </w:tc>
        <w:tc>
          <w:tcPr>
            <w:tcW w:w="3120" w:type="dxa"/>
            <w:tcBorders/>
            <w:vAlign w:val="top"/>
            <w:shd w:fill="DCE6F1"/>
          </w:tcPr>
          <w:p>
            <w:pPr>
              <w:pStyle w:val="Normal"/>
              <w:spacing w:before="0" w:after="40" w:line="240" w:lineRule="auto"/>
              <w:rPr>
                <w:b/>
                <w:bCs/>
              </w:rPr>
            </w:pPr>
            <w:r>
              <w:rPr>
                <w:b/>
                <w:bCs/>
                <w:color w:val="1F4D78"/>
                <w:sz w:val="18"/>
              </w:rPr>
              <w:t>CONFORMANT condition</w:t>
            </w:r>
          </w:p>
        </w:tc>
        <w:tc>
          <w:tcPr>
            <w:tcW w:w="3120" w:type="dxa"/>
            <w:tcBorders/>
            <w:vAlign w:val="top"/>
            <w:shd w:fill="DCE6F1"/>
          </w:tcPr>
          <w:p>
            <w:pPr>
              <w:pStyle w:val="Normal"/>
              <w:spacing w:before="0" w:after="40" w:line="240" w:lineRule="auto"/>
              <w:rPr>
                <w:b/>
                <w:bCs/>
              </w:rPr>
            </w:pPr>
            <w:r>
              <w:rPr>
                <w:b/>
                <w:bCs/>
                <w:color w:val="1F4D78"/>
                <w:sz w:val="18"/>
              </w:rPr>
              <w:t>NONCONFORMANT condition</w:t>
            </w:r>
          </w:p>
        </w:tc>
      </w:tr>
      <w:tr>
        <w:trPr/>
        <w:tc>
          <w:tcPr>
            <w:tcW w:w="3120" w:type="dxa"/>
            <w:tcBorders/>
            <w:vAlign w:val="top"/>
          </w:tcPr>
          <w:p>
            <w:pPr>
              <w:pStyle w:val="Normal"/>
              <w:widowControl/>
              <w:bidi w:val="0"/>
              <w:spacing w:lineRule="auto" w:line="240" w:before="0" w:after="40"/>
              <w:jc w:val="start"/>
              <w:rPr/>
            </w:pPr>
            <w:r>
              <w:rPr>
                <w:sz w:val="18"/>
              </w:rPr>
              <w:t>Population and identity</w:t>
            </w:r>
          </w:p>
        </w:tc>
        <w:tc>
          <w:tcPr>
            <w:tcW w:w="3120" w:type="dxa"/>
            <w:tcBorders/>
            <w:vAlign w:val="top"/>
          </w:tcPr>
          <w:p>
            <w:pPr>
              <w:pStyle w:val="Normal"/>
              <w:widowControl/>
              <w:bidi w:val="0"/>
              <w:spacing w:lineRule="auto" w:line="240" w:before="0" w:after="40"/>
              <w:jc w:val="start"/>
              <w:rPr/>
            </w:pPr>
            <w:r>
              <w:rPr>
                <w:sz w:val="18"/>
              </w:rPr>
              <w:t>Six unique SVGs, plates 00–05, exact filenames, stable viewBoxes, source hashes, and matching section/card/plate references.</w:t>
            </w:r>
          </w:p>
        </w:tc>
        <w:tc>
          <w:tcPr>
            <w:tcW w:w="3120" w:type="dxa"/>
            <w:tcBorders/>
            <w:vAlign w:val="top"/>
          </w:tcPr>
          <w:p>
            <w:pPr>
              <w:pStyle w:val="Normal"/>
              <w:widowControl/>
              <w:bidi w:val="0"/>
              <w:spacing w:lineRule="auto" w:line="240" w:before="0" w:after="40"/>
              <w:jc w:val="start"/>
              <w:rPr/>
            </w:pPr>
            <w:r>
              <w:rPr>
                <w:sz w:val="18"/>
              </w:rPr>
              <w:t>Missing, duplicate, stale, renamed, orphaned, or unreferenced plate; index/body population mismatch at freeze.</w:t>
            </w:r>
          </w:p>
        </w:tc>
      </w:tr>
      <w:tr>
        <w:trPr/>
        <w:tc>
          <w:tcPr>
            <w:tcW w:w="3120" w:type="dxa"/>
            <w:tcBorders/>
            <w:vAlign w:val="top"/>
            <w:shd w:fill="F7F9FB"/>
          </w:tcPr>
          <w:p>
            <w:pPr>
              <w:pStyle w:val="Normal"/>
              <w:widowControl/>
              <w:bidi w:val="0"/>
              <w:spacing w:lineRule="auto" w:line="240" w:before="0" w:after="40"/>
              <w:jc w:val="start"/>
              <w:rPr/>
            </w:pPr>
            <w:r>
              <w:rPr>
                <w:sz w:val="18"/>
              </w:rPr>
              <w:t>Release state</w:t>
            </w:r>
          </w:p>
        </w:tc>
        <w:tc>
          <w:tcPr>
            <w:tcW w:w="3120" w:type="dxa"/>
            <w:tcBorders/>
            <w:vAlign w:val="top"/>
            <w:shd w:fill="F7F9FB"/>
          </w:tcPr>
          <w:p>
            <w:pPr>
              <w:pStyle w:val="Normal"/>
              <w:widowControl/>
              <w:bidi w:val="0"/>
              <w:spacing w:lineRule="auto" w:line="240" w:before="0" w:after="40"/>
              <w:jc w:val="start"/>
              <w:rPr/>
            </w:pPr>
            <w:r>
              <w:rPr>
                <w:sz w:val="18"/>
              </w:rPr>
              <w:t>SVG metadata, captions, insertion notes, alt text, and embedded visible text use final v2.3 author-release language.</w:t>
            </w:r>
          </w:p>
        </w:tc>
        <w:tc>
          <w:tcPr>
            <w:tcW w:w="3120" w:type="dxa"/>
            <w:tcBorders/>
            <w:vAlign w:val="top"/>
            <w:shd w:fill="F7F9FB"/>
          </w:tcPr>
          <w:p>
            <w:pPr>
              <w:pStyle w:val="Normal"/>
              <w:widowControl/>
              <w:bidi w:val="0"/>
              <w:spacing w:lineRule="auto" w:line="240" w:before="0" w:after="40"/>
              <w:jc w:val="start"/>
              <w:rPr/>
            </w:pPr>
            <w:r>
              <w:rPr>
                <w:sz w:val="18"/>
              </w:rPr>
              <w:t>Any asset retains obsolete pre-author-release or predecessor-controlling state language.</w:t>
            </w:r>
          </w:p>
        </w:tc>
      </w:tr>
      <w:tr>
        <w:trPr/>
        <w:tc>
          <w:tcPr>
            <w:tcW w:w="3120" w:type="dxa"/>
            <w:tcBorders/>
            <w:vAlign w:val="top"/>
          </w:tcPr>
          <w:p>
            <w:pPr>
              <w:pStyle w:val="Normal"/>
              <w:widowControl/>
              <w:bidi w:val="0"/>
              <w:spacing w:lineRule="auto" w:line="240" w:before="0" w:after="40"/>
              <w:jc w:val="start"/>
              <w:rPr/>
            </w:pPr>
            <w:r>
              <w:rPr>
                <w:sz w:val="18"/>
              </w:rPr>
              <w:t>Self-containment and safety</w:t>
            </w:r>
          </w:p>
        </w:tc>
        <w:tc>
          <w:tcPr>
            <w:tcW w:w="3120" w:type="dxa"/>
            <w:tcBorders/>
            <w:vAlign w:val="top"/>
          </w:tcPr>
          <w:p>
            <w:pPr>
              <w:pStyle w:val="Normal"/>
              <w:widowControl/>
              <w:bidi w:val="0"/>
              <w:spacing w:lineRule="auto" w:line="240" w:before="0" w:after="40"/>
              <w:jc w:val="start"/>
              <w:rPr/>
            </w:pPr>
            <w:r>
              <w:rPr>
                <w:sz w:val="18"/>
              </w:rPr>
              <w:t>Well-formed SVG; title and description present; no executable script, filter, external stylesheet/font, remote or linked resource, absolute local path, or active content. Font-family fallbacks may be named but no external font file may be required.</w:t>
            </w:r>
          </w:p>
        </w:tc>
        <w:tc>
          <w:tcPr>
            <w:tcW w:w="3120" w:type="dxa"/>
            <w:tcBorders/>
            <w:vAlign w:val="top"/>
          </w:tcPr>
          <w:p>
            <w:pPr>
              <w:pStyle w:val="Normal"/>
              <w:widowControl/>
              <w:bidi w:val="0"/>
              <w:spacing w:lineRule="auto" w:line="240" w:before="0" w:after="40"/>
              <w:jc w:val="start"/>
              <w:rPr/>
            </w:pPr>
            <w:r>
              <w:rPr>
                <w:sz w:val="18"/>
              </w:rPr>
              <w:t>Malformed XML, missing accessible name/description, script/event handler, filter dependency, external fetch, linked image/resource, or workspace path.</w:t>
            </w:r>
          </w:p>
        </w:tc>
      </w:tr>
      <w:tr>
        <w:trPr/>
        <w:tc>
          <w:tcPr>
            <w:tcW w:w="3120" w:type="dxa"/>
            <w:tcBorders/>
            <w:vAlign w:val="top"/>
            <w:shd w:fill="F7F9FB"/>
          </w:tcPr>
          <w:p>
            <w:pPr>
              <w:pStyle w:val="Normal"/>
              <w:widowControl/>
              <w:bidi w:val="0"/>
              <w:spacing w:lineRule="auto" w:line="240" w:before="0" w:after="40"/>
              <w:jc w:val="start"/>
              <w:rPr/>
            </w:pPr>
            <w:r>
              <w:rPr>
                <w:sz w:val="18"/>
              </w:rPr>
              <w:t>Placement</w:t>
            </w:r>
          </w:p>
        </w:tc>
        <w:tc>
          <w:tcPr>
            <w:tcW w:w="3120" w:type="dxa"/>
            <w:tcBorders/>
            <w:vAlign w:val="top"/>
            <w:shd w:fill="F7F9FB"/>
          </w:tcPr>
          <w:p>
            <w:pPr>
              <w:pStyle w:val="Normal"/>
              <w:widowControl/>
              <w:bidi w:val="0"/>
              <w:spacing w:lineRule="auto" w:line="240" w:before="0" w:after="40"/>
              <w:jc w:val="start"/>
              <w:rPr/>
            </w:pPr>
            <w:r>
              <w:rPr>
                <w:sz w:val="18"/>
              </w:rPr>
              <w:t>Insert SVG directly, preserve aspect ratio, do not crop the top band or bottom qualification line, and bind the exact caption and meaningful alt text.</w:t>
            </w:r>
          </w:p>
        </w:tc>
        <w:tc>
          <w:tcPr>
            <w:tcW w:w="3120" w:type="dxa"/>
            <w:tcBorders/>
            <w:vAlign w:val="top"/>
            <w:shd w:fill="F7F9FB"/>
          </w:tcPr>
          <w:p>
            <w:pPr>
              <w:pStyle w:val="Normal"/>
              <w:widowControl/>
              <w:bidi w:val="0"/>
              <w:spacing w:lineRule="auto" w:line="240" w:before="0" w:after="40"/>
              <w:jc w:val="start"/>
              <w:rPr/>
            </w:pPr>
            <w:r>
              <w:rPr>
                <w:sz w:val="18"/>
              </w:rPr>
              <w:t>Raster-only source substitution, distortion, crop, detached caption, decorative-only alt text for a mathematical plate, or missing source/provenance.</w:t>
            </w:r>
          </w:p>
        </w:tc>
      </w:tr>
      <w:tr>
        <w:trPr/>
        <w:tc>
          <w:tcPr>
            <w:tcW w:w="3120" w:type="dxa"/>
            <w:tcBorders/>
            <w:vAlign w:val="top"/>
          </w:tcPr>
          <w:p>
            <w:pPr>
              <w:pStyle w:val="Normal"/>
              <w:widowControl/>
              <w:bidi w:val="0"/>
              <w:spacing w:lineRule="auto" w:line="240" w:before="0" w:after="40"/>
              <w:jc w:val="start"/>
              <w:rPr/>
            </w:pPr>
            <w:r>
              <w:rPr>
                <w:sz w:val="18"/>
              </w:rPr>
              <w:t>Redundant encoding</w:t>
            </w:r>
          </w:p>
        </w:tc>
        <w:tc>
          <w:tcPr>
            <w:tcW w:w="3120" w:type="dxa"/>
            <w:tcBorders/>
            <w:vAlign w:val="top"/>
          </w:tcPr>
          <w:p>
            <w:pPr>
              <w:pStyle w:val="Normal"/>
              <w:widowControl/>
              <w:bidi w:val="0"/>
              <w:spacing w:lineRule="auto" w:line="240" w:before="0" w:after="40"/>
              <w:jc w:val="start"/>
              <w:rPr/>
            </w:pPr>
            <w:r>
              <w:rPr>
                <w:sz w:val="18"/>
              </w:rPr>
              <w:t>Every logical distinction survives without hue through position, line style, marker shape, label, point size, or other noncolor channel. Named reviewer inspects color and grayscale render at readable scale.</w:t>
            </w:r>
          </w:p>
        </w:tc>
        <w:tc>
          <w:tcPr>
            <w:tcW w:w="3120" w:type="dxa"/>
            <w:tcBorders/>
            <w:vAlign w:val="top"/>
          </w:tcPr>
          <w:p>
            <w:pPr>
              <w:pStyle w:val="Normal"/>
              <w:widowControl/>
              <w:bidi w:val="0"/>
              <w:spacing w:lineRule="auto" w:line="240" w:before="0" w:after="40"/>
              <w:jc w:val="start"/>
              <w:rPr/>
            </w:pPr>
            <w:r>
              <w:rPr>
                <w:sz w:val="18"/>
              </w:rPr>
              <w:t>Meaning depends only on color, contrast makes labels/lines unreadable, or grayscale merges cases required by the claim.</w:t>
            </w:r>
          </w:p>
        </w:tc>
      </w:tr>
      <w:tr>
        <w:trPr/>
        <w:tc>
          <w:tcPr>
            <w:tcW w:w="3120" w:type="dxa"/>
            <w:tcBorders/>
            <w:vAlign w:val="top"/>
            <w:shd w:fill="F7F9FB"/>
          </w:tcPr>
          <w:p>
            <w:pPr>
              <w:pStyle w:val="Normal"/>
              <w:widowControl/>
              <w:bidi w:val="0"/>
              <w:spacing w:lineRule="auto" w:line="240" w:before="0" w:after="40"/>
              <w:jc w:val="start"/>
              <w:rPr/>
            </w:pPr>
            <w:r>
              <w:rPr>
                <w:sz w:val="18"/>
              </w:rPr>
              <w:t>Text/math agreement</w:t>
            </w:r>
          </w:p>
        </w:tc>
        <w:tc>
          <w:tcPr>
            <w:tcW w:w="3120" w:type="dxa"/>
            <w:tcBorders/>
            <w:vAlign w:val="top"/>
            <w:shd w:fill="F7F9FB"/>
          </w:tcPr>
          <w:p>
            <w:pPr>
              <w:pStyle w:val="Normal"/>
              <w:widowControl/>
              <w:bidi w:val="0"/>
              <w:spacing w:lineRule="auto" w:line="240" w:before="0" w:after="40"/>
              <w:jc w:val="start"/>
              <w:rPr/>
            </w:pPr>
            <w:r>
              <w:rPr>
                <w:sz w:val="18"/>
              </w:rPr>
              <w:t>Embedded equations, labels, counts, roles, and ceilings agree with the controlling Atlas card; textual card explicitly controls any acknowledged shorthand.</w:t>
            </w:r>
          </w:p>
        </w:tc>
        <w:tc>
          <w:tcPr>
            <w:tcW w:w="3120" w:type="dxa"/>
            <w:tcBorders/>
            <w:vAlign w:val="top"/>
            <w:shd w:fill="F7F9FB"/>
          </w:tcPr>
          <w:p>
            <w:pPr>
              <w:pStyle w:val="Normal"/>
              <w:widowControl/>
              <w:bidi w:val="0"/>
              <w:spacing w:lineRule="auto" w:line="240" w:before="0" w:after="40"/>
              <w:jc w:val="start"/>
              <w:rPr/>
            </w:pPr>
            <w:r>
              <w:rPr>
                <w:sz w:val="18"/>
              </w:rPr>
              <w:t>SVG silently changes a formula or scope, uses θ-like notation as PAL θ, calls a shell a boundary without the adapter, or lets visual shorthand enlarge authority.</w:t>
            </w:r>
          </w:p>
        </w:tc>
      </w:tr>
    </w:tbl>
    <w:p>
      <w:pPr>
        <w:pStyle w:val="Normal"/>
        <w:rPr/>
      </w:pPr>
      <w:r>
        <w:rPr/>
        <w:t>The source audit is required even if the final PDF embeds a converted graphic representation; the render audit is required even if the source passes. A stale source bundled in the release fails even when a separately rendered copy looks correct.</w:t>
      </w:r>
    </w:p>
    <w:p>
      <w:pPr>
        <w:pStyle w:val="Heading2"/>
        <w:keepNext/>
        <w:keepLines/>
        <w:rPr/>
      </w:pPr>
      <w:bookmarkStart w:id="97" w:name="exact-mathematical-audit-oracles"/>
      <w:r>
        <w:rPr/>
        <w:t>9.6 Exact mathematical audit oracles</w:t>
      </w:r>
      <w:bookmarkEnd w:id="97"/>
    </w:p>
    <w:p>
      <w:pPr>
        <w:pStyle w:val="Normal"/>
        <w:keepNext/>
        <w:keepLines/>
        <w:rPr/>
      </w:pPr>
      <w:r>
        <w:rPr/>
        <w:t>These equalities and finite witnesses make the relevant tests executable. They do not replace cited proofs, extend a bounded run to arbitrary inputs, or supply independent validation.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Bound test</w:t>
            </w:r>
          </w:p>
        </w:tc>
        <w:tc>
          <w:tcPr>
            <w:tcW w:w="4680" w:type="dxa"/>
            <w:tcBorders/>
            <w:vAlign w:val="top"/>
            <w:shd w:fill="DCE6F1"/>
          </w:tcPr>
          <w:p>
            <w:pPr>
              <w:pStyle w:val="Normal"/>
              <w:spacing w:before="0" w:after="40" w:line="240" w:lineRule="auto"/>
              <w:rPr>
                <w:b/>
                <w:bCs/>
              </w:rPr>
            </w:pPr>
            <w:r>
              <w:rPr>
                <w:b/>
                <w:bCs/>
                <w:color w:val="1F4D78"/>
                <w:sz w:val="19"/>
              </w:rPr>
              <w:t>Exact oracle</w:t>
            </w:r>
          </w:p>
        </w:tc>
      </w:tr>
      <w:tr>
        <w:trPr/>
        <w:tc>
          <w:tcPr>
            <w:tcW w:w="4680" w:type="dxa"/>
            <w:tcBorders/>
            <w:vAlign w:val="top"/>
          </w:tcPr>
          <w:p>
            <w:pPr>
              <w:pStyle w:val="Normal"/>
              <w:widowControl/>
              <w:bidi w:val="0"/>
              <w:spacing w:lineRule="auto" w:line="240" w:before="0" w:after="40"/>
              <w:jc w:val="start"/>
              <w:rPr/>
            </w:pPr>
            <w:r>
              <w:rPr>
                <w:sz w:val="19"/>
              </w:rPr>
              <w:t>T50@2.3</w:t>
            </w:r>
          </w:p>
        </w:tc>
        <w:tc>
          <w:tcPr>
            <w:tcW w:w="4680" w:type="dxa"/>
            <w:tcBorders/>
            <w:vAlign w:val="top"/>
          </w:tcPr>
          <w:p>
            <w:pPr>
              <w:pStyle w:val="Normal"/>
              <w:widowControl/>
              <w:bidi w:val="0"/>
              <w:spacing w:lineRule="auto" w:line="240" w:before="0" w:after="40"/>
              <w:jc w:val="start"/>
              <w:rPr/>
            </w:pPr>
            <w:r>
              <w:rPr>
                <w:sz w:val="19"/>
              </w:rPr>
              <w:t>For P≥q&gt;0, P₊=(P+q)/2, P₋=(P−q)/2, P₊+P₋=P, P₊−P₋=q, and fixed-q q/P→0 as P→∞. Positive reals have no least positive member: every ε&gt;0 has ε/2&gt;0. If both components lie in qℤ≥0 and P=kq, the least unequal difference is q for odd k and 2q for even k.</w:t>
            </w:r>
          </w:p>
        </w:tc>
      </w:tr>
      <w:tr>
        <w:trPr/>
        <w:tc>
          <w:tcPr>
            <w:tcW w:w="4680" w:type="dxa"/>
            <w:tcBorders/>
            <w:vAlign w:val="top"/>
            <w:shd w:fill="F7F9FB"/>
          </w:tcPr>
          <w:p>
            <w:pPr>
              <w:pStyle w:val="Normal"/>
              <w:widowControl/>
              <w:bidi w:val="0"/>
              <w:spacing w:lineRule="auto" w:line="240" w:before="0" w:after="40"/>
              <w:jc w:val="start"/>
              <w:rPr/>
            </w:pPr>
            <w:r>
              <w:rPr>
                <w:sz w:val="19"/>
              </w:rPr>
              <w:t>T54@2.3</w:t>
            </w:r>
          </w:p>
        </w:tc>
        <w:tc>
          <w:tcPr>
            <w:tcW w:w="4680" w:type="dxa"/>
            <w:tcBorders/>
            <w:vAlign w:val="top"/>
            <w:shd w:fill="F7F9FB"/>
          </w:tcPr>
          <w:p>
            <w:pPr>
              <w:pStyle w:val="Normal"/>
              <w:widowControl/>
              <w:bidi w:val="0"/>
              <w:spacing w:lineRule="auto" w:line="240" w:before="0" w:after="40"/>
              <w:jc w:val="start"/>
              <w:rPr/>
            </w:pPr>
            <w:r>
              <w:rPr>
                <w:sz w:val="19"/>
              </w:rPr>
              <w:t>R=τ(W) and L(τ,q)={(w,w′):τ(w)=τ(w′) and q(w)≠q(w′)}. L(τ,q)=∅ exactly when a unique d_R:R→Q satisfies q=d_R∘τ on W.</w:t>
            </w:r>
          </w:p>
        </w:tc>
      </w:tr>
      <w:tr>
        <w:trPr/>
        <w:tc>
          <w:tcPr>
            <w:tcW w:w="4680" w:type="dxa"/>
            <w:tcBorders/>
            <w:vAlign w:val="top"/>
          </w:tcPr>
          <w:p>
            <w:pPr>
              <w:pStyle w:val="Normal"/>
              <w:widowControl/>
              <w:bidi w:val="0"/>
              <w:spacing w:lineRule="auto" w:line="240" w:before="0" w:after="40"/>
              <w:jc w:val="start"/>
              <w:rPr/>
            </w:pPr>
            <w:r>
              <w:rPr>
                <w:sz w:val="19"/>
              </w:rPr>
              <w:t>T57@2.3</w:t>
            </w:r>
          </w:p>
        </w:tc>
        <w:tc>
          <w:tcPr>
            <w:tcW w:w="4680" w:type="dxa"/>
            <w:tcBorders/>
            <w:vAlign w:val="top"/>
          </w:tcPr>
          <w:p>
            <w:pPr>
              <w:pStyle w:val="Normal"/>
              <w:widowControl/>
              <w:bidi w:val="0"/>
              <w:spacing w:lineRule="auto" w:line="240" w:before="0" w:after="40"/>
              <w:jc w:val="start"/>
              <w:rPr/>
            </w:pPr>
            <w:r>
              <w:rPr>
                <w:sz w:val="19"/>
              </w:rPr>
              <w:t>Deterministic postprocessing cannot split a τ-collision; L((τ,s),q)=L(τ,q)∩K(s); if s=h∘τ, then no existing q-conflict is removed. For joint traces, with K(f)={(u,v):f(u)=f(v)}, verify K(⟨τ_A,τ_B⟩)=K(τ_A)∩K(τ_B). The strict-joint-sufficiency fixture uses W={0,1}², τ_A(x,y)=x, τ_B(x,y)=y, and requested answer q(x,y)=x⊕y: neither trace alone factors q, while their joint trace does. Joint certification proves no causal interaction, generation, or authority. In a finite τ-fiber containing m distinct required q-answers, any auxiliary label set S that makes q recoverable satisfies |S|≥m; raw |L(τ,q)| is not a bit cost. Question coarsening executes only under its card-stated hypotheses.</w:t>
            </w:r>
          </w:p>
        </w:tc>
      </w:tr>
      <w:tr>
        <w:trPr/>
        <w:tc>
          <w:tcPr>
            <w:tcW w:w="4680" w:type="dxa"/>
            <w:tcBorders/>
            <w:vAlign w:val="top"/>
            <w:shd w:fill="F7F9FB"/>
          </w:tcPr>
          <w:p>
            <w:pPr>
              <w:pStyle w:val="Normal"/>
              <w:widowControl/>
              <w:bidi w:val="0"/>
              <w:spacing w:lineRule="auto" w:line="240" w:before="0" w:after="40"/>
              <w:jc w:val="start"/>
              <w:rPr/>
            </w:pPr>
            <w:r>
              <w:rPr>
                <w:sz w:val="19"/>
              </w:rPr>
              <w:t>T58@2.3</w:t>
            </w:r>
          </w:p>
        </w:tc>
        <w:tc>
          <w:tcPr>
            <w:tcW w:w="4680" w:type="dxa"/>
            <w:tcBorders/>
            <w:vAlign w:val="top"/>
            <w:shd w:fill="F7F9FB"/>
          </w:tcPr>
          <w:p>
            <w:pPr>
              <w:pStyle w:val="Normal"/>
              <w:widowControl/>
              <w:bidi w:val="0"/>
              <w:spacing w:lineRule="auto" w:line="240" w:before="0" w:after="40"/>
              <w:jc w:val="start"/>
              <w:rPr/>
            </w:pPr>
            <w:r>
              <w:rPr>
                <w:sz w:val="19"/>
              </w:rPr>
              <w:t>For the GOLD arcs o and r, verify S¹(o)=S¹(r)=B−A. For b=o·r⁻¹, verify ½(S¹²(b)−S²¹(b))=½∮_b(x dy−y dx)=±a²(π/3−√3/2), with sign fixed by orientation. The hollow two-edge bigon has H₁≅ℤ; filling it gives H₁=0 without deleting or identifying the supplied boundary paths.</w:t>
            </w:r>
          </w:p>
        </w:tc>
      </w:tr>
      <w:tr>
        <w:trPr/>
        <w:tc>
          <w:tcPr>
            <w:tcW w:w="4680" w:type="dxa"/>
            <w:tcBorders/>
            <w:vAlign w:val="top"/>
          </w:tcPr>
          <w:p>
            <w:pPr>
              <w:pStyle w:val="Normal"/>
              <w:widowControl/>
              <w:bidi w:val="0"/>
              <w:spacing w:lineRule="auto" w:line="240" w:before="0" w:after="40"/>
              <w:jc w:val="start"/>
              <w:rPr/>
            </w:pPr>
            <w:r>
              <w:rPr>
                <w:sz w:val="19"/>
              </w:rPr>
              <w:t>T59@2.3</w:t>
            </w:r>
          </w:p>
        </w:tc>
        <w:tc>
          <w:tcPr>
            <w:tcW w:w="4680" w:type="dxa"/>
            <w:tcBorders/>
            <w:vAlign w:val="top"/>
          </w:tcPr>
          <w:p>
            <w:pPr>
              <w:pStyle w:val="Normal"/>
              <w:widowControl/>
              <w:bidi w:val="0"/>
              <w:spacing w:lineRule="auto" w:line="240" w:before="0" w:after="40"/>
              <w:jc w:val="start"/>
              <w:rPr/>
            </w:pPr>
            <w:r>
              <w:rPr>
                <w:sz w:val="19"/>
              </w:rPr>
              <w:t>For cube graph Q₃ on {0,1}³, identify 000∼111 and verify Q₃/(000∼111)≅K₁∨C₆: seven image vertices and all twelve source graph edges retained as six spokes plus six rim edges. With ω=e^{2πi/3}, π(x₁,x₂,x₃)=x₁+x₂ω+x₃ω², verify the discrete central fiber {000,111} and separately reject transfer of its one-bit label to the line-segment fibers of the solid cube.</w:t>
            </w:r>
          </w:p>
        </w:tc>
      </w:tr>
      <w:tr>
        <w:trPr/>
        <w:tc>
          <w:tcPr>
            <w:tcW w:w="4680" w:type="dxa"/>
            <w:tcBorders/>
            <w:vAlign w:val="top"/>
            <w:shd w:fill="F7F9FB"/>
          </w:tcPr>
          <w:p>
            <w:pPr>
              <w:pStyle w:val="Normal"/>
              <w:widowControl/>
              <w:bidi w:val="0"/>
              <w:spacing w:lineRule="auto" w:line="240" w:before="0" w:after="40"/>
              <w:jc w:val="start"/>
              <w:rPr/>
            </w:pPr>
            <w:r>
              <w:rPr>
                <w:sz w:val="19"/>
              </w:rPr>
              <w:t>T60@2.3</w:t>
            </w:r>
          </w:p>
        </w:tc>
        <w:tc>
          <w:tcPr>
            <w:tcW w:w="4680" w:type="dxa"/>
            <w:tcBorders/>
            <w:vAlign w:val="top"/>
            <w:shd w:fill="F7F9FB"/>
          </w:tcPr>
          <w:p>
            <w:pPr>
              <w:pStyle w:val="Normal"/>
              <w:widowControl/>
              <w:bidi w:val="0"/>
              <w:spacing w:lineRule="auto" w:line="240" w:before="0" w:after="40"/>
              <w:jc w:val="start"/>
              <w:rPr/>
            </w:pPr>
            <w:r>
              <w:rPr>
                <w:sz w:val="19"/>
              </w:rPr>
              <w:t>For declared compare-exchange Uᵢⱼ and cᵢⱼ(x)=1[xᵢ&lt;xⱼ], enumerate the two-point collision and verify injectivity of (Uᵢⱼ(x),cᵢⱼ(x)) by the stated left inverse. One bit is necessary only for that declared two-element fiber.</w:t>
            </w:r>
          </w:p>
        </w:tc>
      </w:tr>
      <w:tr>
        <w:trPr/>
        <w:tc>
          <w:tcPr>
            <w:tcW w:w="4680" w:type="dxa"/>
            <w:tcBorders/>
            <w:vAlign w:val="top"/>
          </w:tcPr>
          <w:p>
            <w:pPr>
              <w:pStyle w:val="Normal"/>
              <w:widowControl/>
              <w:bidi w:val="0"/>
              <w:spacing w:lineRule="auto" w:line="240" w:before="0" w:after="40"/>
              <w:jc w:val="start"/>
              <w:rPr/>
            </w:pPr>
            <w:r>
              <w:rPr>
                <w:sz w:val="19"/>
              </w:rPr>
              <w:t>T61@2.3</w:t>
            </w:r>
          </w:p>
        </w:tc>
        <w:tc>
          <w:tcPr>
            <w:tcW w:w="4680" w:type="dxa"/>
            <w:tcBorders/>
            <w:vAlign w:val="top"/>
          </w:tcPr>
          <w:p>
            <w:pPr>
              <w:pStyle w:val="Normal"/>
              <w:widowControl/>
              <w:bidi w:val="0"/>
              <w:spacing w:lineRule="auto" w:line="240" w:before="0" w:after="40"/>
              <w:jc w:val="start"/>
              <w:rPr/>
            </w:pPr>
            <w:r>
              <w:rPr>
                <w:sz w:val="19"/>
              </w:rPr>
              <w:t>For finite roster |V|=n, |V²|=n²=n+n(n−1) and the oriented nonloop boundary is [j]−[i]. Verify the Fung pass invariant and reverse reconstruction for the frozen finite fixture; do not infer global bit minimality.</w:t>
            </w:r>
          </w:p>
        </w:tc>
      </w:tr>
      <w:tr>
        <w:trPr/>
        <w:tc>
          <w:tcPr>
            <w:tcW w:w="4680" w:type="dxa"/>
            <w:tcBorders/>
            <w:vAlign w:val="top"/>
            <w:shd w:fill="F7F9FB"/>
          </w:tcPr>
          <w:p>
            <w:pPr>
              <w:pStyle w:val="Normal"/>
              <w:widowControl/>
              <w:bidi w:val="0"/>
              <w:spacing w:lineRule="auto" w:line="240" w:before="0" w:after="40"/>
              <w:jc w:val="start"/>
              <w:rPr/>
            </w:pPr>
            <w:r>
              <w:rPr>
                <w:sz w:val="19"/>
              </w:rPr>
              <w:t>T62@2.3</w:t>
            </w:r>
          </w:p>
        </w:tc>
        <w:tc>
          <w:tcPr>
            <w:tcW w:w="4680" w:type="dxa"/>
            <w:tcBorders/>
            <w:vAlign w:val="top"/>
            <w:shd w:fill="F7F9FB"/>
          </w:tcPr>
          <w:p>
            <w:pPr>
              <w:pStyle w:val="Normal"/>
              <w:widowControl/>
              <w:bidi w:val="0"/>
              <w:spacing w:lineRule="auto" w:line="240" w:before="0" w:after="40"/>
              <w:jc w:val="start"/>
              <w:rPr/>
            </w:pPr>
            <w:r>
              <w:rPr>
                <w:sz w:val="19"/>
              </w:rPr>
              <w:t>For state X, return H:X→X, work projection π:X→W, and export E:X→C⊥, evaluate exact return H(x)=x, projected stutter π(Hx)=π(x), hidden motion, direct residual, and export as separate predicates.</w:t>
            </w:r>
          </w:p>
        </w:tc>
      </w:tr>
      <w:tr>
        <w:trPr/>
        <w:tc>
          <w:tcPr>
            <w:tcW w:w="4680" w:type="dxa"/>
            <w:tcBorders/>
            <w:vAlign w:val="top"/>
          </w:tcPr>
          <w:p>
            <w:pPr>
              <w:pStyle w:val="Normal"/>
              <w:widowControl/>
              <w:bidi w:val="0"/>
              <w:spacing w:lineRule="auto" w:line="240" w:before="0" w:after="40"/>
              <w:jc w:val="start"/>
              <w:rPr/>
            </w:pPr>
            <w:r>
              <w:rPr>
                <w:sz w:val="19"/>
              </w:rPr>
              <w:t>T63@2.3</w:t>
            </w:r>
          </w:p>
        </w:tc>
        <w:tc>
          <w:tcPr>
            <w:tcW w:w="4680" w:type="dxa"/>
            <w:tcBorders/>
            <w:vAlign w:val="top"/>
          </w:tcPr>
          <w:p>
            <w:pPr>
              <w:pStyle w:val="Normal"/>
              <w:widowControl/>
              <w:bidi w:val="0"/>
              <w:spacing w:lineRule="auto" w:line="240" w:before="0" w:after="40"/>
              <w:jc w:val="start"/>
              <w:rPr/>
            </w:pPr>
            <w:r>
              <w:rPr>
                <w:sz w:val="19"/>
              </w:rPr>
              <w:t>For declared work freeze/thaw, verify r∘f=id on S_work; compare uninterrupted and resumed execution only under the same deterministic suffix and only on terminal work state.</w:t>
            </w:r>
          </w:p>
        </w:tc>
      </w:tr>
      <w:tr>
        <w:trPr/>
        <w:tc>
          <w:tcPr>
            <w:tcW w:w="4680" w:type="dxa"/>
            <w:tcBorders/>
            <w:vAlign w:val="top"/>
            <w:shd w:fill="F7F9FB"/>
          </w:tcPr>
          <w:p>
            <w:pPr>
              <w:pStyle w:val="Normal"/>
              <w:widowControl/>
              <w:bidi w:val="0"/>
              <w:spacing w:lineRule="auto" w:line="240" w:before="0" w:after="40"/>
              <w:jc w:val="start"/>
              <w:rPr/>
            </w:pPr>
            <w:r>
              <w:rPr>
                <w:sz w:val="19"/>
              </w:rPr>
              <w:t>T67@2.3</w:t>
            </w:r>
          </w:p>
        </w:tc>
        <w:tc>
          <w:tcPr>
            <w:tcW w:w="4680" w:type="dxa"/>
            <w:tcBorders/>
            <w:vAlign w:val="top"/>
            <w:shd w:fill="F7F9FB"/>
          </w:tcPr>
          <w:p>
            <w:pPr>
              <w:pStyle w:val="Normal"/>
              <w:widowControl/>
              <w:bidi w:val="0"/>
              <w:spacing w:lineRule="auto" w:line="240" w:before="0" w:after="40"/>
              <w:jc w:val="start"/>
              <w:rPr/>
            </w:pPr>
            <w:r>
              <w:rPr>
                <w:sz w:val="19"/>
              </w:rPr>
              <w:t>Within one grant epoch, sₖ=B−cₖ; nondecreasing cumulative consumption cₖ implies nonincreasing slack sₖ. A top-up appends a linked epoch rather than rewriting B or cₖ.</w:t>
            </w:r>
          </w:p>
        </w:tc>
      </w:tr>
      <w:tr>
        <w:trPr/>
        <w:tc>
          <w:tcPr>
            <w:tcW w:w="4680" w:type="dxa"/>
            <w:tcBorders/>
            <w:vAlign w:val="top"/>
          </w:tcPr>
          <w:p>
            <w:pPr>
              <w:pStyle w:val="Normal"/>
              <w:widowControl/>
              <w:bidi w:val="0"/>
              <w:spacing w:lineRule="auto" w:line="240" w:before="0" w:after="40"/>
              <w:jc w:val="start"/>
              <w:rPr/>
            </w:pPr>
            <w:r>
              <w:rPr>
                <w:sz w:val="19"/>
              </w:rPr>
              <w:t>T68@2.3 / GOLD</w:t>
            </w:r>
          </w:p>
        </w:tc>
        <w:tc>
          <w:tcPr>
            <w:tcW w:w="4680" w:type="dxa"/>
            <w:tcBorders/>
            <w:vAlign w:val="top"/>
          </w:tcPr>
          <w:p>
            <w:pPr>
              <w:pStyle w:val="Normal"/>
              <w:widowControl/>
              <w:bidi w:val="0"/>
              <w:spacing w:lineRule="auto" w:line="240" w:before="0" w:after="40"/>
              <w:jc w:val="start"/>
              <w:rPr/>
            </w:pPr>
            <w:r>
              <w:rPr>
                <w:sz w:val="19"/>
              </w:rPr>
              <w:t>For triangular-lattice scale a, check lens area a²(π/3−√3/2), perimeter 2πa/3, thickness a(2−√3), center/tip roles, and absence only of intermediate lattice vertices.</w:t>
            </w:r>
          </w:p>
        </w:tc>
      </w:tr>
      <w:tr>
        <w:trPr/>
        <w:tc>
          <w:tcPr>
            <w:tcW w:w="4680" w:type="dxa"/>
            <w:tcBorders/>
            <w:vAlign w:val="top"/>
            <w:shd w:fill="F7F9FB"/>
          </w:tcPr>
          <w:p>
            <w:pPr>
              <w:pStyle w:val="Normal"/>
              <w:widowControl/>
              <w:bidi w:val="0"/>
              <w:spacing w:lineRule="auto" w:line="240" w:before="0" w:after="40"/>
              <w:jc w:val="start"/>
              <w:rPr/>
            </w:pPr>
            <w:r>
              <w:rPr>
                <w:sz w:val="19"/>
              </w:rPr>
              <w:t>T68@2.3 / RAINBOW</w:t>
            </w:r>
          </w:p>
        </w:tc>
        <w:tc>
          <w:tcPr>
            <w:tcW w:w="4680" w:type="dxa"/>
            <w:tcBorders/>
            <w:vAlign w:val="top"/>
            <w:shd w:fill="F7F9FB"/>
          </w:tcPr>
          <w:p>
            <w:pPr>
              <w:pStyle w:val="Normal"/>
              <w:widowControl/>
              <w:bidi w:val="0"/>
              <w:spacing w:lineRule="auto" w:line="240" w:before="0" w:after="40"/>
              <w:jc w:val="start"/>
              <w:rPr/>
            </w:pPr>
            <w:r>
              <w:rPr>
                <w:sz w:val="19"/>
              </w:rPr>
              <w:t>With η=e^{iπ/3}, Q(a,b)=a²+ab+b², and Sₙ={(a,b)∈ℤ²:Q(a,b)=n}, an occupied shell has r_Q(n)=6∏_{p≡1 (mod 3)}(e_p+1)=6∑_{d|n}χ₋₃(d) exactly when every exponent of a prime q≡2 (mod 3) is even. Required cases: r_Q(3)=6, r_Q(7)=12, r_Q(17)=0, r_Q(21)=12, r_Q(28)=12, r_Q(49)=18, and r_Q(91)=24; unit-orbit count is H(n)=r_Q(n)/6. Verify separately that 1→7→49→91 are the successive occupied-shell population records through n=100 and that only 49 and 91 in that bounded range have more than twelve points. Source-check, rather than infer from the finite run, ∑_{n≥1}r_Q(n)n^(−s)=6ζ(s)L(s,χ₋₃) for Re(s)&gt;1.</w:t>
            </w:r>
          </w:p>
        </w:tc>
      </w:tr>
      <w:tr>
        <w:trPr/>
        <w:tc>
          <w:tcPr>
            <w:tcW w:w="4680" w:type="dxa"/>
            <w:tcBorders/>
            <w:vAlign w:val="top"/>
          </w:tcPr>
          <w:p>
            <w:pPr>
              <w:pStyle w:val="Normal"/>
              <w:widowControl/>
              <w:bidi w:val="0"/>
              <w:spacing w:lineRule="auto" w:line="240" w:before="0" w:after="40"/>
              <w:jc w:val="start"/>
              <w:rPr/>
            </w:pPr>
            <w:r>
              <w:rPr>
                <w:sz w:val="19"/>
              </w:rPr>
              <w:t>T69@2.3 / GOLD</w:t>
            </w:r>
          </w:p>
        </w:tc>
        <w:tc>
          <w:tcPr>
            <w:tcW w:w="4680" w:type="dxa"/>
            <w:tcBorders/>
            <w:vAlign w:val="top"/>
          </w:tcPr>
          <w:p>
            <w:pPr>
              <w:pStyle w:val="Normal"/>
              <w:widowControl/>
              <w:bidi w:val="0"/>
              <w:spacing w:lineRule="auto" w:line="240" w:before="0" w:after="40"/>
              <w:jc w:val="start"/>
              <w:rPr/>
            </w:pPr>
            <w:r>
              <w:rPr>
                <w:sz w:val="19"/>
              </w:rPr>
              <w:t>Verify ℝ⁶=span{1}⊕1⊥, P₀=(1/6)11ᵀ, P⊥=I−P₀, dimensions 1+5, cycle-Laplacian eigenvalues λₖ=2−2cos(2πk/6) with spectrum 0,1,1,3,3,4, and real mode split 2+2+1. With φ=(1+√5)/2 and β=φ⁻², verify Kₙ=⌊6nβ+1/2⌋, jₙ=Kₙ mod 6, εₙ=2πnβ−(π/3)Kₙ, |εₙ|&lt;π/6, and 2πnβ≡(π/3)jₙ+εₙ (mod 2π); sector alone remains lossy.</w:t>
            </w:r>
          </w:p>
        </w:tc>
      </w:tr>
      <w:tr>
        <w:trPr/>
        <w:tc>
          <w:tcPr>
            <w:tcW w:w="4680" w:type="dxa"/>
            <w:tcBorders/>
            <w:vAlign w:val="top"/>
            <w:shd w:fill="F7F9FB"/>
          </w:tcPr>
          <w:p>
            <w:pPr>
              <w:pStyle w:val="Normal"/>
              <w:widowControl/>
              <w:bidi w:val="0"/>
              <w:spacing w:lineRule="auto" w:line="240" w:before="0" w:after="40"/>
              <w:jc w:val="start"/>
              <w:rPr/>
            </w:pPr>
            <w:r>
              <w:rPr>
                <w:sz w:val="19"/>
              </w:rPr>
              <w:t>T69@2.3 / RAINBOW</w:t>
            </w:r>
          </w:p>
        </w:tc>
        <w:tc>
          <w:tcPr>
            <w:tcW w:w="4680" w:type="dxa"/>
            <w:tcBorders/>
            <w:vAlign w:val="top"/>
            <w:shd w:fill="F7F9FB"/>
          </w:tcPr>
          <w:p>
            <w:pPr>
              <w:pStyle w:val="Normal"/>
              <w:widowControl/>
              <w:bidi w:val="0"/>
              <w:spacing w:lineRule="auto" w:line="240" w:before="0" w:after="40"/>
              <w:jc w:val="start"/>
              <w:rPr/>
            </w:pPr>
            <w:r>
              <w:rPr>
                <w:sz w:val="19"/>
              </w:rPr>
              <w:t>On C=(ℝ/(π/3)ℤ)×ℝ, verify the cut-indexed affine reflection R_c([φ],z)=([2c−φ],z) and, only after supplied recentering in a chosen lift, R_c(φ,z)=(−φ,z) with R_c²=id. For v_sym=(v+R_cv)/2 and v_anti=(v−R_cv)/2, the local rank-two receipt requires v_sym∧v_anti≠0, equivalently nonparallel v and R_cv; the φ=0 and z=0 fixtures must lose rank. For split prime p, verify b_p^±=(±φ_p,log p), symmetric component (0,log p), antisymmetric components ±(φ_p,0), and determinant 2φ_p log p≠0 under the card hypotheses. For an optional coherent adapter on each finite history fiber, require supplied amplitudes and a Hermitian positive-semidefinite matrix Γ_x with unit diagonal; verify I_x=a_x†Γ_xa_x≥0, reject non-Hermitian/non-PSD mutations, and distinguish Γ_x=I from Γ_x=11†. In the two-route middle fiber, evaluate I₀=|a₊₋|²+|a₋₊|²+2 Re(γa₊₋*a₋₊) with |γ|≤1; for unit amplitudes verify 2+2 Re(γe^{iΔδ}), and set Γ=11†/γ=1 before the aligned 1:4:1 and opposed 1:0:1 fixtures. Retained distinguishable routes 1:2:1 remain a route-count case, not an amplitude readout. Probability normalization requires a positive supplied denominator; zero total intensity leaves that normalization undefined rather than making it probability zero.</w:t>
            </w:r>
          </w:p>
        </w:tc>
      </w:tr>
      <w:tr>
        <w:trPr/>
        <w:tc>
          <w:tcPr>
            <w:tcW w:w="4680" w:type="dxa"/>
            <w:tcBorders/>
            <w:vAlign w:val="top"/>
          </w:tcPr>
          <w:p>
            <w:pPr>
              <w:pStyle w:val="Normal"/>
              <w:widowControl/>
              <w:bidi w:val="0"/>
              <w:spacing w:lineRule="auto" w:line="240" w:before="0" w:after="40"/>
              <w:jc w:val="start"/>
              <w:rPr/>
            </w:pPr>
            <w:r>
              <w:rPr>
                <w:sz w:val="19"/>
              </w:rPr>
              <w:t>T70@2.3</w:t>
            </w:r>
          </w:p>
        </w:tc>
        <w:tc>
          <w:tcPr>
            <w:tcW w:w="4680" w:type="dxa"/>
            <w:tcBorders/>
            <w:vAlign w:val="top"/>
          </w:tcPr>
          <w:p>
            <w:pPr>
              <w:pStyle w:val="Normal"/>
              <w:widowControl/>
              <w:bidi w:val="0"/>
              <w:spacing w:lineRule="auto" w:line="240" w:before="0" w:after="40"/>
              <w:jc w:val="start"/>
              <w:rPr/>
            </w:pPr>
            <w:r>
              <w:rPr>
                <w:sz w:val="19"/>
              </w:rPr>
              <w:t>For a closed triangulation use Σ_v(6−deg v)=6χ. For a compact finite triangulated surface with boundary verify Σ_{v∈int}(6−deg v)+Σ_{v∈∂}(4−deg v)=6χ, equivalently Σ_all v(6−deg v)=6χ+2E_∂; record local defects even when their signed total is zero.</w:t>
            </w:r>
          </w:p>
        </w:tc>
      </w:tr>
      <w:tr>
        <w:trPr/>
        <w:tc>
          <w:tcPr>
            <w:tcW w:w="4680" w:type="dxa"/>
            <w:tcBorders/>
            <w:vAlign w:val="top"/>
            <w:shd w:fill="F7F9FB"/>
          </w:tcPr>
          <w:p>
            <w:pPr>
              <w:pStyle w:val="Normal"/>
              <w:widowControl/>
              <w:bidi w:val="0"/>
              <w:spacing w:lineRule="auto" w:line="240" w:before="0" w:after="40"/>
              <w:jc w:val="start"/>
              <w:rPr/>
            </w:pPr>
            <w:r>
              <w:rPr>
                <w:sz w:val="19"/>
              </w:rPr>
              <w:t>T72@2.3</w:t>
            </w:r>
          </w:p>
        </w:tc>
        <w:tc>
          <w:tcPr>
            <w:tcW w:w="4680" w:type="dxa"/>
            <w:tcBorders/>
            <w:vAlign w:val="top"/>
            <w:shd w:fill="F7F9FB"/>
          </w:tcPr>
          <w:p>
            <w:pPr>
              <w:pStyle w:val="Normal"/>
              <w:widowControl/>
              <w:bidi w:val="0"/>
              <w:spacing w:lineRule="auto" w:line="240" w:before="0" w:after="40"/>
              <w:jc w:val="start"/>
              <w:rPr/>
            </w:pPr>
            <w:r>
              <w:rPr>
                <w:sz w:val="19"/>
              </w:rPr>
              <w:t>Let p_j be the jth rational prime, let e_j(n) be its valuation, set beta = phi^(−2), and set zeta = exp(2 pi i beta). Evaluate the finite sum G(n) = sum_j e_j(n) zeta^j. Verify exact injectivity under the source-stated argument and G(mn) = G(m)+G(n) on the frozen GPPR fixture. Distinguish a canonical prime-index ribbon from an event-order ribbon that can share its endpoint. Exact symbolic injectivity does not imply a finite-bit, efficient, secret, or order-preserving implementation.</w:t>
            </w:r>
          </w:p>
        </w:tc>
      </w:tr>
    </w:tbl>
    <w:p>
      <w:pPr>
        <w:pStyle w:val="Heading2"/>
        <w:keepNext/>
        <w:keepLines/>
        <w:rPr/>
      </w:pPr>
      <w:bookmarkStart w:id="98" w:name="decision-and-obligation-trace"/>
      <w:r>
        <w:rPr/>
        <w:t>9.7 Decision and obligation trace</w:t>
      </w:r>
      <w:bookmarkEnd w:id="9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Ledger address</w:t>
            </w:r>
          </w:p>
        </w:tc>
        <w:tc>
          <w:tcPr>
            <w:tcW w:w="4680" w:type="dxa"/>
            <w:tcBorders/>
            <w:vAlign w:val="top"/>
            <w:shd w:fill="DCE6F1"/>
          </w:tcPr>
          <w:p>
            <w:pPr>
              <w:pStyle w:val="Normal"/>
              <w:spacing w:before="0" w:after="40" w:line="240" w:lineRule="auto"/>
              <w:rPr>
                <w:b/>
                <w:bCs/>
              </w:rPr>
            </w:pPr>
            <w:r>
              <w:rPr>
                <w:b/>
                <w:bCs/>
                <w:color w:val="1F4D78"/>
                <w:sz w:val="19"/>
              </w:rPr>
              <w:t>Controlling v2.3 test evidence</w:t>
            </w:r>
          </w:p>
        </w:tc>
      </w:tr>
      <w:tr>
        <w:trPr/>
        <w:tc>
          <w:tcPr>
            <w:tcW w:w="4680" w:type="dxa"/>
            <w:tcBorders/>
            <w:vAlign w:val="top"/>
          </w:tcPr>
          <w:p>
            <w:pPr>
              <w:pStyle w:val="Normal"/>
              <w:widowControl/>
              <w:bidi w:val="0"/>
              <w:spacing w:lineRule="auto" w:line="240" w:before="0" w:after="40"/>
              <w:jc w:val="start"/>
              <w:rPr/>
            </w:pPr>
            <w:r>
              <w:rPr>
                <w:sz w:val="19"/>
              </w:rPr>
              <w:t>D31 / O52 — boundary-role registry and adapters</w:t>
            </w:r>
          </w:p>
        </w:tc>
        <w:tc>
          <w:tcPr>
            <w:tcW w:w="4680" w:type="dxa"/>
            <w:tcBorders/>
            <w:vAlign w:val="top"/>
          </w:tcPr>
          <w:p>
            <w:pPr>
              <w:pStyle w:val="Normal"/>
              <w:widowControl/>
              <w:bidi w:val="0"/>
              <w:spacing w:lineRule="auto" w:line="240" w:before="0" w:after="40"/>
              <w:jc w:val="start"/>
              <w:rPr/>
            </w:pPr>
            <w:r>
              <w:rPr>
                <w:sz w:val="19"/>
              </w:rPr>
              <w:t>T49, T53, T58, T59, T70, T71</w:t>
            </w:r>
          </w:p>
        </w:tc>
      </w:tr>
      <w:tr>
        <w:trPr/>
        <w:tc>
          <w:tcPr>
            <w:tcW w:w="4680" w:type="dxa"/>
            <w:tcBorders/>
            <w:vAlign w:val="top"/>
            <w:shd w:fill="F7F9FB"/>
          </w:tcPr>
          <w:p>
            <w:pPr>
              <w:pStyle w:val="Normal"/>
              <w:widowControl/>
              <w:bidi w:val="0"/>
              <w:spacing w:lineRule="auto" w:line="240" w:before="0" w:after="40"/>
              <w:jc w:val="start"/>
              <w:rPr/>
            </w:pPr>
            <w:r>
              <w:rPr>
                <w:sz w:val="19"/>
              </w:rPr>
              <w:t>D32 / O53 — structural and resolution-qualified minimality</w:t>
            </w:r>
          </w:p>
        </w:tc>
        <w:tc>
          <w:tcPr>
            <w:tcW w:w="4680" w:type="dxa"/>
            <w:tcBorders/>
            <w:vAlign w:val="top"/>
            <w:shd w:fill="F7F9FB"/>
          </w:tcPr>
          <w:p>
            <w:pPr>
              <w:pStyle w:val="Normal"/>
              <w:widowControl/>
              <w:bidi w:val="0"/>
              <w:spacing w:lineRule="auto" w:line="240" w:before="0" w:after="40"/>
              <w:jc w:val="start"/>
              <w:rPr/>
            </w:pPr>
            <w:r>
              <w:rPr>
                <w:sz w:val="19"/>
              </w:rPr>
              <w:t>T50–T52</w:t>
            </w:r>
          </w:p>
        </w:tc>
      </w:tr>
      <w:tr>
        <w:trPr/>
        <w:tc>
          <w:tcPr>
            <w:tcW w:w="4680" w:type="dxa"/>
            <w:tcBorders/>
            <w:vAlign w:val="top"/>
          </w:tcPr>
          <w:p>
            <w:pPr>
              <w:pStyle w:val="Normal"/>
              <w:widowControl/>
              <w:bidi w:val="0"/>
              <w:spacing w:lineRule="auto" w:line="240" w:before="0" w:after="40"/>
              <w:jc w:val="start"/>
              <w:rPr/>
            </w:pPr>
            <w:r>
              <w:rPr>
                <w:sz w:val="19"/>
              </w:rPr>
              <w:t>D33 / O54 — reachable factorization and decoder typing</w:t>
            </w:r>
          </w:p>
        </w:tc>
        <w:tc>
          <w:tcPr>
            <w:tcW w:w="4680" w:type="dxa"/>
            <w:tcBorders/>
            <w:vAlign w:val="top"/>
          </w:tcPr>
          <w:p>
            <w:pPr>
              <w:pStyle w:val="Normal"/>
              <w:widowControl/>
              <w:bidi w:val="0"/>
              <w:spacing w:lineRule="auto" w:line="240" w:before="0" w:after="40"/>
              <w:jc w:val="start"/>
              <w:rPr/>
            </w:pPr>
            <w:r>
              <w:rPr>
                <w:sz w:val="19"/>
              </w:rPr>
              <w:t>T54–T57</w:t>
            </w:r>
          </w:p>
        </w:tc>
      </w:tr>
      <w:tr>
        <w:trPr/>
        <w:tc>
          <w:tcPr>
            <w:tcW w:w="4680" w:type="dxa"/>
            <w:tcBorders/>
            <w:vAlign w:val="top"/>
            <w:shd w:fill="F7F9FB"/>
          </w:tcPr>
          <w:p>
            <w:pPr>
              <w:pStyle w:val="Normal"/>
              <w:widowControl/>
              <w:bidi w:val="0"/>
              <w:spacing w:lineRule="auto" w:line="240" w:before="0" w:after="40"/>
              <w:jc w:val="start"/>
              <w:rPr/>
            </w:pPr>
            <w:r>
              <w:rPr>
                <w:sz w:val="19"/>
              </w:rPr>
              <w:t>D34 / O55 — action-trace lift and recoverability</w:t>
            </w:r>
          </w:p>
        </w:tc>
        <w:tc>
          <w:tcPr>
            <w:tcW w:w="4680" w:type="dxa"/>
            <w:tcBorders/>
            <w:vAlign w:val="top"/>
            <w:shd w:fill="F7F9FB"/>
          </w:tcPr>
          <w:p>
            <w:pPr>
              <w:pStyle w:val="Normal"/>
              <w:widowControl/>
              <w:bidi w:val="0"/>
              <w:spacing w:lineRule="auto" w:line="240" w:before="0" w:after="40"/>
              <w:jc w:val="start"/>
              <w:rPr/>
            </w:pPr>
            <w:r>
              <w:rPr>
                <w:sz w:val="19"/>
              </w:rPr>
              <w:t>T60–T61 plus T12–T14 on each new card</w:t>
            </w:r>
          </w:p>
        </w:tc>
      </w:tr>
      <w:tr>
        <w:trPr/>
        <w:tc>
          <w:tcPr>
            <w:tcW w:w="4680" w:type="dxa"/>
            <w:tcBorders/>
            <w:vAlign w:val="top"/>
          </w:tcPr>
          <w:p>
            <w:pPr>
              <w:pStyle w:val="Normal"/>
              <w:widowControl/>
              <w:bidi w:val="0"/>
              <w:spacing w:lineRule="auto" w:line="240" w:before="0" w:after="40"/>
              <w:jc w:val="start"/>
              <w:rPr/>
            </w:pPr>
            <w:r>
              <w:rPr>
                <w:sz w:val="19"/>
              </w:rPr>
              <w:t>D35 / O56 — return and work/audit projection</w:t>
            </w:r>
          </w:p>
        </w:tc>
        <w:tc>
          <w:tcPr>
            <w:tcW w:w="4680" w:type="dxa"/>
            <w:tcBorders/>
            <w:vAlign w:val="top"/>
          </w:tcPr>
          <w:p>
            <w:pPr>
              <w:pStyle w:val="Normal"/>
              <w:widowControl/>
              <w:bidi w:val="0"/>
              <w:spacing w:lineRule="auto" w:line="240" w:before="0" w:after="40"/>
              <w:jc w:val="start"/>
              <w:rPr/>
            </w:pPr>
            <w:r>
              <w:rPr>
                <w:sz w:val="19"/>
              </w:rPr>
              <w:t>T62, T65, T66</w:t>
            </w:r>
          </w:p>
        </w:tc>
      </w:tr>
      <w:tr>
        <w:trPr/>
        <w:tc>
          <w:tcPr>
            <w:tcW w:w="4680" w:type="dxa"/>
            <w:tcBorders/>
            <w:vAlign w:val="top"/>
            <w:shd w:fill="F7F9FB"/>
          </w:tcPr>
          <w:p>
            <w:pPr>
              <w:pStyle w:val="Normal"/>
              <w:widowControl/>
              <w:bidi w:val="0"/>
              <w:spacing w:lineRule="auto" w:line="240" w:before="0" w:after="40"/>
              <w:jc w:val="start"/>
              <w:rPr/>
            </w:pPr>
            <w:r>
              <w:rPr>
                <w:sz w:val="19"/>
              </w:rPr>
              <w:t>D36 / O57 — checkpoint transport and re-entry</w:t>
            </w:r>
          </w:p>
        </w:tc>
        <w:tc>
          <w:tcPr>
            <w:tcW w:w="4680" w:type="dxa"/>
            <w:tcBorders/>
            <w:vAlign w:val="top"/>
            <w:shd w:fill="F7F9FB"/>
          </w:tcPr>
          <w:p>
            <w:pPr>
              <w:pStyle w:val="Normal"/>
              <w:widowControl/>
              <w:bidi w:val="0"/>
              <w:spacing w:lineRule="auto" w:line="240" w:before="0" w:after="40"/>
              <w:jc w:val="start"/>
              <w:rPr/>
            </w:pPr>
            <w:r>
              <w:rPr>
                <w:sz w:val="19"/>
              </w:rPr>
              <w:t>T63–T64</w:t>
            </w:r>
          </w:p>
        </w:tc>
      </w:tr>
      <w:tr>
        <w:trPr/>
        <w:tc>
          <w:tcPr>
            <w:tcW w:w="4680" w:type="dxa"/>
            <w:tcBorders/>
            <w:vAlign w:val="top"/>
          </w:tcPr>
          <w:p>
            <w:pPr>
              <w:pStyle w:val="Normal"/>
              <w:widowControl/>
              <w:bidi w:val="0"/>
              <w:spacing w:lineRule="auto" w:line="240" w:before="0" w:after="40"/>
              <w:jc w:val="start"/>
              <w:rPr/>
            </w:pPr>
            <w:r>
              <w:rPr>
                <w:sz w:val="19"/>
              </w:rPr>
              <w:t>D35–D36 / O58 — cadence, slack, and grant epochs</w:t>
            </w:r>
          </w:p>
        </w:tc>
        <w:tc>
          <w:tcPr>
            <w:tcW w:w="4680" w:type="dxa"/>
            <w:tcBorders/>
            <w:vAlign w:val="top"/>
          </w:tcPr>
          <w:p>
            <w:pPr>
              <w:pStyle w:val="Normal"/>
              <w:widowControl/>
              <w:bidi w:val="0"/>
              <w:spacing w:lineRule="auto" w:line="240" w:before="0" w:after="40"/>
              <w:jc w:val="start"/>
              <w:rPr/>
            </w:pPr>
            <w:r>
              <w:rPr>
                <w:sz w:val="19"/>
              </w:rPr>
              <w:t>T65, T67</w:t>
            </w:r>
          </w:p>
        </w:tc>
      </w:tr>
      <w:tr>
        <w:trPr/>
        <w:tc>
          <w:tcPr>
            <w:tcW w:w="4680" w:type="dxa"/>
            <w:tcBorders/>
            <w:vAlign w:val="top"/>
            <w:shd w:fill="F7F9FB"/>
          </w:tcPr>
          <w:p>
            <w:pPr>
              <w:pStyle w:val="Normal"/>
              <w:widowControl/>
              <w:bidi w:val="0"/>
              <w:spacing w:lineRule="auto" w:line="240" w:before="0" w:after="40"/>
              <w:jc w:val="start"/>
              <w:rPr/>
            </w:pPr>
            <w:r>
              <w:rPr>
                <w:sz w:val="19"/>
              </w:rPr>
              <w:t>D37 / O59 — geometry and source-fixture discipline</w:t>
            </w:r>
          </w:p>
        </w:tc>
        <w:tc>
          <w:tcPr>
            <w:tcW w:w="4680" w:type="dxa"/>
            <w:tcBorders/>
            <w:vAlign w:val="top"/>
            <w:shd w:fill="F7F9FB"/>
          </w:tcPr>
          <w:p>
            <w:pPr>
              <w:pStyle w:val="Normal"/>
              <w:widowControl/>
              <w:bidi w:val="0"/>
              <w:spacing w:lineRule="auto" w:line="240" w:before="0" w:after="40"/>
              <w:jc w:val="start"/>
              <w:rPr/>
            </w:pPr>
            <w:r>
              <w:rPr>
                <w:sz w:val="19"/>
              </w:rPr>
              <w:t>T51, T58, T59, T61, T68–T72</w:t>
            </w:r>
          </w:p>
        </w:tc>
      </w:tr>
      <w:tr>
        <w:trPr/>
        <w:tc>
          <w:tcPr>
            <w:tcW w:w="4680" w:type="dxa"/>
            <w:tcBorders/>
            <w:vAlign w:val="top"/>
          </w:tcPr>
          <w:p>
            <w:pPr>
              <w:pStyle w:val="Normal"/>
              <w:widowControl/>
              <w:bidi w:val="0"/>
              <w:spacing w:lineRule="auto" w:line="240" w:before="0" w:after="40"/>
              <w:jc w:val="start"/>
              <w:rPr/>
            </w:pPr>
            <w:r>
              <w:rPr>
                <w:sz w:val="19"/>
              </w:rPr>
              <w:t>D37 / O60 — conservative package and provenance</w:t>
            </w:r>
          </w:p>
        </w:tc>
        <w:tc>
          <w:tcPr>
            <w:tcW w:w="4680" w:type="dxa"/>
            <w:tcBorders/>
            <w:vAlign w:val="top"/>
          </w:tcPr>
          <w:p>
            <w:pPr>
              <w:pStyle w:val="Normal"/>
              <w:widowControl/>
              <w:bidi w:val="0"/>
              <w:spacing w:lineRule="auto" w:line="240" w:before="0" w:after="40"/>
              <w:jc w:val="start"/>
              <w:rPr/>
            </w:pPr>
            <w:r>
              <w:rPr>
                <w:sz w:val="19"/>
              </w:rPr>
              <w:t>T01, T02, T25, T26, T28–T30, final manifest, checksum receipt</w:t>
            </w:r>
          </w:p>
        </w:tc>
      </w:tr>
      <w:tr>
        <w:trPr/>
        <w:tc>
          <w:tcPr>
            <w:tcW w:w="4680" w:type="dxa"/>
            <w:tcBorders/>
            <w:vAlign w:val="top"/>
            <w:shd w:fill="F7F9FB"/>
          </w:tcPr>
          <w:p>
            <w:pPr>
              <w:pStyle w:val="Normal"/>
              <w:widowControl/>
              <w:bidi w:val="0"/>
              <w:spacing w:lineRule="auto" w:line="240" w:before="0" w:after="40"/>
              <w:jc w:val="start"/>
              <w:rPr/>
            </w:pPr>
            <w:r>
              <w:rPr>
                <w:sz w:val="19"/>
              </w:rPr>
              <w:t>D38 / O61 — author-written scope firewall</w:t>
            </w:r>
          </w:p>
        </w:tc>
        <w:tc>
          <w:tcPr>
            <w:tcW w:w="4680" w:type="dxa"/>
            <w:tcBorders/>
            <w:vAlign w:val="top"/>
            <w:shd w:fill="F7F9FB"/>
          </w:tcPr>
          <w:p>
            <w:pPr>
              <w:pStyle w:val="Normal"/>
              <w:widowControl/>
              <w:bidi w:val="0"/>
              <w:spacing w:lineRule="auto" w:line="240" w:before="0" w:after="40"/>
              <w:jc w:val="start"/>
              <w:rPr/>
            </w:pPr>
            <w:r>
              <w:rPr>
                <w:sz w:val="19"/>
              </w:rPr>
              <w:t>T05, T06, T10, T11, exact-text comparison, T29-bound release semantic lint</w:t>
            </w:r>
          </w:p>
        </w:tc>
      </w:tr>
      <w:tr>
        <w:trPr/>
        <w:tc>
          <w:tcPr>
            <w:tcW w:w="4680" w:type="dxa"/>
            <w:tcBorders/>
            <w:vAlign w:val="top"/>
          </w:tcPr>
          <w:p>
            <w:pPr>
              <w:pStyle w:val="Normal"/>
              <w:widowControl/>
              <w:bidi w:val="0"/>
              <w:spacing w:lineRule="auto" w:line="240" w:before="0" w:after="40"/>
              <w:jc w:val="start"/>
              <w:rPr/>
            </w:pPr>
            <w:r>
              <w:rPr>
                <w:sz w:val="19"/>
              </w:rPr>
              <w:t>D39 / O62 — RAINBOW realization/presentation discipline</w:t>
            </w:r>
          </w:p>
        </w:tc>
        <w:tc>
          <w:tcPr>
            <w:tcW w:w="4680" w:type="dxa"/>
            <w:tcBorders/>
            <w:vAlign w:val="top"/>
          </w:tcPr>
          <w:p>
            <w:pPr>
              <w:pStyle w:val="Normal"/>
              <w:widowControl/>
              <w:bidi w:val="0"/>
              <w:spacing w:lineRule="auto" w:line="240" w:before="0" w:after="40"/>
              <w:jc w:val="start"/>
              <w:rPr/>
            </w:pPr>
            <w:r>
              <w:rPr>
                <w:sz w:val="19"/>
              </w:rPr>
              <w:t>T12–T14, T34, T46, T51, T58–T59, T68–T72, Atlas card audit, SVG source audit, grayscale/legibility review</w:t>
            </w:r>
          </w:p>
        </w:tc>
      </w:tr>
    </w:tbl>
    <w:p>
      <w:pPr>
        <w:pStyle w:val="Normal"/>
        <w:keepNext/>
        <w:keepLines/>
        <w:rPr/>
      </w:pPr>
      <w:r>
        <w:rPr/>
        <w:t>The O52–O60 predecessor crosswalks remain controlled by PAL v2.3-L. The late author-directed delta binds O61 → O01, O03–O04, O25, O29 and O62 → O05, O22, O37–O39, O43, O46, O48, O50. This trace states test evidence only and changes no obligation disposition or predecessor record.</w:t>
      </w:r>
    </w:p>
    <w:p>
      <w:pPr>
        <w:pStyle w:val="Heading1"/>
        <w:keepNext/>
        <w:keepLines/>
        <w:rPr/>
      </w:pPr>
      <w:bookmarkStart w:id="99" w:name="receipt-issuance-and-retention"/>
      <w:r>
        <w:rPr/>
        <w:t>10. Receipt issuance and retention</w:t>
      </w:r>
      <w:bookmarkEnd w:id="99"/>
    </w:p>
    <w:p>
      <w:pPr>
        <w:pStyle w:val="Heading2"/>
        <w:keepNext/>
        <w:keepLines/>
        <w:rPr/>
      </w:pPr>
      <w:bookmarkStart w:id="100" w:name="complete-v2.3-testreceipt"/>
      <w:r>
        <w:rPr/>
        <w:t>10.1 Complete v2.3 TestReceipt</w:t>
      </w:r>
      <w:bookmarkEnd w:id="100"/>
    </w:p>
    <w:p>
      <w:pPr>
        <w:pStyle w:val="Normal"/>
        <w:keepNext/>
        <w:keepLines/>
        <w:rPr/>
      </w:pPr>
      <w:r>
        <w:rPr/>
        <w:t>Every current execution issues an immutable native TestReceipt under the existing SC-20/D25–D26 header and payload separation. There are no blank or inferred fields in an issued receipt.</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Receipt part</w:t>
            </w:r>
          </w:p>
        </w:tc>
        <w:tc>
          <w:tcPr>
            <w:tcW w:w="4680" w:type="dxa"/>
            <w:tcBorders/>
            <w:vAlign w:val="top"/>
            <w:shd w:fill="DCE6F1"/>
          </w:tcPr>
          <w:p>
            <w:pPr>
              <w:pStyle w:val="Normal"/>
              <w:spacing w:before="0" w:after="40" w:line="240" w:lineRule="auto"/>
              <w:rPr>
                <w:b/>
                <w:bCs/>
              </w:rPr>
            </w:pPr>
            <w:r>
              <w:rPr>
                <w:b/>
                <w:bCs/>
                <w:color w:val="1F4D78"/>
                <w:sz w:val="19"/>
              </w:rPr>
              <w:t>Required v2.3 content</w:t>
            </w:r>
          </w:p>
        </w:tc>
      </w:tr>
      <w:tr>
        <w:trPr/>
        <w:tc>
          <w:tcPr>
            <w:tcW w:w="4680" w:type="dxa"/>
            <w:tcBorders/>
            <w:vAlign w:val="top"/>
          </w:tcPr>
          <w:p>
            <w:pPr>
              <w:pStyle w:val="Normal"/>
              <w:widowControl/>
              <w:bidi w:val="0"/>
              <w:spacing w:lineRule="auto" w:line="240" w:before="0" w:after="40"/>
              <w:jc w:val="start"/>
              <w:rPr/>
            </w:pPr>
            <w:r>
              <w:rPr>
                <w:sz w:val="19"/>
              </w:rPr>
              <w:t>Header</w:t>
            </w:r>
          </w:p>
        </w:tc>
        <w:tc>
          <w:tcPr>
            <w:tcW w:w="4680" w:type="dxa"/>
            <w:tcBorders/>
            <w:vAlign w:val="top"/>
          </w:tcPr>
          <w:p>
            <w:pPr>
              <w:pStyle w:val="Normal"/>
              <w:widowControl/>
              <w:bidi w:val="0"/>
              <w:spacing w:lineRule="auto" w:line="240" w:before="0" w:after="40"/>
              <w:jc w:val="start"/>
              <w:rPr/>
            </w:pPr>
            <w:r>
              <w:rPr>
                <w:sz w:val="19"/>
              </w:rPr>
              <w:t>Unique immutable receipt ID; exact TestReceipt schema identity/version; package or exact account/version scope; typed predecessor, evidence, and supersession links; integrity profile. Corrections append a new receipt.</w:t>
            </w:r>
          </w:p>
        </w:tc>
      </w:tr>
      <w:tr>
        <w:trPr/>
        <w:tc>
          <w:tcPr>
            <w:tcW w:w="4680" w:type="dxa"/>
            <w:tcBorders/>
            <w:vAlign w:val="top"/>
            <w:shd w:fill="F7F9FB"/>
          </w:tcPr>
          <w:p>
            <w:pPr>
              <w:pStyle w:val="Normal"/>
              <w:widowControl/>
              <w:bidi w:val="0"/>
              <w:spacing w:lineRule="auto" w:line="240" w:before="0" w:after="40"/>
              <w:jc w:val="start"/>
              <w:rPr/>
            </w:pPr>
            <w:r>
              <w:rPr>
                <w:sz w:val="19"/>
              </w:rPr>
              <w:t>Test address and target</w:t>
            </w:r>
          </w:p>
        </w:tc>
        <w:tc>
          <w:tcPr>
            <w:tcW w:w="4680" w:type="dxa"/>
            <w:tcBorders/>
            <w:vAlign w:val="top"/>
            <w:shd w:fill="F7F9FB"/>
          </w:tcPr>
          <w:p>
            <w:pPr>
              <w:pStyle w:val="Normal"/>
              <w:widowControl/>
              <w:bidi w:val="0"/>
              <w:spacing w:lineRule="auto" w:line="240" w:before="0" w:after="40"/>
              <w:jc w:val="start"/>
              <w:rPr/>
            </w:pPr>
            <w:r>
              <w:rPr>
                <w:sz w:val="19"/>
              </w:rPr>
              <w:t>Fully versioned Txx@2.3; exact component/artifact, decision, obligation, invariant, layer, card, fixture, or package object; canonical semantic key rather than ID-only identity.</w:t>
            </w:r>
          </w:p>
        </w:tc>
      </w:tr>
      <w:tr>
        <w:trPr/>
        <w:tc>
          <w:tcPr>
            <w:tcW w:w="4680" w:type="dxa"/>
            <w:tcBorders/>
            <w:vAlign w:val="top"/>
          </w:tcPr>
          <w:p>
            <w:pPr>
              <w:pStyle w:val="Normal"/>
              <w:widowControl/>
              <w:bidi w:val="0"/>
              <w:spacing w:lineRule="auto" w:line="240" w:before="0" w:after="40"/>
              <w:jc w:val="start"/>
              <w:rPr/>
            </w:pPr>
            <w:r>
              <w:rPr>
                <w:sz w:val="19"/>
              </w:rPr>
              <w:t>Frozen inputs</w:t>
            </w:r>
          </w:p>
        </w:tc>
        <w:tc>
          <w:tcPr>
            <w:tcW w:w="4680" w:type="dxa"/>
            <w:tcBorders/>
            <w:vAlign w:val="top"/>
          </w:tcPr>
          <w:p>
            <w:pPr>
              <w:pStyle w:val="Normal"/>
              <w:widowControl/>
              <w:bidi w:val="0"/>
              <w:spacing w:lineRule="auto" w:line="240" w:before="0" w:after="40"/>
              <w:jc w:val="start"/>
              <w:rPr/>
            </w:pPr>
            <w:r>
              <w:rPr>
                <w:sz w:val="19"/>
              </w:rPr>
              <w:t>SHA-256 of every tested source, rendered view, manifest, fixture, script, configuration, and relevant dependency; exact release/version locator for cited inputs.</w:t>
            </w:r>
          </w:p>
        </w:tc>
      </w:tr>
      <w:tr>
        <w:trPr/>
        <w:tc>
          <w:tcPr>
            <w:tcW w:w="4680" w:type="dxa"/>
            <w:tcBorders/>
            <w:vAlign w:val="top"/>
            <w:shd w:fill="F7F9FB"/>
          </w:tcPr>
          <w:p>
            <w:pPr>
              <w:pStyle w:val="Normal"/>
              <w:widowControl/>
              <w:bidi w:val="0"/>
              <w:spacing w:lineRule="auto" w:line="240" w:before="0" w:after="40"/>
              <w:jc w:val="start"/>
              <w:rPr/>
            </w:pPr>
            <w:r>
              <w:rPr>
                <w:sz w:val="19"/>
              </w:rPr>
              <w:t>Scope and assumptions</w:t>
            </w:r>
          </w:p>
        </w:tc>
        <w:tc>
          <w:tcPr>
            <w:tcW w:w="4680" w:type="dxa"/>
            <w:tcBorders/>
            <w:vAlign w:val="top"/>
            <w:shd w:fill="F7F9FB"/>
          </w:tcPr>
          <w:p>
            <w:pPr>
              <w:pStyle w:val="Normal"/>
              <w:widowControl/>
              <w:bidi w:val="0"/>
              <w:spacing w:lineRule="auto" w:line="240" w:before="0" w:after="40"/>
              <w:jc w:val="start"/>
              <w:rPr/>
            </w:pPr>
            <w:r>
              <w:rPr>
                <w:sz w:val="19"/>
              </w:rPr>
              <w:t>Carrier/universe, quantifier domain, model/account, projection, boundary role, units/order/resolution/tolerance, finite/local/global extent, and every precondition used by the expected result.</w:t>
            </w:r>
          </w:p>
        </w:tc>
      </w:tr>
      <w:tr>
        <w:trPr/>
        <w:tc>
          <w:tcPr>
            <w:tcW w:w="4680" w:type="dxa"/>
            <w:tcBorders/>
            <w:vAlign w:val="top"/>
          </w:tcPr>
          <w:p>
            <w:pPr>
              <w:pStyle w:val="Normal"/>
              <w:widowControl/>
              <w:bidi w:val="0"/>
              <w:spacing w:lineRule="auto" w:line="240" w:before="0" w:after="40"/>
              <w:jc w:val="start"/>
              <w:rPr/>
            </w:pPr>
            <w:r>
              <w:rPr>
                <w:sz w:val="19"/>
              </w:rPr>
              <w:t>Procedure</w:t>
            </w:r>
          </w:p>
        </w:tc>
        <w:tc>
          <w:tcPr>
            <w:tcW w:w="4680" w:type="dxa"/>
            <w:tcBorders/>
            <w:vAlign w:val="top"/>
          </w:tcPr>
          <w:p>
            <w:pPr>
              <w:pStyle w:val="Normal"/>
              <w:widowControl/>
              <w:bidi w:val="0"/>
              <w:spacing w:lineRule="auto" w:line="240" w:before="0" w:after="40"/>
              <w:jc w:val="start"/>
              <w:rPr/>
            </w:pPr>
            <w:r>
              <w:rPr>
                <w:sz w:val="19"/>
              </w:rPr>
              <w:t>Ordered deterministic operations or frozen human-review protocol; fixture polarity; checker/tool/version or named reviewer; start/end time; resource profile; environment identity.</w:t>
            </w:r>
          </w:p>
        </w:tc>
      </w:tr>
      <w:tr>
        <w:trPr/>
        <w:tc>
          <w:tcPr>
            <w:tcW w:w="4680" w:type="dxa"/>
            <w:tcBorders/>
            <w:vAlign w:val="top"/>
            <w:shd w:fill="F7F9FB"/>
          </w:tcPr>
          <w:p>
            <w:pPr>
              <w:pStyle w:val="Normal"/>
              <w:widowControl/>
              <w:bidi w:val="0"/>
              <w:spacing w:lineRule="auto" w:line="240" w:before="0" w:after="40"/>
              <w:jc w:val="start"/>
              <w:rPr/>
            </w:pPr>
            <w:r>
              <w:rPr>
                <w:sz w:val="19"/>
              </w:rPr>
              <w:t>Positive observation</w:t>
            </w:r>
          </w:p>
        </w:tc>
        <w:tc>
          <w:tcPr>
            <w:tcW w:w="4680" w:type="dxa"/>
            <w:tcBorders/>
            <w:vAlign w:val="top"/>
            <w:shd w:fill="F7F9FB"/>
          </w:tcPr>
          <w:p>
            <w:pPr>
              <w:pStyle w:val="Normal"/>
              <w:widowControl/>
              <w:bidi w:val="0"/>
              <w:spacing w:lineRule="auto" w:line="240" w:before="0" w:after="40"/>
              <w:jc w:val="start"/>
              <w:rPr/>
            </w:pPr>
            <w:r>
              <w:rPr>
                <w:sz w:val="19"/>
              </w:rPr>
              <w:t>Exact observed data showing that the admitted construction or compliant artifact is recognized. It is not merely the expected sentence.</w:t>
            </w:r>
          </w:p>
        </w:tc>
      </w:tr>
      <w:tr>
        <w:trPr/>
        <w:tc>
          <w:tcPr>
            <w:tcW w:w="4680" w:type="dxa"/>
            <w:tcBorders/>
            <w:vAlign w:val="top"/>
          </w:tcPr>
          <w:p>
            <w:pPr>
              <w:pStyle w:val="Normal"/>
              <w:widowControl/>
              <w:bidi w:val="0"/>
              <w:spacing w:lineRule="auto" w:line="240" w:before="0" w:after="40"/>
              <w:jc w:val="start"/>
              <w:rPr/>
            </w:pPr>
            <w:r>
              <w:rPr>
                <w:sz w:val="19"/>
              </w:rPr>
              <w:t>Negative observation</w:t>
            </w:r>
          </w:p>
        </w:tc>
        <w:tc>
          <w:tcPr>
            <w:tcW w:w="4680" w:type="dxa"/>
            <w:tcBorders/>
            <w:vAlign w:val="top"/>
          </w:tcPr>
          <w:p>
            <w:pPr>
              <w:pStyle w:val="Normal"/>
              <w:widowControl/>
              <w:bidi w:val="0"/>
              <w:spacing w:lineRule="auto" w:line="240" w:before="0" w:after="40"/>
              <w:jc w:val="start"/>
              <w:rPr/>
            </w:pPr>
            <w:r>
              <w:rPr>
                <w:sz w:val="19"/>
              </w:rPr>
              <w:t>Exact observed rejection or routing of every mandatory negative fixture or mutation. A negative fixture is successful only when its prohibited construction is rejected.</w:t>
            </w:r>
          </w:p>
        </w:tc>
      </w:tr>
      <w:tr>
        <w:trPr/>
        <w:tc>
          <w:tcPr>
            <w:tcW w:w="4680" w:type="dxa"/>
            <w:tcBorders/>
            <w:vAlign w:val="top"/>
            <w:shd w:fill="F7F9FB"/>
          </w:tcPr>
          <w:p>
            <w:pPr>
              <w:pStyle w:val="Normal"/>
              <w:widowControl/>
              <w:bidi w:val="0"/>
              <w:spacing w:lineRule="auto" w:line="240" w:before="0" w:after="40"/>
              <w:jc w:val="start"/>
              <w:rPr/>
            </w:pPr>
            <w:r>
              <w:rPr>
                <w:sz w:val="19"/>
              </w:rPr>
              <w:t>Verdict</w:t>
            </w:r>
          </w:p>
        </w:tc>
        <w:tc>
          <w:tcPr>
            <w:tcW w:w="4680" w:type="dxa"/>
            <w:tcBorders/>
            <w:vAlign w:val="top"/>
            <w:shd w:fill="F7F9FB"/>
          </w:tcPr>
          <w:p>
            <w:pPr>
              <w:pStyle w:val="Normal"/>
              <w:widowControl/>
              <w:bidi w:val="0"/>
              <w:spacing w:lineRule="auto" w:line="240" w:before="0" w:after="40"/>
              <w:jc w:val="start"/>
              <w:rPr/>
            </w:pPr>
            <w:r>
              <w:rPr>
                <w:sz w:val="19"/>
              </w:rPr>
              <w:t>CONFORMANT only when the positive fixture is recognized, every required negative fixture is rejected, every applicable machine/render/semantic channel passes, and evidence is complete; otherwise NONCONFORMANT. No A15 status is stored here.</w:t>
            </w:r>
          </w:p>
        </w:tc>
      </w:tr>
      <w:tr>
        <w:trPr/>
        <w:tc>
          <w:tcPr>
            <w:tcW w:w="4680" w:type="dxa"/>
            <w:tcBorders/>
            <w:vAlign w:val="top"/>
          </w:tcPr>
          <w:p>
            <w:pPr>
              <w:pStyle w:val="Normal"/>
              <w:widowControl/>
              <w:bidi w:val="0"/>
              <w:spacing w:lineRule="auto" w:line="240" w:before="0" w:after="40"/>
              <w:jc w:val="start"/>
              <w:rPr/>
            </w:pPr>
            <w:r>
              <w:rPr>
                <w:sz w:val="19"/>
              </w:rPr>
              <w:t>Evidence</w:t>
            </w:r>
          </w:p>
        </w:tc>
        <w:tc>
          <w:tcPr>
            <w:tcW w:w="4680" w:type="dxa"/>
            <w:tcBorders/>
            <w:vAlign w:val="top"/>
          </w:tcPr>
          <w:p>
            <w:pPr>
              <w:pStyle w:val="Normal"/>
              <w:widowControl/>
              <w:bidi w:val="0"/>
              <w:spacing w:lineRule="auto" w:line="240" w:before="0" w:after="40"/>
              <w:jc w:val="start"/>
              <w:rPr/>
            </w:pPr>
            <w:r>
              <w:rPr>
                <w:sz w:val="19"/>
              </w:rPr>
              <w:t>Content-addressed logs, exact-arithmetic tables, diffs, proofs/source locators, screenshots or render pages, accessibility reports, excerpts, and linked semantic-review receipts sufficient to reproduce or review the verdict.</w:t>
            </w:r>
          </w:p>
        </w:tc>
      </w:tr>
      <w:tr>
        <w:trPr/>
        <w:tc>
          <w:tcPr>
            <w:tcW w:w="4680" w:type="dxa"/>
            <w:tcBorders/>
            <w:vAlign w:val="top"/>
            <w:shd w:fill="F7F9FB"/>
          </w:tcPr>
          <w:p>
            <w:pPr>
              <w:pStyle w:val="Normal"/>
              <w:widowControl/>
              <w:bidi w:val="0"/>
              <w:spacing w:lineRule="auto" w:line="240" w:before="0" w:after="40"/>
              <w:jc w:val="start"/>
              <w:rPr/>
            </w:pPr>
            <w:r>
              <w:rPr>
                <w:sz w:val="19"/>
              </w:rPr>
              <w:t>Contrary evidence and limits</w:t>
            </w:r>
          </w:p>
        </w:tc>
        <w:tc>
          <w:tcPr>
            <w:tcW w:w="4680" w:type="dxa"/>
            <w:tcBorders/>
            <w:vAlign w:val="top"/>
            <w:shd w:fill="F7F9FB"/>
          </w:tcPr>
          <w:p>
            <w:pPr>
              <w:pStyle w:val="Normal"/>
              <w:widowControl/>
              <w:bidi w:val="0"/>
              <w:spacing w:lineRule="auto" w:line="240" w:before="0" w:after="40"/>
              <w:jc w:val="start"/>
              <w:rPr/>
            </w:pPr>
            <w:r>
              <w:rPr>
                <w:sz w:val="19"/>
              </w:rPr>
              <w:t>Failed cases, unresolved cases, alternate models, finite cutoffs, untested classes, reviewer/checker limits, and any result that narrows the claim. Silence is not evidence of absence.</w:t>
            </w:r>
          </w:p>
        </w:tc>
      </w:tr>
      <w:tr>
        <w:trPr/>
        <w:tc>
          <w:tcPr>
            <w:tcW w:w="4680" w:type="dxa"/>
            <w:tcBorders/>
            <w:vAlign w:val="top"/>
          </w:tcPr>
          <w:p>
            <w:pPr>
              <w:pStyle w:val="Normal"/>
              <w:widowControl/>
              <w:bidi w:val="0"/>
              <w:spacing w:lineRule="auto" w:line="240" w:before="0" w:after="40"/>
              <w:jc w:val="start"/>
              <w:rPr/>
            </w:pPr>
            <w:r>
              <w:rPr>
                <w:sz w:val="19"/>
              </w:rPr>
              <w:t>Authority ceiling and residual</w:t>
            </w:r>
          </w:p>
        </w:tc>
        <w:tc>
          <w:tcPr>
            <w:tcW w:w="4680" w:type="dxa"/>
            <w:tcBorders/>
            <w:vAlign w:val="top"/>
          </w:tcPr>
          <w:p>
            <w:pPr>
              <w:pStyle w:val="Normal"/>
              <w:widowControl/>
              <w:bidi w:val="0"/>
              <w:spacing w:lineRule="auto" w:line="240" w:before="0" w:after="40"/>
              <w:jc w:val="start"/>
              <w:rPr/>
            </w:pPr>
            <w:r>
              <w:rPr>
                <w:sz w:val="19"/>
              </w:rPr>
              <w:t>The strongest forbidden inference and every material remainder, including the internal-evidence and non-independent-validation ceiling.</w:t>
            </w:r>
          </w:p>
        </w:tc>
      </w:tr>
      <w:tr>
        <w:trPr/>
        <w:tc>
          <w:tcPr>
            <w:tcW w:w="4680" w:type="dxa"/>
            <w:tcBorders/>
            <w:vAlign w:val="top"/>
            <w:shd w:fill="F7F9FB"/>
          </w:tcPr>
          <w:p>
            <w:pPr>
              <w:pStyle w:val="Normal"/>
              <w:widowControl/>
              <w:bidi w:val="0"/>
              <w:spacing w:lineRule="auto" w:line="240" w:before="0" w:after="40"/>
              <w:jc w:val="start"/>
              <w:rPr/>
            </w:pPr>
            <w:r>
              <w:rPr>
                <w:sz w:val="19"/>
              </w:rPr>
              <w:t>Material reopening</w:t>
            </w:r>
          </w:p>
        </w:tc>
        <w:tc>
          <w:tcPr>
            <w:tcW w:w="4680" w:type="dxa"/>
            <w:tcBorders/>
            <w:vAlign w:val="top"/>
            <w:shd w:fill="F7F9FB"/>
          </w:tcPr>
          <w:p>
            <w:pPr>
              <w:pStyle w:val="Normal"/>
              <w:widowControl/>
              <w:bidi w:val="0"/>
              <w:spacing w:lineRule="auto" w:line="240" w:before="0" w:after="40"/>
              <w:jc w:val="start"/>
              <w:rPr/>
            </w:pPr>
            <w:r>
              <w:rPr>
                <w:sz w:val="19"/>
              </w:rPr>
              <w:t>Concrete invalidation predicate plus earliest D/O/card/package route. A bare address is insufficient.</w:t>
            </w:r>
          </w:p>
        </w:tc>
      </w:tr>
      <w:tr>
        <w:trPr/>
        <w:tc>
          <w:tcPr>
            <w:tcW w:w="4680" w:type="dxa"/>
            <w:tcBorders/>
            <w:vAlign w:val="top"/>
          </w:tcPr>
          <w:p>
            <w:pPr>
              <w:pStyle w:val="Normal"/>
              <w:widowControl/>
              <w:bidi w:val="0"/>
              <w:spacing w:lineRule="auto" w:line="240" w:before="0" w:after="40"/>
              <w:jc w:val="start"/>
              <w:rPr/>
            </w:pPr>
            <w:r>
              <w:rPr>
                <w:sz w:val="19"/>
              </w:rPr>
              <w:t>History</w:t>
            </w:r>
          </w:p>
        </w:tc>
        <w:tc>
          <w:tcPr>
            <w:tcW w:w="4680" w:type="dxa"/>
            <w:tcBorders/>
            <w:vAlign w:val="top"/>
          </w:tcPr>
          <w:p>
            <w:pPr>
              <w:pStyle w:val="Normal"/>
              <w:widowControl/>
              <w:bidi w:val="0"/>
              <w:spacing w:lineRule="auto" w:line="240" w:before="0" w:after="40"/>
              <w:jc w:val="start"/>
              <w:rPr/>
            </w:pPr>
            <w:r>
              <w:rPr>
                <w:sz w:val="19"/>
              </w:rPr>
              <w:t>Prior receipt link on rerun; all failed, superseded, and negative-fixture evidence retained. A successful rerun never deletes or edits an earlier NONCONFORMANT receipt.</w:t>
            </w:r>
          </w:p>
        </w:tc>
      </w:tr>
    </w:tbl>
    <w:p>
      <w:pPr>
        <w:pStyle w:val="Normal"/>
        <w:rPr/>
      </w:pPr>
      <w:r>
        <w:rPr/>
        <w:t>tolerance and resource_profile may use typed NOT_APPLICABLE only with a reason. A legacy record may retain historical omissions through LegacyReceiptRef; a native v2.3 record may not copy that omission.</w:t>
      </w:r>
    </w:p>
    <w:p>
      <w:pPr>
        <w:pStyle w:val="Heading2"/>
        <w:keepNext/>
        <w:keepLines/>
        <w:rPr/>
      </w:pPr>
      <w:bookmarkStart w:id="101" w:name="evidence-channel-receipts"/>
      <w:r>
        <w:rPr/>
        <w:t>10.2 Evidence-channel receipts</w:t>
      </w:r>
      <w:bookmarkEnd w:id="10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Channel</w:t>
            </w:r>
          </w:p>
        </w:tc>
        <w:tc>
          <w:tcPr>
            <w:tcW w:w="3120" w:type="dxa"/>
            <w:tcBorders/>
            <w:vAlign w:val="top"/>
            <w:shd w:fill="DCE6F1"/>
          </w:tcPr>
          <w:p>
            <w:pPr>
              <w:pStyle w:val="Normal"/>
              <w:spacing w:before="0" w:after="40" w:line="240" w:lineRule="auto"/>
              <w:rPr>
                <w:b/>
                <w:bCs/>
              </w:rPr>
            </w:pPr>
            <w:r>
              <w:rPr>
                <w:b/>
                <w:bCs/>
                <w:color w:val="1F4D78"/>
                <w:sz w:val="18"/>
              </w:rPr>
              <w:t>External package location</w:t>
            </w:r>
          </w:p>
        </w:tc>
        <w:tc>
          <w:tcPr>
            <w:tcW w:w="3120" w:type="dxa"/>
            <w:tcBorders/>
            <w:vAlign w:val="top"/>
            <w:shd w:fill="DCE6F1"/>
          </w:tcPr>
          <w:p>
            <w:pPr>
              <w:pStyle w:val="Normal"/>
              <w:spacing w:before="0" w:after="40" w:line="240" w:lineRule="auto"/>
              <w:rPr>
                <w:b/>
                <w:bCs/>
              </w:rPr>
            </w:pPr>
            <w:r>
              <w:rPr>
                <w:b/>
                <w:bCs/>
                <w:color w:val="1F4D78"/>
                <w:sz w:val="18"/>
              </w:rPr>
              <w:t>Binding rule</w:t>
            </w:r>
          </w:p>
        </w:tc>
      </w:tr>
      <w:tr>
        <w:trPr/>
        <w:tc>
          <w:tcPr>
            <w:tcW w:w="3120" w:type="dxa"/>
            <w:tcBorders/>
            <w:vAlign w:val="top"/>
          </w:tcPr>
          <w:p>
            <w:pPr>
              <w:pStyle w:val="Normal"/>
              <w:widowControl/>
              <w:bidi w:val="0"/>
              <w:spacing w:lineRule="auto" w:line="240" w:before="0" w:after="40"/>
              <w:jc w:val="start"/>
              <w:rPr/>
            </w:pPr>
            <w:r>
              <w:rPr>
                <w:sz w:val="18"/>
              </w:rPr>
              <w:t>Deterministic execution</w:t>
            </w:r>
          </w:p>
        </w:tc>
        <w:tc>
          <w:tcPr>
            <w:tcW w:w="3120" w:type="dxa"/>
            <w:tcBorders/>
            <w:vAlign w:val="top"/>
          </w:tcPr>
          <w:p>
            <w:pPr>
              <w:pStyle w:val="Normal"/>
              <w:widowControl/>
              <w:bidi w:val="0"/>
              <w:spacing w:lineRule="auto" w:line="240" w:before="0" w:after="40"/>
              <w:jc w:val="start"/>
              <w:rPr/>
            </w:pPr>
            <w:r>
              <w:rPr>
                <w:sz w:val="18"/>
              </w:rPr>
              <w:t>verification/execution_receipts/</w:t>
            </w:r>
          </w:p>
        </w:tc>
        <w:tc>
          <w:tcPr>
            <w:tcW w:w="3120" w:type="dxa"/>
            <w:tcBorders/>
            <w:vAlign w:val="top"/>
          </w:tcPr>
          <w:p>
            <w:pPr>
              <w:pStyle w:val="Normal"/>
              <w:widowControl/>
              <w:bidi w:val="0"/>
              <w:spacing w:lineRule="auto" w:line="240" w:before="0" w:after="40"/>
              <w:jc w:val="start"/>
              <w:rPr/>
            </w:pPr>
            <w:r>
              <w:rPr>
                <w:sz w:val="18"/>
              </w:rPr>
              <w:t>Records code/script digest, interpreter/runtime and dependency versions, environment, exact fixture hashes, command or callable entry point, observations, limits, and exit/result state.</w:t>
            </w:r>
          </w:p>
        </w:tc>
      </w:tr>
      <w:tr>
        <w:trPr/>
        <w:tc>
          <w:tcPr>
            <w:tcW w:w="3120" w:type="dxa"/>
            <w:tcBorders/>
            <w:vAlign w:val="top"/>
            <w:shd w:fill="F7F9FB"/>
          </w:tcPr>
          <w:p>
            <w:pPr>
              <w:pStyle w:val="Normal"/>
              <w:widowControl/>
              <w:bidi w:val="0"/>
              <w:spacing w:lineRule="auto" w:line="240" w:before="0" w:after="40"/>
              <w:jc w:val="start"/>
              <w:rPr/>
            </w:pPr>
            <w:r>
              <w:rPr>
                <w:sz w:val="18"/>
              </w:rPr>
              <w:t>Semantic review</w:t>
            </w:r>
          </w:p>
        </w:tc>
        <w:tc>
          <w:tcPr>
            <w:tcW w:w="3120" w:type="dxa"/>
            <w:tcBorders/>
            <w:vAlign w:val="top"/>
            <w:shd w:fill="F7F9FB"/>
          </w:tcPr>
          <w:p>
            <w:pPr>
              <w:pStyle w:val="Normal"/>
              <w:widowControl/>
              <w:bidi w:val="0"/>
              <w:spacing w:lineRule="auto" w:line="240" w:before="0" w:after="40"/>
              <w:jc w:val="start"/>
              <w:rPr/>
            </w:pPr>
            <w:r>
              <w:rPr>
                <w:sz w:val="18"/>
              </w:rPr>
              <w:t>verification/semantic_review_receipts/</w:t>
            </w:r>
          </w:p>
        </w:tc>
        <w:tc>
          <w:tcPr>
            <w:tcW w:w="3120" w:type="dxa"/>
            <w:tcBorders/>
            <w:vAlign w:val="top"/>
            <w:shd w:fill="F7F9FB"/>
          </w:tcPr>
          <w:p>
            <w:pPr>
              <w:pStyle w:val="Normal"/>
              <w:widowControl/>
              <w:bidi w:val="0"/>
              <w:spacing w:lineRule="auto" w:line="240" w:before="0" w:after="40"/>
              <w:jc w:val="start"/>
              <w:rPr/>
            </w:pPr>
            <w:r>
              <w:rPr>
                <w:sz w:val="18"/>
              </w:rPr>
              <w:t>Records named reviewer, frozen source hashes, canonical semantic key, review protocol, excerpts/locations, decision for every required implication and ceiling, contrary evidence, and material reopening predicate.</w:t>
            </w:r>
          </w:p>
        </w:tc>
      </w:tr>
      <w:tr>
        <w:trPr/>
        <w:tc>
          <w:tcPr>
            <w:tcW w:w="3120" w:type="dxa"/>
            <w:tcBorders/>
            <w:vAlign w:val="top"/>
          </w:tcPr>
          <w:p>
            <w:pPr>
              <w:pStyle w:val="Normal"/>
              <w:widowControl/>
              <w:bidi w:val="0"/>
              <w:spacing w:lineRule="auto" w:line="240" w:before="0" w:after="40"/>
              <w:jc w:val="start"/>
              <w:rPr/>
            </w:pPr>
            <w:r>
              <w:rPr>
                <w:sz w:val="18"/>
              </w:rPr>
              <w:t>Render/accessibility</w:t>
            </w:r>
          </w:p>
        </w:tc>
        <w:tc>
          <w:tcPr>
            <w:tcW w:w="3120" w:type="dxa"/>
            <w:tcBorders/>
            <w:vAlign w:val="top"/>
          </w:tcPr>
          <w:p>
            <w:pPr>
              <w:pStyle w:val="Normal"/>
              <w:widowControl/>
              <w:bidi w:val="0"/>
              <w:spacing w:lineRule="auto" w:line="240" w:before="0" w:after="40"/>
              <w:jc w:val="start"/>
              <w:rPr/>
            </w:pPr>
            <w:r>
              <w:rPr>
                <w:sz w:val="18"/>
              </w:rPr>
              <w:t>verification/render_reports/ and verification/accessibility_reports/</w:t>
            </w:r>
          </w:p>
        </w:tc>
        <w:tc>
          <w:tcPr>
            <w:tcW w:w="3120" w:type="dxa"/>
            <w:tcBorders/>
            <w:vAlign w:val="top"/>
          </w:tcPr>
          <w:p>
            <w:pPr>
              <w:pStyle w:val="Normal"/>
              <w:widowControl/>
              <w:bidi w:val="0"/>
              <w:spacing w:lineRule="auto" w:line="240" w:before="0" w:after="40"/>
              <w:jc w:val="start"/>
              <w:rPr/>
            </w:pPr>
            <w:r>
              <w:rPr>
                <w:sz w:val="18"/>
              </w:rPr>
              <w:t>Records renderer/version, page/image identities, visual inspection coverage, font/text/bookmark/table/figure checks, grayscale review where applicable, and defects or clean result.</w:t>
            </w:r>
          </w:p>
        </w:tc>
      </w:tr>
      <w:tr>
        <w:trPr/>
        <w:tc>
          <w:tcPr>
            <w:tcW w:w="3120" w:type="dxa"/>
            <w:tcBorders/>
            <w:vAlign w:val="top"/>
            <w:shd w:fill="F7F9FB"/>
          </w:tcPr>
          <w:p>
            <w:pPr>
              <w:pStyle w:val="Normal"/>
              <w:widowControl/>
              <w:bidi w:val="0"/>
              <w:spacing w:lineRule="auto" w:line="240" w:before="0" w:after="40"/>
              <w:jc w:val="start"/>
              <w:rPr/>
            </w:pPr>
            <w:r>
              <w:rPr>
                <w:sz w:val="18"/>
              </w:rPr>
              <w:t>Link/metadata/package</w:t>
            </w:r>
          </w:p>
        </w:tc>
        <w:tc>
          <w:tcPr>
            <w:tcW w:w="3120" w:type="dxa"/>
            <w:tcBorders/>
            <w:vAlign w:val="top"/>
            <w:shd w:fill="F7F9FB"/>
          </w:tcPr>
          <w:p>
            <w:pPr>
              <w:pStyle w:val="Normal"/>
              <w:widowControl/>
              <w:bidi w:val="0"/>
              <w:spacing w:lineRule="auto" w:line="240" w:before="0" w:after="40"/>
              <w:jc w:val="start"/>
              <w:rPr/>
            </w:pPr>
            <w:r>
              <w:rPr>
                <w:sz w:val="18"/>
              </w:rPr>
              <w:t>verification/link_and_metadata_reports/</w:t>
            </w:r>
          </w:p>
        </w:tc>
        <w:tc>
          <w:tcPr>
            <w:tcW w:w="3120" w:type="dxa"/>
            <w:tcBorders/>
            <w:vAlign w:val="top"/>
            <w:shd w:fill="F7F9FB"/>
          </w:tcPr>
          <w:p>
            <w:pPr>
              <w:pStyle w:val="Normal"/>
              <w:widowControl/>
              <w:bidi w:val="0"/>
              <w:spacing w:lineRule="auto" w:line="240" w:before="0" w:after="40"/>
              <w:jc w:val="start"/>
              <w:rPr/>
            </w:pPr>
            <w:r>
              <w:rPr>
                <w:sz w:val="18"/>
              </w:rPr>
              <w:t>Records title, DOI, author, version, date, status, license, link, archive, manifest, path, media type, size, hash, and derived-versus-authority checks.</w:t>
            </w:r>
          </w:p>
        </w:tc>
      </w:tr>
    </w:tbl>
    <w:p>
      <w:pPr>
        <w:pStyle w:val="Normal"/>
        <w:keepNext/>
        <w:keepLines/>
        <w:rPr/>
      </w:pPr>
      <w:r>
        <w:rPr/>
        <w:t>A TestReceipt cites all applicable channel receipts by immutable digest and path. Machine and semantic evidence must bind the same target bytes, canonical semantic key, and scope. A lexical script cannot issue a semantic-review result; a human review cannot override a deterministic mismatch without a repaired artifact and appended rerun.</w:t>
      </w:r>
    </w:p>
    <w:p>
      <w:pPr>
        <w:pStyle w:val="Heading2"/>
        <w:keepNext/>
        <w:keepLines/>
        <w:rPr/>
      </w:pPr>
      <w:bookmarkStart w:id="102" w:name="required-receipt-population"/>
      <w:r>
        <w:rPr/>
        <w:t>10.3 Required receipt population</w:t>
      </w:r>
      <w:bookmarkEnd w:id="102"/>
    </w:p>
    <w:p>
      <w:pPr>
        <w:pStyle w:val="Normal"/>
        <w:keepNext/>
        <w:keepLines/>
        <w:rPr/>
      </w:pPr>
      <w:r>
        <w:rPr/>
        <w:t>The active release index contains complete current TestReceipt coverage for every address in T01@2.3–T72@2.3, plus linked channel receipts. A test may use multiple target-specific receipts; an aggregate receipt must enumerate every covered target and preserve each fixture result. Historical T01@2.2–T48@2.2 receipts remain linked under their original release. Named bindings such as SCOPE-FIREWALL-OMEGA, RAINBOW-SHELL-MATH-SVG, and LATE-DELTA-CHECKSUM are entries within the controlling T receipt or its cited evidence; they are not independent tests and do not increase the specification population beyond 72.</w:t>
      </w:r>
    </w:p>
    <w:p>
      <w:pPr>
        <w:pStyle w:val="BodyText"/>
        <w:rPr/>
      </w:pPr>
      <w:r>
        <w:rPr/>
        <w:t>No component contains its own final digest. The external package manifest and SHA-256 checksum file bind final DOCX/PDF bytes after rendering and freeze. Hashes establish byte identity only; they create no authorship, authenticity, consent, standing, release authority, or substantive claim closure.</w:t>
      </w:r>
    </w:p>
    <w:p>
      <w:pPr>
        <w:pStyle w:val="Heading1"/>
        <w:keepNext/>
        <w:keepLines/>
        <w:rPr/>
      </w:pPr>
      <w:bookmarkStart w:id="103" w:name="minimum-release-gate"/>
      <w:r>
        <w:rPr/>
        <w:t>11. Minimum release gate</w:t>
      </w:r>
      <w:bookmarkEnd w:id="103"/>
    </w:p>
    <w:p>
      <w:pPr>
        <w:pStyle w:val="Normal"/>
        <w:keepNext/>
        <w:keepLines/>
        <w:rPr/>
      </w:pPr>
      <w:r>
        <w:rPr/>
        <w:t>PAL v2.3-T authorizes a release-conformance result only when all of the following hold:</w:t>
      </w:r>
    </w:p>
    <w:p>
      <w:pPr>
        <w:pStyle w:val="BodyText"/>
        <w:numPr>
          <w:ilvl w:val="0"/>
          <w:numId w:val="37"/>
        </w:numPr>
        <w:rPr/>
      </w:pPr>
      <w:r>
        <w:rPr/>
        <w:t>T01@2.3–T72@2.3 each has complete current TestReceipt coverage and every applicable verdict is CONFORMANT. All required targets and positive fixtures are covered, and all required negative fixtures are rejected.</w:t>
      </w:r>
    </w:p>
    <w:p>
      <w:pPr>
        <w:pStyle w:val="BodyText"/>
        <w:numPr>
          <w:ilvl w:val="0"/>
          <w:numId w:val="37"/>
        </w:numPr>
        <w:rPr/>
      </w:pPr>
      <w:r>
        <w:rPr/>
        <w:t>No NONCONFORMANT receipt is the current result for the frozen release bytes. Every earlier failure, mutation result, superseded receipt, and repair chain remains retained and linked.</w:t>
      </w:r>
    </w:p>
    <w:p>
      <w:pPr>
        <w:pStyle w:val="BodyText"/>
        <w:numPr>
          <w:ilvl w:val="0"/>
          <w:numId w:val="37"/>
        </w:numPr>
        <w:rPr/>
      </w:pPr>
      <w:r>
        <w:rPr/>
        <w:t>The five canonical faces alone carry authority. Their DOCX sources and PDF views agree on Christopher D. Pang, PAL v2.3, 2 September 2026, DOI 10.5281/zenodo.22240134, Author release; not peer reviewed, and CC BY 4.0. ZIP, manifest, description, checksum file, and one-wrapper-page omnibus remain derived.</w:t>
      </w:r>
    </w:p>
    <w:p>
      <w:pPr>
        <w:pStyle w:val="BodyText"/>
        <w:numPr>
          <w:ilvl w:val="0"/>
          <w:numId w:val="37"/>
        </w:numPr>
        <w:rPr/>
      </w:pPr>
      <w:r>
        <w:rPr/>
        <w:t>T01–T48 retain their 48 exact v2.2 historical specifications and receive only new v2.3 bindings/receipts. T49–T72 are 24 unique additive tests. The complete stable test population is 72 with no gap, duplicate, reuse, or unauthorized extension.</w:t>
      </w:r>
    </w:p>
    <w:p>
      <w:pPr>
        <w:pStyle w:val="BodyText"/>
        <w:numPr>
          <w:ilvl w:val="0"/>
          <w:numId w:val="37"/>
        </w:numPr>
        <w:rPr/>
      </w:pPr>
      <w:r>
        <w:rPr/>
        <w:t>D01–D30 and O01–O51 retain their historical substance. D31–D39 and O52–O62 are unique and additive. The ledger verifies separately the historical checksum 51 = 23 CORE CLOSED + 19 PARAMETERIZED + 7 BRANCH + 2 OPEN, fixed-specification extension 9 = 2 CORE CLOSED + 6 PARAMETERIZED + 1 BRANCH + 0 OPEN, late-author delta 2 = 1 CORE CLOSED + 0 PARAMETERIZED + 1 BRANCH + 0 OPEN, and complete population 62 = 26 CORE CLOSED + 25 PARAMETERIZED + 9 BRANCH + 2 OPEN.</w:t>
      </w:r>
    </w:p>
    <w:p>
      <w:pPr>
        <w:pStyle w:val="BodyText"/>
        <w:numPr>
          <w:ilvl w:val="0"/>
          <w:numId w:val="37"/>
        </w:numPr>
        <w:rPr/>
      </w:pPr>
      <w:r>
        <w:rPr/>
        <w:t>O04 and O25 remain two separate OPEN interfaces to one OPEN D-FIRST-OCCURRENCE debt. The scoped multi-parent-lineage boundary remains OPEN outside every obligation checksum. A conformant test does not close either boundary.</w:t>
      </w:r>
    </w:p>
    <w:p>
      <w:pPr>
        <w:pStyle w:val="BodyText"/>
        <w:numPr>
          <w:ilvl w:val="0"/>
          <w:numId w:val="37"/>
        </w:numPr>
        <w:rPr/>
      </w:pPr>
      <w:r>
        <w:rPr/>
        <w:t>The author-written seven-question scope firewall matches the exact oracle and placement in §7; “distance” remains a nonmetric supplied separation; Ω and A0 retain their ceilings; release semantic lint finds no answer or authority inflation.</w:t>
      </w:r>
    </w:p>
    <w:p>
      <w:pPr>
        <w:pStyle w:val="BodyText"/>
        <w:numPr>
          <w:ilvl w:val="0"/>
          <w:numId w:val="37"/>
        </w:numPr>
        <w:rPr/>
      </w:pPr>
      <w:r>
        <w:rPr/>
        <w:t>RAINBOW has its exact Atlas-local name and complete indexed/body figure population; arithmetic, constructed realization, optional amplitude adapter, presentation, and open analogy remain separated. Its math, card/profile, SVG-source, grayscale/legibility, render, provenance, and claim-ceiling bindings all pass. No current source or metadata retains obsolete pre-author-release or predecessor-controlling language.</w:t>
      </w:r>
    </w:p>
    <w:p>
      <w:pPr>
        <w:pStyle w:val="BodyText"/>
        <w:numPr>
          <w:ilvl w:val="0"/>
          <w:numId w:val="37"/>
        </w:numPr>
        <w:rPr/>
      </w:pPr>
      <w:r>
        <w:rPr/>
        <w:t>Every new/revised card, profile, composite, branch, and RAINBOW adapter passes T12–T14 as applicable; every new canonical card passes T34; every extremal/local/global claim passes T46; all mandatory package-wide non-equivalences pass T29 semantic review.</w:t>
      </w:r>
    </w:p>
    <w:p>
      <w:pPr>
        <w:pStyle w:val="BodyText"/>
        <w:numPr>
          <w:ilvl w:val="0"/>
          <w:numId w:val="37"/>
        </w:numPr>
        <w:rPr/>
      </w:pPr>
      <w:r>
        <w:rPr/>
        <w:t>Exact source result, cited classical result, bounded executable fixture, new PAL placement/synthesis, interpretation, presentation, and open analogy are visibly distinguished. Same-author works, AI assistance, internal testing, formal receipts, and regenerated figures are never presented as independent corroboration.</w:t>
      </w:r>
    </w:p>
    <w:p>
      <w:pPr>
        <w:pStyle w:val="BodyText"/>
        <w:numPr>
          <w:ilvl w:val="0"/>
          <w:numId w:val="37"/>
        </w:numPr>
        <w:rPr/>
      </w:pPr>
      <w:r>
        <w:rPr/>
        <w:t>Final DOCX/PDF rendering, Unicode/formula preservation, heading hierarchy, table headers, meaningful figure alt text and captions, embedded fonts, bookmarks, selectable text, accessible reading order, hyperlinks, clipping/overflow, archive, manifest, checksum, omnibus, and clean-extraction audits have conformant evidence.</w:t>
      </w:r>
    </w:p>
    <w:p>
      <w:pPr>
        <w:pStyle w:val="Normal"/>
        <w:rPr/>
      </w:pPr>
      <w:r>
        <w:rPr/>
        <w:t>The minimum gate closes only release conformance for the exact frozen package. It does not prove PAL as a whole, any cited branch or physical interpretation, or any future implementation.</w:t>
      </w:r>
    </w:p>
    <w:p>
      <w:pPr>
        <w:pStyle w:val="Heading1"/>
        <w:keepNext/>
        <w:keepLines/>
        <w:rPr/>
      </w:pPr>
      <w:bookmarkStart w:id="104" w:name="references"/>
      <w:r>
        <w:rPr/>
        <w:t>References</w:t>
      </w:r>
      <w:bookmarkEnd w:id="104"/>
    </w:p>
    <w:p>
      <w:pPr>
        <w:pStyle w:val="Normal"/>
        <w:keepNext/>
        <w:keepLines/>
        <w:rPr/>
      </w:pPr>
      <w:r>
        <w:rPr/>
        <w:t>P1–P5 identify PAL lineage and active public interfaces. S1–S47 identify classical, neighboring, or implementation sources. V1–V8 identify the same-author works integrated at bounded realization or fixture roles in v2.3; agreement among them is not independent corroboration. Exact source results, finite execution, PAL synthesis, interpretation, and presentation remain separately typed; none of these references defines the mechanical spine from below.</w:t>
      </w:r>
    </w:p>
    <w:p>
      <w:pPr>
        <w:pStyle w:val="BodyText"/>
        <w:numPr>
          <w:ilvl w:val="0"/>
          <w:numId w:val="38"/>
        </w:numPr>
        <w:rPr/>
      </w:pPr>
      <w:r>
        <w:rPr/>
        <w:t xml:space="preserve">[P1] Pang, C. D. (2026). PAL - Primitive Axiom Layers: Formal Structural Foundation v1.6. Zenodo. </w:t>
      </w:r>
      <w:hyperlink r:id="rId2">
        <w:r>
          <w:rPr>
            <w:rStyle w:val="Hyperlink"/>
          </w:rPr>
          <w:t>doi:10.5281/zenodo.21635188</w:t>
        </w:r>
      </w:hyperlink>
    </w:p>
    <w:p>
      <w:pPr>
        <w:pStyle w:val="BodyText"/>
        <w:numPr>
          <w:ilvl w:val="0"/>
          <w:numId w:val="38"/>
        </w:numPr>
        <w:rPr/>
      </w:pPr>
      <w:r>
        <w:rPr/>
        <w:t xml:space="preserve">[P2] Pang, C. D. (2026). PEA Core v1.1.3: Public Ethical Review Specification. Reserved release record. </w:t>
      </w:r>
      <w:hyperlink r:id="rId3">
        <w:r>
          <w:rPr>
            <w:rStyle w:val="Hyperlink"/>
          </w:rPr>
          <w:t>doi:10.5281/zenodo.21911684</w:t>
        </w:r>
      </w:hyperlink>
    </w:p>
    <w:p>
      <w:pPr>
        <w:pStyle w:val="BodyText"/>
        <w:numPr>
          <w:ilvl w:val="0"/>
          <w:numId w:val="38"/>
        </w:numPr>
        <w:rPr/>
      </w:pPr>
      <w:r>
        <w:rPr/>
        <w:t xml:space="preserve">[P3] Pang, C. D. (2026). PECAN v1.0.4: Public Protocol Specification. Zenodo. </w:t>
      </w:r>
      <w:hyperlink r:id="rId4">
        <w:r>
          <w:rPr>
            <w:rStyle w:val="Hyperlink"/>
          </w:rPr>
          <w:t>doi:10.5281/zenodo.21760884</w:t>
        </w:r>
      </w:hyperlink>
    </w:p>
    <w:p>
      <w:pPr>
        <w:pStyle w:val="BodyText"/>
        <w:numPr>
          <w:ilvl w:val="0"/>
          <w:numId w:val="38"/>
        </w:numPr>
        <w:rPr/>
      </w:pPr>
      <w:r>
        <w:rPr/>
        <w:t xml:space="preserve">[P4] Pang, C. D. (2026). SEED v0.3: Complete Release Discipline and Mathematical Realization. Zenodo. </w:t>
      </w:r>
      <w:hyperlink r:id="rId5">
        <w:r>
          <w:rPr>
            <w:rStyle w:val="Hyperlink"/>
          </w:rPr>
          <w:t>doi:10.5281/zenodo.21760893</w:t>
        </w:r>
      </w:hyperlink>
    </w:p>
    <w:p>
      <w:pPr>
        <w:pStyle w:val="BodyText"/>
        <w:numPr>
          <w:ilvl w:val="0"/>
          <w:numId w:val="38"/>
        </w:numPr>
        <w:rPr/>
      </w:pPr>
      <w:r>
        <w:rPr/>
        <w:t xml:space="preserve">[P5] Pang, C. D. (2026). PAL — Primitive Axiom Layers v2.2. Zenodo. </w:t>
      </w:r>
      <w:hyperlink r:id="rId6">
        <w:r>
          <w:rPr>
            <w:rStyle w:val="Hyperlink"/>
          </w:rPr>
          <w:t>doi:10.5281/zenodo.21891598</w:t>
        </w:r>
      </w:hyperlink>
      <w:r>
        <w:rPr/>
        <w:t>. Immediate publication predecessor and historical T01–T48 authority boundary; not independent confirmation of PAL v2.3.</w:t>
      </w:r>
    </w:p>
    <w:p>
      <w:pPr>
        <w:pStyle w:val="BodyText"/>
        <w:numPr>
          <w:ilvl w:val="0"/>
          <w:numId w:val="38"/>
        </w:numPr>
        <w:rPr/>
      </w:pPr>
      <w:r>
        <w:rPr/>
        <w:t xml:space="preserve">[S1] Vîţă, L. S., &amp; Bridges, D. S. (2003). Separatedness in constructive topology. Documenta Mathematica, 8, 567-576. </w:t>
      </w:r>
      <w:hyperlink r:id="rId7">
        <w:r>
          <w:rPr>
            <w:rStyle w:val="Hyperlink"/>
          </w:rPr>
          <w:t>doi:10.4171/DM/151</w:t>
        </w:r>
      </w:hyperlink>
    </w:p>
    <w:p>
      <w:pPr>
        <w:pStyle w:val="BodyText"/>
        <w:numPr>
          <w:ilvl w:val="0"/>
          <w:numId w:val="38"/>
        </w:numPr>
        <w:rPr/>
      </w:pPr>
      <w:r>
        <w:rPr/>
        <w:t xml:space="preserve">[S2] Driscoll, J. R., Sarnak, N., Sleator, D. D., &amp; Tarjan, R. E. (1989). Making data structures persistent. Journal of Computer and System Sciences, 38(1), 86-124. </w:t>
      </w:r>
      <w:hyperlink r:id="rId8">
        <w:r>
          <w:rPr>
            <w:rStyle w:val="Hyperlink"/>
          </w:rPr>
          <w:t>doi:10.1016/0022-0000(89)90034-2</w:t>
        </w:r>
      </w:hyperlink>
    </w:p>
    <w:p>
      <w:pPr>
        <w:pStyle w:val="BodyText"/>
        <w:numPr>
          <w:ilvl w:val="0"/>
          <w:numId w:val="38"/>
        </w:numPr>
        <w:rPr/>
      </w:pPr>
      <w:r>
        <w:rPr/>
        <w:t xml:space="preserve">[S3] Lawvere, F. W. (1973). Metric spaces, generalized logic, and closed categories. Rendiconti del Seminario Matematico e Fisico di Milano, 43, 135-166. </w:t>
      </w:r>
      <w:hyperlink r:id="rId9">
        <w:r>
          <w:rPr>
            <w:rStyle w:val="Hyperlink"/>
          </w:rPr>
          <w:t>doi:10.1007/BF02924844</w:t>
        </w:r>
      </w:hyperlink>
    </w:p>
    <w:p>
      <w:pPr>
        <w:pStyle w:val="BodyText"/>
        <w:numPr>
          <w:ilvl w:val="0"/>
          <w:numId w:val="38"/>
        </w:numPr>
        <w:rPr/>
      </w:pPr>
      <w:r>
        <w:rPr/>
        <w:t xml:space="preserve">[S4] Joyal, A., Street, R., &amp; Verity, D. (1996). Traced monoidal categories. Mathematical Proceedings of the Cambridge Philosophical Society, 119(3), 447-468. </w:t>
      </w:r>
      <w:hyperlink r:id="rId10">
        <w:r>
          <w:rPr>
            <w:rStyle w:val="Hyperlink"/>
          </w:rPr>
          <w:t>doi:10.1017/S0305004100074338</w:t>
        </w:r>
      </w:hyperlink>
    </w:p>
    <w:p>
      <w:pPr>
        <w:pStyle w:val="BodyText"/>
        <w:numPr>
          <w:ilvl w:val="0"/>
          <w:numId w:val="38"/>
        </w:numPr>
        <w:rPr/>
      </w:pPr>
      <w:r>
        <w:rPr/>
        <w:t xml:space="preserve">[S5] Girard, J.-Y. (1987). Linear logic. Theoretical Computer Science, 50(1), 1-101. </w:t>
      </w:r>
      <w:hyperlink r:id="rId11">
        <w:r>
          <w:rPr>
            <w:rStyle w:val="Hyperlink"/>
          </w:rPr>
          <w:t>doi:10.1016/0304-3975(87)90045-4</w:t>
        </w:r>
      </w:hyperlink>
    </w:p>
    <w:p>
      <w:pPr>
        <w:pStyle w:val="BodyText"/>
        <w:numPr>
          <w:ilvl w:val="0"/>
          <w:numId w:val="38"/>
        </w:numPr>
        <w:rPr/>
      </w:pPr>
      <w:r>
        <w:rPr/>
        <w:t>[S6] Petri, C. A. (1966). Communication with Automata. Technical Report RADC-TR-65-377 (English translation; dissertation approved 1962).</w:t>
      </w:r>
    </w:p>
    <w:p>
      <w:pPr>
        <w:pStyle w:val="BodyText"/>
        <w:numPr>
          <w:ilvl w:val="0"/>
          <w:numId w:val="38"/>
        </w:numPr>
        <w:rPr/>
      </w:pPr>
      <w:r>
        <w:rPr/>
        <w:t xml:space="preserve">[S7] Green, T. J., Karvounarakis, G., &amp; Tannen, V. (2007). Provenance semirings. Proceedings of PODS, 31-40. </w:t>
      </w:r>
      <w:hyperlink r:id="rId12">
        <w:r>
          <w:rPr>
            <w:rStyle w:val="Hyperlink"/>
          </w:rPr>
          <w:t>doi:10.1145/1265530.1265535</w:t>
        </w:r>
      </w:hyperlink>
    </w:p>
    <w:p>
      <w:pPr>
        <w:pStyle w:val="BodyText"/>
        <w:numPr>
          <w:ilvl w:val="0"/>
          <w:numId w:val="38"/>
        </w:numPr>
        <w:rPr/>
      </w:pPr>
      <w:r>
        <w:rPr/>
        <w:t xml:space="preserve">[S8] Nerode, A. (1958). Linear automaton transformations. Proceedings of the American Mathematical Society, 9, 541-544. </w:t>
      </w:r>
      <w:hyperlink r:id="rId13">
        <w:r>
          <w:rPr>
            <w:rStyle w:val="Hyperlink"/>
          </w:rPr>
          <w:t>doi:10.1090/S0002-9939-1958-0135681-9</w:t>
        </w:r>
      </w:hyperlink>
    </w:p>
    <w:p>
      <w:pPr>
        <w:pStyle w:val="BodyText"/>
        <w:numPr>
          <w:ilvl w:val="0"/>
          <w:numId w:val="38"/>
        </w:numPr>
        <w:rPr/>
      </w:pPr>
      <w:r>
        <w:rPr/>
        <w:t>[S9] Littman, M. L., Sutton, R. S., &amp; Singh, S. (2001). Predictive representations of state. Advances in Neural Information Processing Systems, 14, 1555-1561.</w:t>
      </w:r>
    </w:p>
    <w:p>
      <w:pPr>
        <w:pStyle w:val="BodyText"/>
        <w:numPr>
          <w:ilvl w:val="0"/>
          <w:numId w:val="38"/>
        </w:numPr>
        <w:rPr/>
      </w:pPr>
      <w:r>
        <w:rPr/>
        <w:t>[S10] Aubin, J.-P., &amp; Cellina, A. (1982). Differential Inclusions and Viability Theory. IIASA WP-82-051.</w:t>
      </w:r>
    </w:p>
    <w:p>
      <w:pPr>
        <w:pStyle w:val="BodyText"/>
        <w:numPr>
          <w:ilvl w:val="0"/>
          <w:numId w:val="38"/>
        </w:numPr>
        <w:rPr/>
      </w:pPr>
      <w:r>
        <w:rPr/>
        <w:t xml:space="preserve">[S11] Manna, Z., &amp; Pnueli, A. (1991). Completing the temporal picture. Theoretical Computer Science, 83(1), 97-130. </w:t>
      </w:r>
      <w:hyperlink r:id="rId14">
        <w:r>
          <w:rPr>
            <w:rStyle w:val="Hyperlink"/>
          </w:rPr>
          <w:t>doi:10.1016/0304-3975(91)90041-Y</w:t>
        </w:r>
      </w:hyperlink>
    </w:p>
    <w:p>
      <w:pPr>
        <w:pStyle w:val="BodyText"/>
        <w:numPr>
          <w:ilvl w:val="0"/>
          <w:numId w:val="38"/>
        </w:numPr>
        <w:rPr/>
      </w:pPr>
      <w:r>
        <w:rPr/>
        <w:t xml:space="preserve">[S13] Doyle, J. (1979). A truth maintenance system. Artificial Intelligence, 12(3), 231-272. </w:t>
      </w:r>
      <w:hyperlink r:id="rId15">
        <w:r>
          <w:rPr>
            <w:rStyle w:val="Hyperlink"/>
          </w:rPr>
          <w:t>doi:10.1016/0004-3702(79)90008-0</w:t>
        </w:r>
      </w:hyperlink>
    </w:p>
    <w:p>
      <w:pPr>
        <w:pStyle w:val="BodyText"/>
        <w:numPr>
          <w:ilvl w:val="0"/>
          <w:numId w:val="38"/>
        </w:numPr>
        <w:rPr/>
      </w:pPr>
      <w:r>
        <w:rPr/>
        <w:t xml:space="preserve">[S14] Hansen, J., &amp; Ghrist, R. (2019). Toward a spectral theory of cellular sheaves. Journal of Applied and Computational Topology, 3, 315-358. </w:t>
      </w:r>
      <w:hyperlink r:id="rId16">
        <w:r>
          <w:rPr>
            <w:rStyle w:val="Hyperlink"/>
          </w:rPr>
          <w:t>doi:10.1007/s41468-019-00038-7</w:t>
        </w:r>
      </w:hyperlink>
    </w:p>
    <w:p>
      <w:pPr>
        <w:pStyle w:val="BodyText"/>
        <w:numPr>
          <w:ilvl w:val="0"/>
          <w:numId w:val="38"/>
        </w:numPr>
        <w:rPr/>
      </w:pPr>
      <w:r>
        <w:rPr/>
        <w:t xml:space="preserve">[S15] Sanfelice, R. G., Goebel, R., &amp; Teel, A. R. (2008). Generalized solutions to hybrid dynamical systems. ESAIM: COCV, 14(4), 699-724. </w:t>
      </w:r>
      <w:hyperlink r:id="rId17">
        <w:r>
          <w:rPr>
            <w:rStyle w:val="Hyperlink"/>
          </w:rPr>
          <w:t>doi:10.1051/cocv:2008008</w:t>
        </w:r>
      </w:hyperlink>
    </w:p>
    <w:p>
      <w:pPr>
        <w:pStyle w:val="BodyText"/>
        <w:numPr>
          <w:ilvl w:val="0"/>
          <w:numId w:val="38"/>
        </w:numPr>
        <w:rPr/>
      </w:pPr>
      <w:r>
        <w:rPr/>
        <w:t>[S16] Lean 4. Theorem Proving in Lean 4: Type Classes (Decidable propositions and effective case analysis). PAL v1.6 did not pin a commit; implementations must record the exact version used.</w:t>
      </w:r>
    </w:p>
    <w:p>
      <w:pPr>
        <w:pStyle w:val="BodyText"/>
        <w:numPr>
          <w:ilvl w:val="0"/>
          <w:numId w:val="38"/>
        </w:numPr>
        <w:rPr/>
      </w:pPr>
      <w:r>
        <w:rPr/>
        <w:t>[S17] Mathlib 4. Mathlib.Logic.Basic (constructive and classical logical infrastructure). PAL v1.6 did not pin a commit; implementations must record the exact version used.</w:t>
      </w:r>
    </w:p>
    <w:p>
      <w:pPr>
        <w:pStyle w:val="BodyText"/>
        <w:numPr>
          <w:ilvl w:val="0"/>
          <w:numId w:val="38"/>
        </w:numPr>
        <w:rPr/>
      </w:pPr>
      <w:r>
        <w:rPr/>
        <w:t>[S18] Mathlib 4. Mathlib.Order.WellFounded (well-founded relations and induction). PAL v1.6 did not pin a commit; implementations must record the exact version used.</w:t>
      </w:r>
    </w:p>
    <w:p>
      <w:pPr>
        <w:pStyle w:val="BodyText"/>
        <w:numPr>
          <w:ilvl w:val="0"/>
          <w:numId w:val="38"/>
        </w:numPr>
        <w:rPr/>
      </w:pPr>
      <w:r>
        <w:rPr/>
        <w:t xml:space="preserve">[S19] Martin-Löf, P. (1975). An intuitionistic theory of types: Predicative part. Logic Colloquium ’73, 73-118. </w:t>
      </w:r>
      <w:hyperlink r:id="rId18">
        <w:r>
          <w:rPr>
            <w:rStyle w:val="Hyperlink"/>
          </w:rPr>
          <w:t>doi:10.1016/S0049-237X(08)71945-1</w:t>
        </w:r>
      </w:hyperlink>
    </w:p>
    <w:p>
      <w:pPr>
        <w:pStyle w:val="BodyText"/>
        <w:numPr>
          <w:ilvl w:val="0"/>
          <w:numId w:val="38"/>
        </w:numPr>
        <w:rPr/>
      </w:pPr>
      <w:r>
        <w:rPr/>
        <w:t xml:space="preserve">[S25] Werner, R. F. (1989). Quantum states with Einstein-Podolsky-Rosen correlations admitting a hidden-variable model. Physical Review A, 40, 4277-4281. </w:t>
      </w:r>
      <w:hyperlink r:id="rId19">
        <w:r>
          <w:rPr>
            <w:rStyle w:val="Hyperlink"/>
          </w:rPr>
          <w:t>doi:10.1103/PhysRevA.40.4277</w:t>
        </w:r>
      </w:hyperlink>
    </w:p>
    <w:p>
      <w:pPr>
        <w:pStyle w:val="BodyText"/>
        <w:numPr>
          <w:ilvl w:val="0"/>
          <w:numId w:val="38"/>
        </w:numPr>
        <w:rPr/>
      </w:pPr>
      <w:r>
        <w:rPr/>
        <w:t xml:space="preserve">[S26] Horodecki, M., Horodecki, P., &amp; Horodecki, R. (1996). Separability of mixed states: Necessary and sufficient conditions. Physics Letters A, 223, 1-8. </w:t>
      </w:r>
      <w:hyperlink r:id="rId20">
        <w:r>
          <w:rPr>
            <w:rStyle w:val="Hyperlink"/>
          </w:rPr>
          <w:t>doi:10.1016/S0375-9601(96)00706-2</w:t>
        </w:r>
      </w:hyperlink>
    </w:p>
    <w:p>
      <w:pPr>
        <w:pStyle w:val="BodyText"/>
        <w:numPr>
          <w:ilvl w:val="0"/>
          <w:numId w:val="38"/>
        </w:numPr>
        <w:rPr/>
      </w:pPr>
      <w:r>
        <w:rPr/>
        <w:t xml:space="preserve">[S27] Bell, J. S. (1964). On the Einstein Podolsky Rosen paradox. Physics Physique Fizika, 1, 195-200. </w:t>
      </w:r>
      <w:hyperlink r:id="rId21">
        <w:r>
          <w:rPr>
            <w:rStyle w:val="Hyperlink"/>
          </w:rPr>
          <w:t>doi:10.1103/PhysicsPhysiqueFizika.1.195</w:t>
        </w:r>
      </w:hyperlink>
    </w:p>
    <w:p>
      <w:pPr>
        <w:pStyle w:val="BodyText"/>
        <w:numPr>
          <w:ilvl w:val="0"/>
          <w:numId w:val="38"/>
        </w:numPr>
        <w:rPr/>
      </w:pPr>
      <w:r>
        <w:rPr/>
        <w:t xml:space="preserve">[S28] Coecke, B., Fritz, T., &amp; Spekkens, R. W. (2016). A mathematical theory of resources. Information and Computation, 250, 59-86. </w:t>
      </w:r>
      <w:hyperlink r:id="rId22">
        <w:r>
          <w:rPr>
            <w:rStyle w:val="Hyperlink"/>
          </w:rPr>
          <w:t>doi:10.1016/j.ic.2016.02.008</w:t>
        </w:r>
      </w:hyperlink>
    </w:p>
    <w:p>
      <w:pPr>
        <w:pStyle w:val="BodyText"/>
        <w:numPr>
          <w:ilvl w:val="0"/>
          <w:numId w:val="38"/>
        </w:numPr>
        <w:rPr/>
      </w:pPr>
      <w:r>
        <w:rPr/>
        <w:t xml:space="preserve">[S29] Fritz, T. (2017). Resource convertibility and ordered commutative monoids. Mathematical Structures in Computer Science, 27(6), 850-938. </w:t>
      </w:r>
      <w:hyperlink r:id="rId23">
        <w:r>
          <w:rPr>
            <w:rStyle w:val="Hyperlink"/>
          </w:rPr>
          <w:t>doi:10.1017/S0960129515000444</w:t>
        </w:r>
      </w:hyperlink>
    </w:p>
    <w:p>
      <w:pPr>
        <w:pStyle w:val="BodyText"/>
        <w:numPr>
          <w:ilvl w:val="0"/>
          <w:numId w:val="38"/>
        </w:numPr>
        <w:rPr/>
      </w:pPr>
      <w:r>
        <w:rPr/>
        <w:t>[S30] Rockafellar, R. T. (1970). Convex Analysis. Princeton University Press.</w:t>
      </w:r>
    </w:p>
    <w:p>
      <w:pPr>
        <w:pStyle w:val="BodyText"/>
        <w:numPr>
          <w:ilvl w:val="0"/>
          <w:numId w:val="38"/>
        </w:numPr>
        <w:rPr/>
      </w:pPr>
      <w:r>
        <w:rPr/>
        <w:t>[S33] Mathlib 4. Mathlib.CategoryTheory.PathCategory.Basic (finite paths on a quiver and extension of edge maps to path composition). PAL v1.6 did not pin a commit; implementations must record the exact version used.</w:t>
      </w:r>
    </w:p>
    <w:p>
      <w:pPr>
        <w:pStyle w:val="BodyText"/>
        <w:numPr>
          <w:ilvl w:val="0"/>
          <w:numId w:val="38"/>
        </w:numPr>
        <w:rPr/>
      </w:pPr>
      <w:r>
        <w:rPr/>
        <w:t>[S36] Mathlib 4. Mathlib.Order.WellFounded (well-founded induction and absence of infinite descending chains). PAL v1.6 did not pin a commit; implementations must record the exact version used.</w:t>
      </w:r>
    </w:p>
    <w:p>
      <w:pPr>
        <w:pStyle w:val="BodyText"/>
        <w:numPr>
          <w:ilvl w:val="0"/>
          <w:numId w:val="38"/>
        </w:numPr>
        <w:rPr/>
      </w:pPr>
      <w:r>
        <w:rPr/>
        <w:t xml:space="preserve">[S39] Gabbay, M. J., &amp; Pitts, A. M. (2002). A new approach to abstract syntax with variable binding. Formal Aspects of Computing, 13, 341-363. </w:t>
      </w:r>
      <w:hyperlink r:id="rId24">
        <w:r>
          <w:rPr>
            <w:rStyle w:val="Hyperlink"/>
          </w:rPr>
          <w:t>doi:10.1007/s001650200016</w:t>
        </w:r>
      </w:hyperlink>
    </w:p>
    <w:p>
      <w:pPr>
        <w:pStyle w:val="BodyText"/>
        <w:numPr>
          <w:ilvl w:val="0"/>
          <w:numId w:val="38"/>
        </w:numPr>
        <w:rPr/>
      </w:pPr>
      <w:r>
        <w:rPr/>
        <w:t xml:space="preserve">[S40] Pitts, A. M. (2013). Nominal Sets: Names and Symmetry in Computer Science. Cambridge University Press. </w:t>
      </w:r>
      <w:hyperlink r:id="rId25">
        <w:r>
          <w:rPr>
            <w:rStyle w:val="Hyperlink"/>
          </w:rPr>
          <w:t>doi:10.1017/CBO9781139084673</w:t>
        </w:r>
      </w:hyperlink>
    </w:p>
    <w:p>
      <w:pPr>
        <w:pStyle w:val="BodyText"/>
        <w:numPr>
          <w:ilvl w:val="0"/>
          <w:numId w:val="38"/>
        </w:numPr>
        <w:rPr/>
      </w:pPr>
      <w:r>
        <w:rPr/>
        <w:t xml:space="preserve">[S41] Honda, K., Vasconcelos, V. T., &amp; Kubo, M. (1998). Language primitives and type discipline for structured communication-based programming. ESOP 1998, 122-138. </w:t>
      </w:r>
      <w:hyperlink r:id="rId26">
        <w:r>
          <w:rPr>
            <w:rStyle w:val="Hyperlink"/>
          </w:rPr>
          <w:t>doi:10.1007/BFb0053567</w:t>
        </w:r>
      </w:hyperlink>
    </w:p>
    <w:p>
      <w:pPr>
        <w:pStyle w:val="BodyText"/>
        <w:numPr>
          <w:ilvl w:val="0"/>
          <w:numId w:val="38"/>
        </w:numPr>
        <w:rPr/>
      </w:pPr>
      <w:r>
        <w:rPr/>
        <w:t xml:space="preserve">[S43] Lamport, L. (1994). The temporal logic of actions. ACM Transactions on Programming Languages and Systems, 16(3), 872–923. </w:t>
      </w:r>
      <w:hyperlink r:id="rId27">
        <w:r>
          <w:rPr>
            <w:rStyle w:val="Hyperlink"/>
          </w:rPr>
          <w:t>doi:10.1145/177492.177726</w:t>
        </w:r>
      </w:hyperlink>
      <w:r>
        <w:rPr/>
        <w:t>. Neighboring source for stutter terminology; it supplies no PAL re-entry authority.</w:t>
      </w:r>
    </w:p>
    <w:p>
      <w:pPr>
        <w:pStyle w:val="BodyText"/>
        <w:numPr>
          <w:ilvl w:val="0"/>
          <w:numId w:val="38"/>
        </w:numPr>
        <w:rPr/>
      </w:pPr>
      <w:r>
        <w:rPr/>
        <w:t xml:space="preserve">[S44] Nair, U. P. (2004). Elementary results on the binary quadratic form a²+ab+b². arXiv:math/0408107. </w:t>
      </w:r>
      <w:hyperlink r:id="rId28">
        <w:r>
          <w:rPr>
            <w:rStyle w:val="Hyperlink"/>
          </w:rPr>
          <w:t>doi:10.48550/arXiv.math/0408107</w:t>
        </w:r>
      </w:hyperlink>
      <w:r>
        <w:rPr/>
        <w:t>. Representability source; not the sole source for the general count formula.</w:t>
      </w:r>
    </w:p>
    <w:p>
      <w:pPr>
        <w:pStyle w:val="BodyText"/>
        <w:numPr>
          <w:ilvl w:val="0"/>
          <w:numId w:val="38"/>
        </w:numPr>
        <w:rPr/>
      </w:pPr>
      <w:r>
        <w:rPr/>
        <w:t xml:space="preserve">[S45] Marmon, O. (2005). Hexagonal Lattice Points on Circles. arXiv:math/0508201. </w:t>
      </w:r>
      <w:hyperlink r:id="rId29">
        <w:r>
          <w:rPr>
            <w:rStyle w:val="Hyperlink"/>
          </w:rPr>
          <w:t>doi:10.48550/arXiv.math/0508201</w:t>
        </w:r>
      </w:hyperlink>
      <w:r>
        <w:rPr/>
        <w:t>. Source for Eisenstein/hexagonal representation counts, angular packets, and associated analytic structure.</w:t>
      </w:r>
    </w:p>
    <w:p>
      <w:pPr>
        <w:pStyle w:val="BodyText"/>
        <w:numPr>
          <w:ilvl w:val="0"/>
          <w:numId w:val="38"/>
        </w:numPr>
        <w:rPr/>
      </w:pPr>
      <w:r>
        <w:rPr/>
        <w:t xml:space="preserve">[S46] Fung, S. P. Y. (2021). Is This the Simplest (and Most Surprising) Sorting Algorithm Ever? arXiv:2110.01111. </w:t>
      </w:r>
      <w:hyperlink r:id="rId30">
        <w:r>
          <w:rPr>
            <w:rStyle w:val="Hyperlink"/>
          </w:rPr>
          <w:t>doi:10.48550/arXiv.2110.01111</w:t>
        </w:r>
      </w:hyperlink>
      <w:r>
        <w:rPr/>
        <w:t>. Prior source for the ordered-pair schedule and sweep invariant; no Fung code was imported or executed for PAL v2.3.</w:t>
      </w:r>
    </w:p>
    <w:p>
      <w:pPr>
        <w:pStyle w:val="BodyText"/>
        <w:numPr>
          <w:ilvl w:val="0"/>
          <w:numId w:val="38"/>
        </w:numPr>
        <w:rPr/>
      </w:pPr>
      <w:r>
        <w:rPr/>
        <w:t xml:space="preserve">[S47] Aguilera, M. K., Chen, W., &amp; Toueg, S. (1997). Heartbeat: A Timeout-Free Failure Detector for Quiescent Reliable Communication. In Distributed Algorithms, LNCS 1320, 126–140. </w:t>
      </w:r>
      <w:hyperlink r:id="rId31">
        <w:r>
          <w:rPr>
            <w:rStyle w:val="Hyperlink"/>
          </w:rPr>
          <w:t>doi:10.1007/BFb0030680</w:t>
        </w:r>
      </w:hyperlink>
      <w:r>
        <w:rPr/>
        <w:t>. Neighboring failure-detector source only; it supplies no PAL progress, success, or re-entry authority.</w:t>
      </w:r>
    </w:p>
    <w:p>
      <w:pPr>
        <w:pStyle w:val="BodyText"/>
        <w:numPr>
          <w:ilvl w:val="0"/>
          <w:numId w:val="38"/>
        </w:numPr>
        <w:rPr/>
      </w:pPr>
      <w:r>
        <w:rPr/>
        <w:t xml:space="preserve">[V1] Pang, C. D. (2026). Exact Certification Through a Declared Interface: Fiber Factorization, Finite Capacity, and a Lean 4 Audit (APCI Run 0001). Version 1.0.0. Zenodo. </w:t>
      </w:r>
      <w:hyperlink r:id="rId32">
        <w:r>
          <w:rPr>
            <w:rStyle w:val="Hyperlink"/>
          </w:rPr>
          <w:t>doi:10.5281/zenodo.21923290</w:t>
        </w:r>
      </w:hyperlink>
      <w:r>
        <w:rPr/>
        <w:t>. Prior reachable-image factorization result; set-theoretic unless separately strengthened.</w:t>
      </w:r>
    </w:p>
    <w:p>
      <w:pPr>
        <w:pStyle w:val="BodyText"/>
        <w:numPr>
          <w:ilvl w:val="0"/>
          <w:numId w:val="38"/>
        </w:numPr>
        <w:rPr/>
      </w:pPr>
      <w:r>
        <w:rPr/>
        <w:t xml:space="preserve">[V2] Pang, C. D. (2026). Abstract Loops: Joint Certification, Generative Coupling, and the Cut Inside the Composite. Version 1.0. Zenodo. </w:t>
      </w:r>
      <w:hyperlink r:id="rId33">
        <w:r>
          <w:rPr>
            <w:rStyle w:val="Hyperlink"/>
          </w:rPr>
          <w:t>doi:10.5281/zenodo.21950771</w:t>
        </w:r>
      </w:hyperlink>
      <w:r>
        <w:rPr/>
        <w:t>. Prior common-refinement and return/export source; physical sections remain speculative.</w:t>
      </w:r>
    </w:p>
    <w:p>
      <w:pPr>
        <w:pStyle w:val="BodyText"/>
        <w:numPr>
          <w:ilvl w:val="0"/>
          <w:numId w:val="38"/>
        </w:numPr>
        <w:rPr/>
      </w:pPr>
      <w:r>
        <w:rPr/>
        <w:t xml:space="preserve">[V3] Pang, C. D. (2026). The Context Sets a Rhythm: Resettable Pulses, Retained Residuals, and Alignment Across Adaptive Traces. Version 0.1. Zenodo. </w:t>
      </w:r>
      <w:hyperlink r:id="rId34">
        <w:r>
          <w:rPr>
            <w:rStyle w:val="Hyperlink"/>
          </w:rPr>
          <w:t>doi:10.5281/zenodo.22214952</w:t>
        </w:r>
      </w:hyperlink>
      <w:r>
        <w:rPr/>
        <w:t>. Source-declared exogenous pulse-alignment vocabulary; not controller-heartbeat identity or PAL re-entry authority.</w:t>
      </w:r>
    </w:p>
    <w:p>
      <w:pPr>
        <w:pStyle w:val="BodyText"/>
        <w:numPr>
          <w:ilvl w:val="0"/>
          <w:numId w:val="38"/>
        </w:numPr>
        <w:rPr/>
      </w:pPr>
      <w:r>
        <w:rPr/>
        <w:t xml:space="preserve">[V4] Pang, C. D. (2026). Golden Phase Prime Ribbons: Faithful Prime-Factor Geometry with Golden-Angle Routing and Ordered Trace Ribbons. GPPR v0.1. Zenodo. </w:t>
      </w:r>
      <w:hyperlink r:id="rId35">
        <w:r>
          <w:rPr>
            <w:rStyle w:val="Hyperlink"/>
          </w:rPr>
          <w:t>doi:10.5281/zenodo.22225414</w:t>
        </w:r>
      </w:hyperlink>
      <w:r>
        <w:rPr/>
        <w:t>. O22 branch source only.</w:t>
      </w:r>
    </w:p>
    <w:p>
      <w:pPr>
        <w:pStyle w:val="BodyText"/>
        <w:numPr>
          <w:ilvl w:val="0"/>
          <w:numId w:val="38"/>
        </w:numPr>
        <w:rPr/>
      </w:pPr>
      <w:r>
        <w:rPr/>
        <w:t xml:space="preserve">[V5] Pang, C. D. (2026). Full Bandwidth Is Not Full Trace: A PAL–FBT Synthesis. Version 0.1. Zenodo. </w:t>
      </w:r>
      <w:hyperlink r:id="rId36">
        <w:r>
          <w:rPr>
            <w:rStyle w:val="Hyperlink"/>
          </w:rPr>
          <w:t>doi:10.5281/zenodo.22228162</w:t>
        </w:r>
      </w:hyperlink>
      <w:r>
        <w:rPr/>
        <w:t>. Branch/source-map row; no imported FBT execution or new neural result.</w:t>
      </w:r>
    </w:p>
    <w:p>
      <w:pPr>
        <w:pStyle w:val="BodyText"/>
        <w:numPr>
          <w:ilvl w:val="0"/>
          <w:numId w:val="38"/>
        </w:numPr>
        <w:rPr/>
      </w:pPr>
      <w:r>
        <w:rPr/>
        <w:t xml:space="preserve">[V6] Pang, C. D. (2026). GOLD: Golden-Oriented Lens Diagram—Sixfold Geometry, Five-Dimensional Comparison, and Trace-Bearing Paths. Version 0.1. Zenodo. </w:t>
      </w:r>
      <w:hyperlink r:id="rId37">
        <w:r>
          <w:rPr>
            <w:rStyle w:val="Hyperlink"/>
          </w:rPr>
          <w:t>doi:10.5281/zenodo.22236848</w:t>
        </w:r>
      </w:hyperlink>
      <w:r>
        <w:rPr/>
        <w:t>. Source for exact geometry and bounded F-GOLD fixtures; no physical blueprint or golden-optimality result.</w:t>
      </w:r>
    </w:p>
    <w:p>
      <w:pPr>
        <w:pStyle w:val="BodyText"/>
        <w:numPr>
          <w:ilvl w:val="0"/>
          <w:numId w:val="38"/>
        </w:numPr>
        <w:rPr/>
      </w:pPr>
      <w:r>
        <w:rPr/>
        <w:t xml:space="preserve">[V7] Pang, C. D. (2026). Compactification Costs: A Typed Framework for Extension, Boundary, Identification, and Ambiguity. Version 0.2. Zenodo. </w:t>
      </w:r>
      <w:hyperlink r:id="rId38">
        <w:r>
          <w:rPr>
            <w:rStyle w:val="Hyperlink"/>
          </w:rPr>
          <w:t>doi:10.5281/zenodo.22238012</w:t>
        </w:r>
      </w:hyperlink>
      <w:r>
        <w:rPr/>
        <w:t>. Typed profile and specialized boundary bridge; no universal scalar or A15 equation.</w:t>
      </w:r>
    </w:p>
    <w:p>
      <w:pPr>
        <w:pStyle w:val="BodyText"/>
        <w:numPr>
          <w:ilvl w:val="0"/>
          <w:numId w:val="38"/>
        </w:numPr>
        <w:rPr/>
      </w:pPr>
      <w:r>
        <w:rPr/>
        <w:t xml:space="preserve">[V8] Pang, C. D. (2026). Single-Cut Transport Lemma v0.2: Minimal Asymmetry on a Complete Pairwise Boundary. Zenodo. </w:t>
      </w:r>
      <w:hyperlink r:id="rId39">
        <w:r>
          <w:rPr>
            <w:rStyle w:val="Hyperlink"/>
          </w:rPr>
          <w:t>doi:10.5281/zenodo.22239108</w:t>
        </w:r>
      </w:hyperlink>
      <w:r>
        <w:rPr/>
        <w:t>. Source for q-split, pairwise, action-lift, checkpoint, stutter, and grant-epoch fixtures under their declared scopes.</w:t>
      </w:r>
    </w:p>
    <w:p>
      <w:pPr>
        <w:pStyle w:val="BodyText"/>
        <w:numPr>
          <w:ilvl w:val="0"/>
          <w:numId w:val="38"/>
        </w:numPr>
        <w:rPr/>
      </w:pPr>
      <w:r>
        <w:rPr/>
        <w:t>[B1] Pang, C. D. (2026). PAL v2.3 Release Build Specification. 2 September 2026. Noncanonical workflow/provenance record; SHA-256 192ac2e8b4ca22b38e678e8e4d7c985dca072ed5b9fc2a8dff61409e958e3f2e.</w:t>
      </w:r>
    </w:p>
    <w:p>
      <w:pPr>
        <w:pStyle w:val="BodyText"/>
        <w:numPr>
          <w:ilvl w:val="0"/>
          <w:numId w:val="38"/>
        </w:numPr>
        <w:rPr/>
      </w:pPr>
      <w:r>
        <w:rPr/>
        <w:t>[B2] Pang, C. D. (2026). PAL v2.3 — Author Directives Recorded After the Build Specification. 2 September 2026. Noncanonical author-instruction provenance record; SHA-256 ed88ec077f6cb8c8585d521402886fa15934893231d911e71215f3687d712c05.</w:t>
      </w:r>
    </w:p>
    <w:p>
      <w:pPr>
        <w:pStyle w:val="Heading1"/>
        <w:keepNext/>
        <w:keepLines/>
        <w:rPr/>
      </w:pPr>
      <w:bookmarkStart w:id="105" w:name="recommended-citation"/>
      <w:r>
        <w:rPr/>
        <w:t>Recommended citation</w:t>
      </w:r>
      <w:bookmarkEnd w:id="105"/>
    </w:p>
    <w:p>
      <w:pPr>
        <w:pStyle w:val="Normal"/>
        <w:keepNext/>
        <w:keepLines/>
        <w:rPr>
          <w:b/>
          <w:bCs/>
        </w:rPr>
      </w:pPr>
      <w:r>
        <w:rPr>
          <w:b/>
          <w:bCs/>
        </w:rPr>
        <w:t>Pang, Christopher D. (2026). PAL v2.3 — Primitive Axiom Layers. Zenodo. https://doi.org/10.5281/zenodo.22240134</w:t>
      </w:r>
    </w:p>
    <w:p>
      <w:pPr>
        <w:pStyle w:val="BodyText"/>
        <w:rPr/>
      </w:pPr>
      <w:r>
        <w:rPr/>
        <w:t>Component cited: PAL v2.3-T — Conformance Tests. The DOI identifies the coordinated package.</w:t>
      </w:r>
    </w:p>
    <w:p>
      <w:pPr>
        <w:pStyle w:val="BodyText"/>
        <w:rPr/>
      </w:pPr>
      <w:r>
        <w:rPr/>
        <w:t>DOI record: 10.5281/zenodo.22240134</w:t>
      </w:r>
    </w:p>
    <w:p>
      <w:pPr>
        <w:pStyle w:val="Heading1"/>
        <w:keepNext/>
        <w:keepLines/>
        <w:rPr/>
      </w:pPr>
      <w:bookmarkStart w:id="106" w:name="license-and-attribution"/>
      <w:r>
        <w:rPr/>
        <w:t>License and attribution</w:t>
      </w:r>
      <w:bookmarkEnd w:id="106"/>
    </w:p>
    <w:p>
      <w:pPr>
        <w:pStyle w:val="Normal"/>
        <w:keepNext/>
        <w:keepLines/>
        <w:rPr/>
      </w:pPr>
      <w:r>
        <w:rPr/>
        <w:t>© 2026 Christopher D. Pang. This work is licensed under Creative Commons Attribution 4.0 International (CC BY 4.0).</w:t>
      </w:r>
    </w:p>
    <w:p>
      <w:pPr>
        <w:pStyle w:val="BodyText"/>
        <w:rPr/>
      </w:pPr>
      <w:hyperlink r:id="rId40">
        <w:r>
          <w:rPr>
            <w:rStyle w:val="Hyperlink"/>
          </w:rPr>
          <w:t>CC BY 4.0 license</w:t>
        </w:r>
      </w:hyperlink>
    </w:p>
    <w:p>
      <w:pPr>
        <w:pStyle w:val="Heading1"/>
        <w:keepNext/>
        <w:keepLines/>
        <w:rPr/>
      </w:pPr>
      <w:bookmarkStart w:id="107" w:name="ai-assistance-authorship-and-release-tra"/>
      <w:r>
        <w:rPr/>
        <w:t>AI assistance, authorship, and release trace</w:t>
      </w:r>
      <w:bookmarkEnd w:id="107"/>
    </w:p>
    <w:p>
      <w:pPr>
        <w:pStyle w:val="Normal"/>
        <w:keepNext/>
        <w:keepLines/>
        <w:rPr/>
      </w:pPr>
      <w:r>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or independent corroborators, and model output is not privileged testimony or independent corroboration.</w:t>
      </w:r>
    </w:p>
    <w:p>
      <w:pPr>
        <w:pStyle w:val="Heading1"/>
        <w:keepNext/>
        <w:keepLines/>
        <w:rPr/>
      </w:pPr>
      <w:bookmarkStart w:id="108" w:name="pal-v2.2v2.3-change-log"/>
      <w:r>
        <w:rPr/>
        <w:t>PAL v2.2→v2.3 change log</w:t>
      </w:r>
      <w:bookmarkEnd w:id="108"/>
    </w:p>
    <w:p>
      <w:pPr>
        <w:pStyle w:val="Heading2"/>
        <w:keepNext/>
        <w:keepLines/>
        <w:rPr/>
      </w:pPr>
      <w:bookmarkStart w:id="109" w:name="preserved"/>
      <w:r>
        <w:rPr/>
        <w:t>Preserved</w:t>
      </w:r>
      <w:bookmarkEnd w:id="109"/>
    </w:p>
    <w:p>
      <w:pPr>
        <w:pStyle w:val="Normal"/>
        <w:keepNext/>
        <w:keepLines/>
        <w:rPr/>
      </w:pPr>
      <w:r>
        <w:rPr/>
        <w:t>T01–T48 remain exact historical specifications at T01@2.2–T48@2.2, with predecessor DOI/hash/LegacyReceiptRef identity and without retrofit. The TestReceipt/ClosureReceipt type boundary, positive/negative fixture discipline, four A15 statuses, five-face architecture, and OPEN D-FIRST-OCCURRENCE/O04/O25 boundary remain in force.</w:t>
      </w:r>
    </w:p>
    <w:p>
      <w:pPr>
        <w:pStyle w:val="Heading2"/>
        <w:keepNext/>
        <w:keepLines/>
        <w:rPr/>
      </w:pPr>
      <w:bookmarkStart w:id="110" w:name="added"/>
      <w:r>
        <w:rPr/>
        <w:t>Added</w:t>
      </w:r>
      <w:bookmarkEnd w:id="110"/>
    </w:p>
    <w:p>
      <w:pPr>
        <w:pStyle w:val="Normal"/>
        <w:keepNext/>
        <w:keepLines/>
        <w:rPr/>
      </w:pPr>
      <w:r>
        <w:rPr/>
        <w:t>PAL v2.3 adds stable execution bindings T01@2.3–T48@2.3; exact tests T49@2.3–T72@2.3; executable, semantic, render, and evidence-channel registers; boundary, factorization, q-split, action-lift, return/export, checkpoint, cadence, slack, GOLD, Compactification Costs, GPPR, and RAINBOW fixtures; and late bindings for D38–D39/O61–O62 without new test IDs.</w:t>
      </w:r>
    </w:p>
    <w:p>
      <w:pPr>
        <w:pStyle w:val="Heading2"/>
        <w:keepNext/>
        <w:keepLines/>
        <w:rPr/>
      </w:pPr>
      <w:bookmarkStart w:id="111" w:name="clarified"/>
      <w:r>
        <w:rPr/>
        <w:t>Clarified</w:t>
      </w:r>
      <w:bookmarkEnd w:id="111"/>
    </w:p>
    <w:p>
      <w:pPr>
        <w:pStyle w:val="Normal"/>
        <w:keepNext/>
        <w:keepLines/>
        <w:rPr/>
      </w:pPr>
      <w:r>
        <w:rPr/>
        <w:t>Every issued TestReceipt returns only CONFORMANT or NONCONFORMANT, binds exact semantic identity and frozen inputs, retains failed evidence, and cannot own A15 status. Structural minimum is distinct from metric minimum; equality is projection-relative; boundary, decoder, path, receipt, resource, grant, authority, arithmetic, amplitude, and presentation claims remain separately typed.</w:t>
      </w:r>
    </w:p>
    <w:p>
      <w:pPr>
        <w:pStyle w:val="Heading2"/>
        <w:keepNext/>
        <w:keepLines/>
        <w:rPr/>
      </w:pPr>
      <w:bookmarkStart w:id="112" w:name="rerouted"/>
      <w:r>
        <w:rPr/>
        <w:t>Rerouted</w:t>
      </w:r>
      <w:bookmarkEnd w:id="112"/>
    </w:p>
    <w:p>
      <w:pPr>
        <w:pStyle w:val="Normal"/>
        <w:keepNext/>
        <w:keepLines/>
        <w:rPr/>
      </w:pPr>
      <w:r>
        <w:rPr/>
        <w:t>New mathematical and visual content is tested as removable Atlas cards, composite plates, or branch fixtures. The exact seven-question text is tested as a Spine scope firewall. RAINBOW card/math/SVG/presentation checks execute under T12–T14, T34, T46, T51, T58–T59, and T68–T72; package and semantic lints remain under the existing stable addresses.</w:t>
      </w:r>
    </w:p>
    <w:p>
      <w:pPr>
        <w:pStyle w:val="Heading2"/>
        <w:keepNext/>
        <w:keepLines/>
        <w:rPr/>
      </w:pPr>
      <w:bookmarkStart w:id="113" w:name="still-open"/>
      <w:r>
        <w:rPr/>
        <w:t>Still open</w:t>
      </w:r>
      <w:bookmarkEnd w:id="113"/>
    </w:p>
    <w:p>
      <w:pPr>
        <w:pStyle w:val="Normal"/>
        <w:keepNext/>
        <w:keepLines/>
        <w:rPr/>
      </w:pPr>
      <w:r>
        <w:rPr/>
        <w:t>D-FIRST-OCCURRENCE remains OPEN through separate O04 and O25 interfaces. The multi-parent-lineage design boundary remains OPEN outside all obligation checksums. RAINBOW physical, quantum-collapse, Lagrange-dynamics, cosmological, and ontological analogies remain unadopted and untested as substantive claims.</w:t>
      </w:r>
    </w:p>
    <w:p>
      <w:pPr>
        <w:pStyle w:val="Heading2"/>
        <w:keepNext/>
        <w:keepLines/>
        <w:rPr/>
      </w:pPr>
      <w:bookmarkStart w:id="114" w:name="explicitly-not-promoted"/>
      <w:r>
        <w:rPr/>
        <w:t>Explicitly not promoted</w:t>
      </w:r>
      <w:bookmarkEnd w:id="114"/>
    </w:p>
    <w:p>
      <w:pPr>
        <w:pStyle w:val="Normal"/>
        <w:keepNext/>
        <w:keepLines/>
        <w:rPr/>
      </w:pPr>
      <w:r>
        <w:rPr/>
        <w:t>No test, fixture, receipt, hash, SVG, same-author source, AI output, or finite run becomes a primitive, numbered layer, fifth status, sixth authority face, physical law, universal geometry/scalar, witness, permission, standing, release authority, A15 closure, proof of PAL, or independent corroboration.</w:t>
      </w:r>
    </w:p>
    <w:p>
      <w:pPr>
        <w:pStyle w:val="Heading1"/>
        <w:keepNext/>
        <w:keepLines/>
        <w:rPr/>
      </w:pPr>
      <w:bookmarkStart w:id="115" w:name="end-of-component-trace"/>
      <w:r>
        <w:rPr/>
        <w:t>End-of-component trace</w:t>
      </w:r>
      <w:bookmarkEnd w:id="11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Trace</w:t>
            </w:r>
          </w:p>
        </w:tc>
      </w:tr>
      <w:tr>
        <w:trPr/>
        <w:tc>
          <w:tcPr>
            <w:tcW w:w="2621" w:type="dxa"/>
            <w:tcBorders/>
            <w:vAlign w:val="top"/>
          </w:tcPr>
          <w:p>
            <w:pPr>
              <w:pStyle w:val="Normal"/>
              <w:widowControl/>
              <w:bidi w:val="0"/>
              <w:spacing w:lineRule="auto" w:line="240" w:before="0" w:after="40"/>
              <w:jc w:val="start"/>
              <w:rPr/>
            </w:pPr>
            <w:r>
              <w:rPr>
                <w:sz w:val="19"/>
              </w:rPr>
              <w:t>Release</w:t>
            </w:r>
          </w:p>
        </w:tc>
        <w:tc>
          <w:tcPr>
            <w:tcW w:w="6739" w:type="dxa"/>
            <w:tcBorders/>
            <w:vAlign w:val="top"/>
          </w:tcPr>
          <w:p>
            <w:pPr>
              <w:pStyle w:val="Normal"/>
              <w:widowControl/>
              <w:bidi w:val="0"/>
              <w:spacing w:lineRule="auto" w:line="240" w:before="0" w:after="40"/>
              <w:jc w:val="start"/>
              <w:rPr/>
            </w:pPr>
            <w:r>
              <w:rPr>
                <w:sz w:val="19"/>
              </w:rPr>
              <w:t>PAL v2.3 author release; 2 September 2026; DOI 10.5281/zenodo.22240134; CC BY 4.0; not peer reviewed.</w:t>
            </w:r>
          </w:p>
        </w:tc>
      </w:tr>
      <w:tr>
        <w:trPr/>
        <w:tc>
          <w:tcPr>
            <w:tcW w:w="2621" w:type="dxa"/>
            <w:tcBorders/>
            <w:vAlign w:val="top"/>
            <w:shd w:fill="F7F9FB"/>
          </w:tcPr>
          <w:p>
            <w:pPr>
              <w:pStyle w:val="Normal"/>
              <w:widowControl/>
              <w:bidi w:val="0"/>
              <w:spacing w:lineRule="auto" w:line="240" w:before="0" w:after="40"/>
              <w:jc w:val="start"/>
              <w:rPr/>
            </w:pPr>
            <w:r>
              <w:rPr>
                <w:sz w:val="19"/>
              </w:rPr>
              <w:t>Component</w:t>
            </w:r>
          </w:p>
        </w:tc>
        <w:tc>
          <w:tcPr>
            <w:tcW w:w="6739" w:type="dxa"/>
            <w:tcBorders/>
            <w:vAlign w:val="top"/>
            <w:shd w:fill="F7F9FB"/>
          </w:tcPr>
          <w:p>
            <w:pPr>
              <w:pStyle w:val="Normal"/>
              <w:widowControl/>
              <w:bidi w:val="0"/>
              <w:spacing w:lineRule="auto" w:line="240" w:before="0" w:after="40"/>
              <w:jc w:val="start"/>
              <w:rPr/>
            </w:pPr>
            <w:r>
              <w:rPr>
                <w:sz w:val="19"/>
              </w:rPr>
              <w:t>PAL v2.3-T — Conformance Tests; one of five coordinated authority faces.</w:t>
            </w:r>
          </w:p>
        </w:tc>
      </w:tr>
      <w:tr>
        <w:trPr/>
        <w:tc>
          <w:tcPr>
            <w:tcW w:w="2621" w:type="dxa"/>
            <w:tcBorders/>
            <w:vAlign w:val="top"/>
          </w:tcPr>
          <w:p>
            <w:pPr>
              <w:pStyle w:val="Normal"/>
              <w:widowControl/>
              <w:bidi w:val="0"/>
              <w:spacing w:lineRule="auto" w:line="240" w:before="0" w:after="40"/>
              <w:jc w:val="start"/>
              <w:rPr/>
            </w:pPr>
            <w:r>
              <w:rPr>
                <w:sz w:val="19"/>
              </w:rPr>
              <w:t>Author/steward</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Authority role</w:t>
            </w:r>
          </w:p>
        </w:tc>
        <w:tc>
          <w:tcPr>
            <w:tcW w:w="6739" w:type="dxa"/>
            <w:tcBorders/>
            <w:vAlign w:val="top"/>
            <w:shd w:fill="F7F9FB"/>
          </w:tcPr>
          <w:p>
            <w:pPr>
              <w:pStyle w:val="Normal"/>
              <w:widowControl/>
              <w:bidi w:val="0"/>
              <w:spacing w:lineRule="auto" w:line="240" w:before="0" w:after="40"/>
              <w:jc w:val="start"/>
              <w:rPr/>
            </w:pPr>
            <w:r>
              <w:rPr>
                <w:sz w:val="19"/>
              </w:rPr>
              <w:t>Controls conformance procedures, positive/negative fixtures, semantic and executable bindings, and evidence-receipt requirements. A TestReceipt does not own an A15 status or author release authority.</w:t>
            </w:r>
          </w:p>
        </w:tc>
      </w:tr>
      <w:tr>
        <w:trPr/>
        <w:tc>
          <w:tcPr>
            <w:tcW w:w="2621" w:type="dxa"/>
            <w:tcBorders/>
            <w:vAlign w:val="top"/>
          </w:tcPr>
          <w:p>
            <w:pPr>
              <w:pStyle w:val="Normal"/>
              <w:widowControl/>
              <w:bidi w:val="0"/>
              <w:spacing w:lineRule="auto" w:line="240" w:before="0" w:after="40"/>
              <w:jc w:val="start"/>
              <w:rPr/>
            </w:pPr>
            <w:r>
              <w:rPr>
                <w:sz w:val="19"/>
              </w:rPr>
              <w:t>Immediate predecessor</w:t>
            </w:r>
          </w:p>
        </w:tc>
        <w:tc>
          <w:tcPr>
            <w:tcW w:w="6739" w:type="dxa"/>
            <w:tcBorders/>
            <w:vAlign w:val="top"/>
          </w:tcPr>
          <w:p>
            <w:pPr>
              <w:pStyle w:val="Normal"/>
              <w:widowControl/>
              <w:bidi w:val="0"/>
              <w:spacing w:lineRule="auto" w:line="240" w:before="0" w:after="40"/>
              <w:jc w:val="start"/>
              <w:rPr/>
            </w:pPr>
            <w:r>
              <w:rPr>
                <w:sz w:val="19"/>
              </w:rPr>
              <w:t>PAL v2.2-T — Conformance Tests, DOI 10.5281/zenodo.21891598; deposited DOCX SHA-256 a360ae243c17a28e67919290267eb0f839ca5900e9b63c16d62760cae54a153d; deposited PDF SHA-256 41cb93a92ec93c0d2a0811cbfe5b1a3939157ad44c174ea5fa1af221a3a8795f.</w:t>
            </w:r>
          </w:p>
        </w:tc>
      </w:tr>
      <w:tr>
        <w:trPr/>
        <w:tc>
          <w:tcPr>
            <w:tcW w:w="2621" w:type="dxa"/>
            <w:tcBorders/>
            <w:vAlign w:val="top"/>
            <w:shd w:fill="F7F9FB"/>
          </w:tcPr>
          <w:p>
            <w:pPr>
              <w:pStyle w:val="Normal"/>
              <w:widowControl/>
              <w:bidi w:val="0"/>
              <w:spacing w:lineRule="auto" w:line="240" w:before="0" w:after="40"/>
              <w:jc w:val="start"/>
              <w:rPr/>
            </w:pPr>
            <w:r>
              <w:rPr>
                <w:sz w:val="19"/>
              </w:rPr>
              <w:t>Release authority</w:t>
            </w:r>
          </w:p>
        </w:tc>
        <w:tc>
          <w:tcPr>
            <w:tcW w:w="6739" w:type="dxa"/>
            <w:tcBorders/>
            <w:vAlign w:val="top"/>
            <w:shd w:fill="F7F9FB"/>
          </w:tcPr>
          <w:p>
            <w:pPr>
              <w:pStyle w:val="Normal"/>
              <w:widowControl/>
              <w:bidi w:val="0"/>
              <w:spacing w:lineRule="auto" w:line="240" w:before="0" w:after="40"/>
              <w:jc w:val="start"/>
              <w:rPr/>
            </w:pPr>
            <w:r>
              <w:rPr>
                <w:sz w:val="19"/>
              </w:rPr>
              <w:t>Christopher D. Pang’s 2 September 2026 release instruction controls preparation and freeze of the exact final manifest. AUTHOR_RELEASE_RECEIPT.json is a non-signature binding; it is not a cryptographic attestation and does not direct an external upload.</w:t>
            </w:r>
          </w:p>
        </w:tc>
      </w:tr>
      <w:tr>
        <w:trPr/>
        <w:tc>
          <w:tcPr>
            <w:tcW w:w="2621" w:type="dxa"/>
            <w:tcBorders/>
            <w:vAlign w:val="top"/>
          </w:tcPr>
          <w:p>
            <w:pPr>
              <w:pStyle w:val="Normal"/>
              <w:widowControl/>
              <w:bidi w:val="0"/>
              <w:spacing w:lineRule="auto" w:line="240" w:before="0" w:after="40"/>
              <w:jc w:val="start"/>
              <w:rPr/>
            </w:pPr>
            <w:r>
              <w:rPr>
                <w:sz w:val="19"/>
              </w:rPr>
              <w:t>External manifest reference</w:t>
            </w:r>
          </w:p>
        </w:tc>
        <w:tc>
          <w:tcPr>
            <w:tcW w:w="6739" w:type="dxa"/>
            <w:tcBorders/>
            <w:vAlign w:val="top"/>
          </w:tcPr>
          <w:p>
            <w:pPr>
              <w:pStyle w:val="Normal"/>
              <w:widowControl/>
              <w:bidi w:val="0"/>
              <w:spacing w:lineRule="auto" w:line="240" w:before="0" w:after="40"/>
              <w:jc w:val="start"/>
              <w:rPr/>
            </w:pPr>
            <w:r>
              <w:rPr>
                <w:sz w:val="19"/>
              </w:rPr>
              <w:t>PAL_v2.3_PACKAGE_MANIFEST.json, schema pal.package-manifest.v2.3, and PAL_v2.3_SHA256SUMS.txt bind final bytes under SHA-256 after DOCX/PDF rendering and package freeze. This component contains no self-digest.</w:t>
            </w:r>
          </w:p>
        </w:tc>
      </w:tr>
      <w:tr>
        <w:trPr/>
        <w:tc>
          <w:tcPr>
            <w:tcW w:w="2621" w:type="dxa"/>
            <w:tcBorders/>
            <w:vAlign w:val="top"/>
            <w:shd w:fill="F7F9FB"/>
          </w:tcPr>
          <w:p>
            <w:pPr>
              <w:pStyle w:val="Normal"/>
              <w:widowControl/>
              <w:bidi w:val="0"/>
              <w:spacing w:lineRule="auto" w:line="240" w:before="0" w:after="40"/>
              <w:jc w:val="start"/>
              <w:rPr/>
            </w:pPr>
            <w:r>
              <w:rPr>
                <w:sz w:val="19"/>
              </w:rPr>
              <w:t>Integrity ceiling</w:t>
            </w:r>
          </w:p>
        </w:tc>
        <w:tc>
          <w:tcPr>
            <w:tcW w:w="6739" w:type="dxa"/>
            <w:tcBorders/>
            <w:vAlign w:val="top"/>
            <w:shd w:fill="F7F9FB"/>
          </w:tcPr>
          <w:p>
            <w:pPr>
              <w:pStyle w:val="Normal"/>
              <w:widowControl/>
              <w:bidi w:val="0"/>
              <w:spacing w:lineRule="auto" w:line="240" w:before="0" w:after="40"/>
              <w:jc w:val="start"/>
              <w:rPr/>
            </w:pPr>
            <w:r>
              <w:rPr>
                <w:sz w:val="19"/>
              </w:rPr>
              <w:t>Hashes detect byte identity only; they create no authorship, authenticity, consent, standing, release authority, claim closure, or independent corroboration.</w:t>
            </w:r>
          </w:p>
        </w:tc>
      </w:tr>
      <w:tr>
        <w:trPr/>
        <w:tc>
          <w:tcPr>
            <w:tcW w:w="2621" w:type="dxa"/>
            <w:tcBorders/>
            <w:vAlign w:val="top"/>
          </w:tcPr>
          <w:p>
            <w:pPr>
              <w:pStyle w:val="Normal"/>
              <w:widowControl/>
              <w:bidi w:val="0"/>
              <w:spacing w:lineRule="auto" w:line="240" w:before="0" w:after="40"/>
              <w:jc w:val="start"/>
              <w:rPr/>
            </w:pPr>
            <w:r>
              <w:rPr>
                <w:sz w:val="19"/>
              </w:rPr>
              <w:t>Reopening/change route</w:t>
            </w:r>
          </w:p>
        </w:tc>
        <w:tc>
          <w:tcPr>
            <w:tcW w:w="6739" w:type="dxa"/>
            <w:tcBorders/>
            <w:vAlign w:val="top"/>
          </w:tcPr>
          <w:p>
            <w:pPr>
              <w:pStyle w:val="Normal"/>
              <w:widowControl/>
              <w:bidi w:val="0"/>
              <w:spacing w:lineRule="auto" w:line="240" w:before="0" w:after="40"/>
              <w:jc w:val="start"/>
              <w:rPr/>
            </w:pPr>
            <w:r>
              <w:rPr>
                <w:sz w:val="19"/>
              </w:rPr>
              <w:t>Any material change appends a PAL v2.3-L decision/obligation record and PAL v2.3-T regression evidence under the earliest named route. Prior bytes and failed receipts remain immutable.</w:t>
            </w:r>
          </w:p>
        </w:tc>
      </w:tr>
      <w:tr>
        <w:trPr/>
        <w:tc>
          <w:tcPr>
            <w:tcW w:w="2621" w:type="dxa"/>
            <w:tcBorders/>
            <w:vAlign w:val="top"/>
            <w:shd w:fill="F7F9FB"/>
          </w:tcPr>
          <w:p>
            <w:pPr>
              <w:pStyle w:val="Normal"/>
              <w:widowControl/>
              <w:bidi w:val="0"/>
              <w:spacing w:lineRule="auto" w:line="240" w:before="0" w:after="40"/>
              <w:jc w:val="start"/>
              <w:rPr/>
            </w:pPr>
            <w:r>
              <w:rPr>
                <w:sz w:val="19"/>
              </w:rPr>
              <w:t>Assistance trace</w:t>
            </w:r>
          </w:p>
        </w:tc>
        <w:tc>
          <w:tcPr>
            <w:tcW w:w="6739" w:type="dxa"/>
            <w:tcBorders/>
            <w:vAlign w:val="top"/>
            <w:shd w:fill="F7F9FB"/>
          </w:tcPr>
          <w:p>
            <w:pPr>
              <w:pStyle w:val="Normal"/>
              <w:widowControl/>
              <w:bidi w:val="0"/>
              <w:spacing w:lineRule="auto" w:line="240" w:before="0" w:after="40"/>
              <w:jc w:val="start"/>
              <w:rPr/>
            </w:pPr>
            <w:r>
              <w:rPr>
                <w:sz w:val="19"/>
              </w:rPr>
              <w:t>OpenAI ChatGPT/Codex supplied the disclosed tool assistance under Christopher D. Pang’s direction. Unadopted output is not PAL; AI output and internal testing are not independent corroboration.</w:t>
            </w:r>
          </w:p>
        </w:tc>
      </w:tr>
    </w:tbl>
    <w:p>
      <w:pPr>
        <w:pStyle w:val="Normal"/>
        <w:keepNext/>
        <w:keepLines/>
        <w:widowControl/>
        <w:bidi w:val="0"/>
        <w:spacing w:lineRule="auto" w:line="300" w:before="0" w:after="120"/>
        <w:jc w:val="start"/>
        <w:rPr/>
      </w:pPr>
      <w:r>
        <w:rPr/>
        <w:t>This component is authoritative only within the role stated above. Later evidence appends a linked record; it does not rewrite this release or enlarge its authority.</w:t>
      </w:r>
    </w:p>
    <w:sectPr>
      <w:headerReference w:type="default" r:id="rId41"/>
      <w:headerReference w:type="first" r:id="rId42"/>
      <w:footerReference w:type="default" r:id="rId43"/>
      <w:footerReference w:type="first" r:id="rId44"/>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Calibri" w:hAnsi="Calibri"/>
        <w:color w:val="5A626C"/>
        <w:sz w:val="16"/>
      </w:rPr>
      <w:t xml:space="preserve">Page </w:t>
    </w:r>
    <w:r>
      <w:rPr>
        <w:rFonts w:ascii="Calibri" w:hAnsi="Calibri"/>
        <w:color w:val="5A626C"/>
        <w:sz w:val="16"/>
      </w:rPr>
      <w:fldChar w:fldCharType="begin"/>
    </w:r>
    <w:r>
      <w:rPr>
        <w:rFonts w:ascii="Calibri" w:hAnsi="Calibri"/>
        <w:color w:val="5A626C"/>
        <w:sz w:val="16"/>
      </w:rPr>
      <w:instrText xml:space="preserve"> PAGE </w:instrText>
    </w:r>
    <w:r>
      <w:rPr>
        <w:rFonts w:ascii="Calibri" w:hAnsi="Calibri"/>
        <w:color w:val="5A626C"/>
        <w:sz w:val="16"/>
      </w:rPr>
      <w:fldChar w:fldCharType="separate"/>
    </w:r>
    <w:r>
      <w:rPr>
        <w:rFonts w:ascii="Calibri" w:hAnsi="Calibri"/>
        <w:color w:val="5A626C"/>
        <w:sz w:val="16"/>
      </w:rPr>
      <w:t>74</w:t>
    </w:r>
    <w:r>
      <w:rPr>
        <w:rFonts w:ascii="Calibri" w:hAnsi="Calibri"/>
        <w:color w:val="5A626C"/>
        <w:sz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Fonts w:ascii="Calibri" w:hAnsi="Calibri"/>
        <w:color w:val="464E58"/>
        <w:sz w:val="17"/>
      </w:rPr>
      <w:t>PAL V2.3-T  |  CONFORMANCE TESTS  |  DOI 10.5281/zenodo.22240134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00" w:before="0" w:after="120"/>
      <w:jc w:val="start"/>
    </w:pPr>
    <w:rPr>
      <w:rFonts w:ascii="Calibri" w:hAnsi="Calibri" w:eastAsia="Calibri"/>
      <w:color w:val="1F2933"/>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lineRule="auto" w:line="240" w:before="360" w:after="200"/>
      <w:outlineLvl w:val="0"/>
    </w:pPr>
    <w:rPr>
      <w:rFonts w:ascii="Calibri" w:hAnsi="Calibri" w:eastAsia="ＭＳ ゴシック" w:cs="DejaVu Sans"/>
      <w:b/>
      <w:bCs/>
      <w:color w:val="2E74B5"/>
      <w:sz w:val="32"/>
      <w:szCs w:val="28"/>
    </w:rPr>
  </w:style>
  <w:style w:type="paragraph" w:styleId="Heading2">
    <w:name w:val="heading 2"/>
    <w:basedOn w:val="Normal"/>
    <w:next w:val="Normal"/>
    <w:link w:val="Heading2Char"/>
    <w:qFormat/>
    <w:pPr>
      <w:keepNext w:val="true"/>
      <w:keepLines/>
      <w:numPr>
        <w:ilvl w:val="0"/>
        <w:numId w:val="0"/>
      </w:numPr>
      <w:spacing w:lineRule="auto" w:line="240" w:before="280" w:after="140"/>
      <w:outlineLvl w:val="1"/>
    </w:pPr>
    <w:rPr>
      <w:rFonts w:ascii="Calibri" w:hAnsi="Calibri" w:eastAsia="ＭＳ ゴシック" w:cs="DejaVu Sans"/>
      <w:b/>
      <w:bCs/>
      <w:color w:val="2E74B5"/>
      <w:sz w:val="26"/>
      <w:szCs w:val="26"/>
    </w:rPr>
  </w:style>
  <w:style w:type="paragraph" w:styleId="Heading3">
    <w:name w:val="heading 3"/>
    <w:basedOn w:val="Normal"/>
    <w:next w:val="Normal"/>
    <w:link w:val="Heading3Char"/>
    <w:qFormat/>
    <w:pPr>
      <w:keepNext w:val="true"/>
      <w:keepLines/>
      <w:numPr>
        <w:ilvl w:val="0"/>
        <w:numId w:val="0"/>
      </w:numPr>
      <w:spacing w:lineRule="auto" w:line="240" w:before="200" w:after="100"/>
      <w:outlineLvl w:val="2"/>
    </w:pPr>
    <w:rPr>
      <w:rFonts w:ascii="Calibri" w:hAnsi="Calibri" w:eastAsia="ＭＳ ゴシック" w:cs="DejaVu Sans"/>
      <w:b/>
      <w:bCs/>
      <w:color w:val="1F4D78"/>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Bullet20Symbols">
    <w:name w:val="Bullet_20_Symbols"/>
    <w:qFormat/>
    <w:rPr/>
  </w:style>
  <w:style w:type="character" w:styleId="Definition">
    <w:name w:val="Definition"/>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pPr>
      <w:spacing w:before="0" w:after="120"/>
    </w:pPr>
    <w:rPr>
      <w:rFonts w:ascii="Calibri" w:hAnsi="Calibri" w:eastAsia="Calibri"/>
      <w:lang w:val="en-US"/>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before="80" w:after="80"/>
    </w:pPr>
    <w:rPr>
      <w:rFonts w:ascii="Calibri" w:hAnsi="Calibri"/>
      <w:b w:val="false"/>
      <w:bCs/>
      <w:color w:val="5F6B76"/>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80"/>
      <w:contextualSpacing/>
    </w:pPr>
    <w:rPr>
      <w:rFonts w:ascii="Calibri" w:hAnsi="Calibri" w:eastAsia="ＭＳ ゴシック" w:cs="DejaVu Sans"/>
      <w:b/>
      <w:color w:val="000000"/>
      <w:spacing w:val="5"/>
      <w:kern w:val="2"/>
      <w:sz w:val="48"/>
      <w:szCs w:val="52"/>
    </w:rPr>
  </w:style>
  <w:style w:type="paragraph" w:styleId="Subtitle">
    <w:name w:val="Subtitle"/>
    <w:basedOn w:val="Normal"/>
    <w:next w:val="Normal"/>
    <w:link w:val="SubtitleChar"/>
    <w:qFormat/>
    <w:pPr>
      <w:spacing w:lineRule="auto" w:line="264" w:before="0" w:after="280"/>
    </w:pPr>
    <w:rPr>
      <w:rFonts w:ascii="Calibri" w:hAnsi="Calibri" w:eastAsia="ＭＳ ゴシック" w:cs="DejaVu Sans"/>
      <w:b w:val="false"/>
      <w:i/>
      <w:iCs/>
      <w:color w:val="5F6B76"/>
      <w:spacing w:val="15"/>
      <w:sz w:val="26"/>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LeadCallout">
    <w:name w:val="Lead Callout"/>
    <w:basedOn w:val="Normal"/>
    <w:qFormat/>
    <w:pPr>
      <w:spacing w:lineRule="auto" w:line="288" w:before="160" w:after="200"/>
      <w:ind w:start="259" w:end="173"/>
    </w:pPr>
    <w:rPr>
      <w:rFonts w:ascii="Calibri" w:hAnsi="Calibri"/>
      <w:b/>
      <w:color w:val="1F4D78"/>
      <w:sz w:val="23"/>
    </w:rPr>
  </w:style>
  <w:style w:type="paragraph" w:styleId="SmallText">
    <w:name w:val="Small Text"/>
    <w:basedOn w:val="Normal"/>
    <w:qFormat/>
    <w:pPr>
      <w:spacing w:lineRule="auto" w:line="264" w:before="0" w:after="80"/>
    </w:pPr>
    <w:rPr>
      <w:rFonts w:ascii="Calibri" w:hAnsi="Calibri"/>
      <w:color w:val="5F6B76"/>
      <w:sz w:val="19"/>
    </w:rPr>
  </w:style>
  <w:style w:type="paragraph" w:styleId="CodeBlock">
    <w:name w:val="Code Block"/>
    <w:basedOn w:val="Normal"/>
    <w:qFormat/>
    <w:pPr>
      <w:spacing w:lineRule="auto" w:line="264" w:before="80" w:after="160"/>
      <w:ind w:start="288" w:end="144"/>
    </w:pPr>
    <w:rPr>
      <w:rFonts w:ascii="Consolas" w:hAnsi="Consolas"/>
      <w:color w:val="1F2933"/>
      <w:sz w:val="19"/>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281/zenodo.21635188" TargetMode="External"/><Relationship Id="rId3" Type="http://schemas.openxmlformats.org/officeDocument/2006/relationships/hyperlink" Target="https://doi.org/10.5281/zenodo.21911684" TargetMode="External"/><Relationship Id="rId4" Type="http://schemas.openxmlformats.org/officeDocument/2006/relationships/hyperlink" Target="https://doi.org/10.5281/zenodo.21760884" TargetMode="External"/><Relationship Id="rId5" Type="http://schemas.openxmlformats.org/officeDocument/2006/relationships/hyperlink" Target="https://doi.org/10.5281/zenodo.21760893" TargetMode="External"/><Relationship Id="rId6" Type="http://schemas.openxmlformats.org/officeDocument/2006/relationships/hyperlink" Target="https://doi.org/10.5281/zenodo.21891598" TargetMode="External"/><Relationship Id="rId7" Type="http://schemas.openxmlformats.org/officeDocument/2006/relationships/hyperlink" Target="https://doi.org/10.4171/DM/151" TargetMode="External"/><Relationship Id="rId8" Type="http://schemas.openxmlformats.org/officeDocument/2006/relationships/hyperlink" Target="https://doi.org/10.1016/0022-0000(89)90034-2" TargetMode="External"/><Relationship Id="rId9" Type="http://schemas.openxmlformats.org/officeDocument/2006/relationships/hyperlink" Target="https://doi.org/10.1007/BF02924844" TargetMode="External"/><Relationship Id="rId10" Type="http://schemas.openxmlformats.org/officeDocument/2006/relationships/hyperlink" Target="https://doi.org/10.1017/S0305004100074338" TargetMode="External"/><Relationship Id="rId11" Type="http://schemas.openxmlformats.org/officeDocument/2006/relationships/hyperlink" Target="https://doi.org/10.1016/0304-3975(87)90045-4" TargetMode="External"/><Relationship Id="rId12" Type="http://schemas.openxmlformats.org/officeDocument/2006/relationships/hyperlink" Target="https://doi.org/10.1145/1265530.1265535" TargetMode="External"/><Relationship Id="rId13" Type="http://schemas.openxmlformats.org/officeDocument/2006/relationships/hyperlink" Target="https://doi.org/10.1090/S0002-9939-1958-0135681-9" TargetMode="External"/><Relationship Id="rId14" Type="http://schemas.openxmlformats.org/officeDocument/2006/relationships/hyperlink" Target="https://doi.org/10.1016/0304-3975(91)90041-Y" TargetMode="External"/><Relationship Id="rId15" Type="http://schemas.openxmlformats.org/officeDocument/2006/relationships/hyperlink" Target="https://doi.org/10.1016/0004-3702(79)90008-0" TargetMode="External"/><Relationship Id="rId16" Type="http://schemas.openxmlformats.org/officeDocument/2006/relationships/hyperlink" Target="https://doi.org/10.1007/s41468-019-00038-7" TargetMode="External"/><Relationship Id="rId17" Type="http://schemas.openxmlformats.org/officeDocument/2006/relationships/hyperlink" Target="https://doi.org/10.1051/cocv:2008008" TargetMode="External"/><Relationship Id="rId18" Type="http://schemas.openxmlformats.org/officeDocument/2006/relationships/hyperlink" Target="https://doi.org/10.1016/S0049-237X(08)71945-1" TargetMode="External"/><Relationship Id="rId19" Type="http://schemas.openxmlformats.org/officeDocument/2006/relationships/hyperlink" Target="https://doi.org/10.1103/PhysRevA.40.4277" TargetMode="External"/><Relationship Id="rId20" Type="http://schemas.openxmlformats.org/officeDocument/2006/relationships/hyperlink" Target="https://doi.org/10.1016/S0375-9601(96)00706-2" TargetMode="External"/><Relationship Id="rId21" Type="http://schemas.openxmlformats.org/officeDocument/2006/relationships/hyperlink" Target="https://doi.org/10.1103/PhysicsPhysiqueFizika.1.195" TargetMode="External"/><Relationship Id="rId22" Type="http://schemas.openxmlformats.org/officeDocument/2006/relationships/hyperlink" Target="https://doi.org/10.1016/j.ic.2016.02.008" TargetMode="External"/><Relationship Id="rId23" Type="http://schemas.openxmlformats.org/officeDocument/2006/relationships/hyperlink" Target="https://doi.org/10.1017/S0960129515000444" TargetMode="External"/><Relationship Id="rId24" Type="http://schemas.openxmlformats.org/officeDocument/2006/relationships/hyperlink" Target="https://doi.org/10.1007/s001650200016" TargetMode="External"/><Relationship Id="rId25" Type="http://schemas.openxmlformats.org/officeDocument/2006/relationships/hyperlink" Target="https://doi.org/10.1017/CBO9781139084673" TargetMode="External"/><Relationship Id="rId26" Type="http://schemas.openxmlformats.org/officeDocument/2006/relationships/hyperlink" Target="https://doi.org/10.1007/BFb0053567" TargetMode="External"/><Relationship Id="rId27" Type="http://schemas.openxmlformats.org/officeDocument/2006/relationships/hyperlink" Target="https://doi.org/10.1145/177492.177726" TargetMode="External"/><Relationship Id="rId28" Type="http://schemas.openxmlformats.org/officeDocument/2006/relationships/hyperlink" Target="https://doi.org/10.48550/arXiv.math/0408107" TargetMode="External"/><Relationship Id="rId29" Type="http://schemas.openxmlformats.org/officeDocument/2006/relationships/hyperlink" Target="https://doi.org/10.48550/arXiv.math/0508201" TargetMode="External"/><Relationship Id="rId30" Type="http://schemas.openxmlformats.org/officeDocument/2006/relationships/hyperlink" Target="https://doi.org/10.48550/arXiv.2110.01111" TargetMode="External"/><Relationship Id="rId31" Type="http://schemas.openxmlformats.org/officeDocument/2006/relationships/hyperlink" Target="https://doi.org/10.1007/BFb0030680" TargetMode="External"/><Relationship Id="rId32" Type="http://schemas.openxmlformats.org/officeDocument/2006/relationships/hyperlink" Target="https://doi.org/10.5281/zenodo.21923290" TargetMode="External"/><Relationship Id="rId33" Type="http://schemas.openxmlformats.org/officeDocument/2006/relationships/hyperlink" Target="https://doi.org/10.5281/zenodo.21950771" TargetMode="External"/><Relationship Id="rId34" Type="http://schemas.openxmlformats.org/officeDocument/2006/relationships/hyperlink" Target="https://doi.org/10.5281/zenodo.22214952" TargetMode="External"/><Relationship Id="rId35" Type="http://schemas.openxmlformats.org/officeDocument/2006/relationships/hyperlink" Target="https://doi.org/10.5281/zenodo.22225414" TargetMode="External"/><Relationship Id="rId36" Type="http://schemas.openxmlformats.org/officeDocument/2006/relationships/hyperlink" Target="https://doi.org/10.5281/zenodo.22228162" TargetMode="External"/><Relationship Id="rId37" Type="http://schemas.openxmlformats.org/officeDocument/2006/relationships/hyperlink" Target="https://doi.org/10.5281/zenodo.22236848" TargetMode="External"/><Relationship Id="rId38" Type="http://schemas.openxmlformats.org/officeDocument/2006/relationships/hyperlink" Target="https://doi.org/10.5281/zenodo.22238012" TargetMode="External"/><Relationship Id="rId39" Type="http://schemas.openxmlformats.org/officeDocument/2006/relationships/hyperlink" Target="https://doi.org/10.5281/zenodo.22239108" TargetMode="External"/><Relationship Id="rId40" Type="http://schemas.openxmlformats.org/officeDocument/2006/relationships/hyperlink" Target="https://creativecommons.org/licenses/by/4.0/" TargetMode="Externa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2026-09-02T12:00:00Z</dcterms:created>
  <dc:creator>Christopher D. Pang</dc:creator>
  <dc:description>Author release; not peer reviewed. CC BY 4.0. DOI 10.5281/zenodo.22240134. AI assistance is disclosed in the document; AI tools are not authors or release authorities.</dc:description>
  <cp:keywords>PAL, Primitive Axiom Layers, v2.3, mathematical realization, conformance</cp:keywords>
  <dc:language>en-US</dc:language>
  <cp:lastModifiedBy>Christopher D. Pang</cp:lastModifiedBy>
  <dcterms:modified xsi:type="dcterms:W3CDTF">2026-09-02T12:00:00Z</dcterms:modified>
  <cp:revision>0</cp:revision>
  <dc:subject>PAL v2.3 coordinated author release</dc:subject>
  <dc:title>PAL v2.3 — Primitive Axiom Layers: Conformance Tests</dc:title>
</cp:coreProperties>
</file>