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A99B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PAL v2.3 Spine at a Glance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72"/>
        <w:gridCol w:w="2719"/>
        <w:gridCol w:w="606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1BF2DD2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47A95F8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Mechanical capability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5357D3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Minimal required witness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15839C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Ω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7506C9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Unresolved possibility remains nameable but formally unconsumed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6AABFD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 internal witness; A0’s first positive witness must be supplied, never derived from Ω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538312C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3325B5C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first supplied cut admitted within one declared account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42EC818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Supplied cut witness with account, scope, admission basis, cost, CUT-role BoundaryRef, cut/receipt identity, and provenance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45CA73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Ω*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212447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Cut-indexed reflection kept distinct from A0 without making either side readable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6D9A4B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Declared reflection, exchange, complement, involution, or other cut-dependent symmetry witness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1D7BB0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4927E9C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Trace-bearing turn: orientation changes without yet becoming readable or persistent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1685191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Declared turn, action, path, phase change, or orientation transition with predecessor reference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5327B8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4E1B910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Readable oriented distinction, inheriting orientation from 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37DBAE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Positive-separation readout, or a sound decoder yielding the same structure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7DC4B97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719029C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Recoverable consequence and occurrence receipt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4E53832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Trace store, address policy, protected occurrence, update edge, successful lookup, and receipt identity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2DE5653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5061164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Typed retained relation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6DCFC37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Admitted relation witness, or protected derivation with resolved endpoint types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699E78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A4 / SOOP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3310BC4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Identity through budgeted lawful transport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2BDBBD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Transport maps, protected observations, comparison law, debt structure, edge bounds, and coherence certificates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1B350C4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A5 / SORE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4464DB2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Retained feedback dependence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67453A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State, output, readout, update law, comparison domain, output lineage, and nonconstant-dependence certificate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440E03E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A6 / SOSA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51A0379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Scoped viable or stable organization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4527F0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Explicitly typed proof of invariance, viability, or stability for an inhabited candidate region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0B465F6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0B2EAB7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Organization-relative access routing and refresh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1A25C21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Access instance, root and parent receipts, protected queries, route operation, reconstruction rule, and burden account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23DBBF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A8 / SIA–SPLAT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2058D86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Route-caused organizational response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380977C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Route-to-effect map, margin, update law, causal-significance rule, thresholds, hysteresis, units, and horizon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68D216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A9 / χ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5041F78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Task-relative center of influence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46A7F58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Task observation, continuation domain, equivalence or sufficiency rule, nontrivial work, and valid decoder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116AAD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19E89CF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Partial comparison among earned centers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6AD7D81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Frame identities, partial map or common span, composition domain, comparator, operation order, tie band, and provenance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29B9CE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3844B1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Coupling and doctrine-relative jointness as coequal typed families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0A0582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Coupling structure or jointness certificate with its complete declared witness; a combined claim requires both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6EB45D5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7633B0B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One-token authority-safe route re-entry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261B17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Token identity, checkpoint, consume/emit rule, replay cache, stale-token rule, and mutually exclusive outcomes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78D213D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23719B0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Certified cadence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68AFEF6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Well-founded rank decreasing on every nonterminal return, or temporal acceptance with explicit fairness assumptions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3B692F5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00B2D5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Cadence-relative quantitative slack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3A398C8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Constraint, ordered codomain and units, CONSTRAINT-role zero, uncertainty interval, evaluator, and predeclared tolerance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2" w:type="dxa"/>
            <w:vAlign w:val="center"/>
          </w:tcPr>
          <w:p w14:paraId="289C3E9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A15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19" w:type="dxa"/>
            <w:vAlign w:val="center"/>
          </w:tcPr>
          <w:p w14:paraId="43B958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Scoped receipt and reopenable closure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63" w:type="dxa"/>
            <w:vAlign w:val="center"/>
          </w:tcPr>
          <w:p w14:paraId="4C5CD23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Claim, typed checker, proof or invariant, versioned dependencies, scope, authority, tolerance, residual set, and invalidation rule; route closure also requires transition and budget semantics</w:t>
            </w:r>
            <w:r/>
          </w:p>
        </w:tc>
      </w:tr>
    </w:tbl>
    <w:p w14:paraId="3DE26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A15 returns only </w:t>
      </w:r>
      <w:r>
        <w:rPr>
          <w:rFonts w:ascii="Courier New" w:hAnsi="Courier New" w:eastAsia="Courier New" w:cs="Courier New"/>
          <w:color w:val="000000"/>
          <w:sz w:val="20"/>
        </w:rPr>
        <w:t xml:space="preserve">CLOSED_IN_SCOPE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OPEN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UNRESOLVED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Courier New" w:hAnsi="Courier New" w:eastAsia="Courier New" w:cs="Courier New"/>
          <w:color w:val="000000"/>
          <w:sz w:val="20"/>
        </w:rPr>
        <w:t xml:space="preserve">REOPENED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Reopening appends history and preserves the former receipt; it never resets the account to Ω.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2026-09-15T16:48:51Z</dcterms:modified>
</cp:coreProperties>
</file>