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04E" w:rsidRDefault="00BE678B" w:rsidP="00BE678B">
      <w:pPr>
        <w:pStyle w:val="Heading1"/>
        <w:rPr>
          <w:b/>
        </w:rPr>
      </w:pPr>
      <w:r w:rsidRPr="00BE678B">
        <w:rPr>
          <w:b/>
          <w:lang w:val="sr-Cyrl-RS"/>
        </w:rPr>
        <w:t xml:space="preserve">Анализа </w:t>
      </w:r>
      <w:r w:rsidR="001248A5">
        <w:rPr>
          <w:b/>
          <w:lang w:val="sr-Cyrl-RS"/>
        </w:rPr>
        <w:t>трговине</w:t>
      </w:r>
      <w:r w:rsidRPr="00BE678B">
        <w:rPr>
          <w:b/>
          <w:lang w:val="sr-Cyrl-RS"/>
        </w:rPr>
        <w:t xml:space="preserve"> криптовалута</w:t>
      </w:r>
      <w:r w:rsidR="001248A5">
        <w:rPr>
          <w:b/>
          <w:lang w:val="sr-Cyrl-RS"/>
        </w:rPr>
        <w:t>ма</w:t>
      </w:r>
      <w:r w:rsidRPr="00BE678B">
        <w:rPr>
          <w:b/>
          <w:lang w:val="sr-Cyrl-RS"/>
        </w:rPr>
        <w:t xml:space="preserve"> на сајту </w:t>
      </w:r>
      <w:r w:rsidRPr="00BE678B">
        <w:rPr>
          <w:b/>
        </w:rPr>
        <w:t>Binance</w:t>
      </w:r>
    </w:p>
    <w:p w:rsidR="00BE678B" w:rsidRDefault="00F64C24" w:rsidP="00F64C24">
      <w:pPr>
        <w:rPr>
          <w:lang w:val="sr-Cyrl-RS"/>
        </w:rPr>
      </w:pPr>
      <w:r>
        <w:rPr>
          <w:lang w:val="sr-Cyrl-RS"/>
        </w:rPr>
        <w:t xml:space="preserve">Брза еволуција тржишта криптовалута привукла </w:t>
      </w:r>
      <w:r>
        <w:t xml:space="preserve">je </w:t>
      </w:r>
      <w:r>
        <w:rPr>
          <w:lang w:val="sr-Cyrl-RS"/>
        </w:rPr>
        <w:t xml:space="preserve">огромну пажњу све већег броја људи који свакодневно активно учествују у куповини и размени </w:t>
      </w:r>
      <w:r w:rsidR="001248A5">
        <w:rPr>
          <w:lang w:val="sr-Cyrl-RS"/>
        </w:rPr>
        <w:t>валута. Стални раст вредности криптовалута, иновацију у блокчејн технологији</w:t>
      </w:r>
      <w:r w:rsidR="001620FD">
        <w:rPr>
          <w:lang w:val="sr-Cyrl-RS"/>
        </w:rPr>
        <w:t xml:space="preserve">, као и појава нових, напредних платформи за трговину додатно су убрзали овај тренд. </w:t>
      </w:r>
    </w:p>
    <w:p w:rsidR="001620FD" w:rsidRPr="00467845" w:rsidRDefault="001620FD" w:rsidP="00F64C24">
      <w:r>
        <w:rPr>
          <w:lang w:val="sr-Cyrl-RS"/>
        </w:rPr>
        <w:t>У светлу експанзије</w:t>
      </w:r>
      <w:r>
        <w:t xml:space="preserve"> </w:t>
      </w:r>
      <w:r>
        <w:rPr>
          <w:lang w:val="sr-Cyrl-RS"/>
        </w:rPr>
        <w:t xml:space="preserve">блокчејн технологија, почеле су се појављивати платформе за трговину криптовалутама, као што су </w:t>
      </w:r>
      <w:r w:rsidRPr="001620FD">
        <w:rPr>
          <w:b/>
          <w:i/>
        </w:rPr>
        <w:t>Binance</w:t>
      </w:r>
      <w:r>
        <w:t xml:space="preserve"> </w:t>
      </w:r>
      <w:r>
        <w:rPr>
          <w:lang w:val="sr-Cyrl-RS"/>
        </w:rPr>
        <w:t xml:space="preserve">и </w:t>
      </w:r>
      <w:r w:rsidRPr="001620FD">
        <w:rPr>
          <w:b/>
          <w:i/>
        </w:rPr>
        <w:t>Coinbase</w:t>
      </w:r>
      <w:r>
        <w:rPr>
          <w:lang w:val="sr-Cyrl-RS"/>
        </w:rPr>
        <w:t xml:space="preserve"> које омогућавају корисницима да купују, продају и размењују криптовалуте без посредника, попут банака или финансијских институција. </w:t>
      </w:r>
      <w:r w:rsidRPr="001620FD">
        <w:rPr>
          <w:b/>
          <w:i/>
        </w:rPr>
        <w:t>Binance</w:t>
      </w:r>
      <w:r>
        <w:t>, je</w:t>
      </w:r>
      <w:r>
        <w:rPr>
          <w:lang w:val="sr-Cyrl-RS"/>
        </w:rPr>
        <w:t xml:space="preserve">дна од највећих мењачница криптовалута, </w:t>
      </w:r>
      <w:r w:rsidR="00467845">
        <w:rPr>
          <w:lang w:val="sr-Cyrl-RS"/>
        </w:rPr>
        <w:t xml:space="preserve">у периоду од 2021. до 2023. године увећала је број корисника за око 100 милиона, што говори о све већем броју учешћу људи у размени криптовалута, као и о све већем броју трансакција које се догоде у току једног дана. </w:t>
      </w:r>
    </w:p>
    <w:p w:rsidR="00467845" w:rsidRPr="001620FD" w:rsidRDefault="00467845" w:rsidP="00F64C24">
      <w:pPr>
        <w:rPr>
          <w:lang w:val="sr-Cyrl-RS"/>
        </w:rPr>
      </w:pPr>
      <w:r>
        <w:rPr>
          <w:noProof/>
          <w:lang w:val="sr-Cyrl-RS"/>
        </w:rPr>
        <w:drawing>
          <wp:anchor distT="0" distB="0" distL="114300" distR="114300" simplePos="0" relativeHeight="251658240" behindDoc="0" locked="0" layoutInCell="1" allowOverlap="1">
            <wp:simplePos x="0" y="0"/>
            <wp:positionH relativeFrom="margin">
              <wp:align>center</wp:align>
            </wp:positionH>
            <wp:positionV relativeFrom="paragraph">
              <wp:posOffset>107962</wp:posOffset>
            </wp:positionV>
            <wp:extent cx="4269740" cy="2613660"/>
            <wp:effectExtent l="0" t="0" r="16510" b="1524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1620FD" w:rsidRDefault="001620FD"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467845" w:rsidP="00F64C24">
      <w:pPr>
        <w:rPr>
          <w:lang w:val="sr-Cyrl-RS"/>
        </w:rPr>
      </w:pPr>
    </w:p>
    <w:p w:rsidR="00467845" w:rsidRDefault="0052289D" w:rsidP="0052289D">
      <w:pPr>
        <w:rPr>
          <w:lang w:val="sr-Cyrl-RS"/>
        </w:rPr>
      </w:pPr>
      <w:r>
        <w:rPr>
          <w:noProof/>
        </w:rPr>
        <mc:AlternateContent>
          <mc:Choice Requires="wps">
            <w:drawing>
              <wp:anchor distT="0" distB="0" distL="114300" distR="114300" simplePos="0" relativeHeight="251660288" behindDoc="0" locked="0" layoutInCell="1" allowOverlap="1" wp14:anchorId="325A2E3C" wp14:editId="48AC871E">
                <wp:simplePos x="0" y="0"/>
                <wp:positionH relativeFrom="margin">
                  <wp:align>center</wp:align>
                </wp:positionH>
                <wp:positionV relativeFrom="paragraph">
                  <wp:posOffset>116589</wp:posOffset>
                </wp:positionV>
                <wp:extent cx="3018790" cy="27559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018790" cy="275590"/>
                        </a:xfrm>
                        <a:prstGeom prst="rect">
                          <a:avLst/>
                        </a:prstGeom>
                        <a:solidFill>
                          <a:prstClr val="white"/>
                        </a:solidFill>
                        <a:ln>
                          <a:noFill/>
                        </a:ln>
                      </wps:spPr>
                      <wps:txbx>
                        <w:txbxContent>
                          <w:p w:rsidR="003D2373" w:rsidRPr="00467845" w:rsidRDefault="003D2373" w:rsidP="00467845">
                            <w:pPr>
                              <w:pStyle w:val="Caption"/>
                              <w:rPr>
                                <w:noProof/>
                                <w:sz w:val="18"/>
                                <w:lang w:val="sr-Cyrl-RS"/>
                              </w:rPr>
                            </w:pPr>
                            <w:r w:rsidRPr="00467845">
                              <w:rPr>
                                <w:sz w:val="18"/>
                                <w:lang w:val="sr-Cyrl-RS"/>
                              </w:rPr>
                              <w:t xml:space="preserve">Фигура 1:  Годишњи број корисника </w:t>
                            </w:r>
                            <w:r w:rsidRPr="00467845">
                              <w:rPr>
                                <w:sz w:val="18"/>
                              </w:rPr>
                              <w:t xml:space="preserve">Binance </w:t>
                            </w:r>
                            <w:r w:rsidRPr="00467845">
                              <w:rPr>
                                <w:sz w:val="18"/>
                                <w:lang w:val="sr-Cyrl-RS"/>
                              </w:rPr>
                              <w:t>платформе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5A2E3C" id="_x0000_t202" coordsize="21600,21600" o:spt="202" path="m,l,21600r21600,l21600,xe">
                <v:stroke joinstyle="miter"/>
                <v:path gradientshapeok="t" o:connecttype="rect"/>
              </v:shapetype>
              <v:shape id="Text Box 2" o:spid="_x0000_s1026" type="#_x0000_t202" style="position:absolute;left:0;text-align:left;margin-left:0;margin-top:9.2pt;width:237.7pt;height:21.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" stroked="f">
                <v:textbox inset="0,0,0,0">
                  <w:txbxContent>
                    <w:p w:rsidR="003D2373" w:rsidRPr="00467845" w:rsidRDefault="003D2373" w:rsidP="00467845">
                      <w:pPr>
                        <w:pStyle w:val="Caption"/>
                        <w:rPr>
                          <w:noProof/>
                          <w:sz w:val="18"/>
                          <w:lang w:val="sr-Cyrl-RS"/>
                        </w:rPr>
                      </w:pPr>
                      <w:r w:rsidRPr="00467845">
                        <w:rPr>
                          <w:sz w:val="18"/>
                          <w:lang w:val="sr-Cyrl-RS"/>
                        </w:rPr>
                        <w:t xml:space="preserve">Фигура 1:  Годишњи број корисника </w:t>
                      </w:r>
                      <w:r w:rsidRPr="00467845">
                        <w:rPr>
                          <w:sz w:val="18"/>
                        </w:rPr>
                        <w:t xml:space="preserve">Binance </w:t>
                      </w:r>
                      <w:r w:rsidRPr="00467845">
                        <w:rPr>
                          <w:sz w:val="18"/>
                          <w:lang w:val="sr-Cyrl-RS"/>
                        </w:rPr>
                        <w:t>платформе</w:t>
                      </w:r>
                    </w:p>
                  </w:txbxContent>
                </v:textbox>
                <w10:wrap type="square" anchorx="margin"/>
              </v:shape>
            </w:pict>
          </mc:Fallback>
        </mc:AlternateContent>
      </w:r>
    </w:p>
    <w:p w:rsidR="0052289D" w:rsidRDefault="0052289D" w:rsidP="0052289D">
      <w:pPr>
        <w:rPr>
          <w:lang w:val="sr-Cyrl-RS"/>
        </w:rPr>
      </w:pPr>
    </w:p>
    <w:p w:rsidR="00281798" w:rsidRDefault="00467845" w:rsidP="00281798">
      <w:pPr>
        <w:rPr>
          <w:lang w:val="sr-Cyrl-RS"/>
        </w:rPr>
      </w:pPr>
      <w:r>
        <w:rPr>
          <w:lang w:val="sr-Cyrl-RS"/>
        </w:rPr>
        <w:t>Велики број трансакција у току једног дана</w:t>
      </w:r>
      <w:r w:rsidR="0052289D">
        <w:t xml:space="preserve">, </w:t>
      </w:r>
      <w:r w:rsidR="0052289D">
        <w:rPr>
          <w:lang w:val="sr-Cyrl-RS"/>
        </w:rPr>
        <w:t>природно, доводи до генерисања огромних количина података, чиме се стварају погодни услови за детаљну анализу, која је од користи како за трговце криптовалута, тако и за стручњаке у области финансија и блокчејн технологије. Анализом ових података могуће је пронаћи нове увиде у динамику тржишта криптовалута, идентификовати трендове и помоћи у процени будућег кретања цена, чиме се обезбеђују добре основе за доношење адекватних инвестиционих одлука.</w:t>
      </w:r>
    </w:p>
    <w:p w:rsidR="0052289D" w:rsidRDefault="0052289D" w:rsidP="00F64C24">
      <w:pPr>
        <w:rPr>
          <w:lang w:val="sr-Cyrl-RS"/>
        </w:rPr>
      </w:pPr>
      <w:r>
        <w:rPr>
          <w:lang w:val="sr-Cyrl-RS"/>
        </w:rPr>
        <w:t xml:space="preserve">Циљ овог пројекта је да се за скуп података о </w:t>
      </w:r>
      <w:r w:rsidR="00281798">
        <w:rPr>
          <w:lang w:val="sr-Cyrl-RS"/>
        </w:rPr>
        <w:t xml:space="preserve">трговини </w:t>
      </w:r>
      <w:r>
        <w:rPr>
          <w:lang w:val="sr-Cyrl-RS"/>
        </w:rPr>
        <w:t xml:space="preserve">криптовалута на </w:t>
      </w:r>
      <w:r w:rsidRPr="00281798">
        <w:rPr>
          <w:i/>
        </w:rPr>
        <w:t>Binance</w:t>
      </w:r>
      <w:r>
        <w:t xml:space="preserve"> </w:t>
      </w:r>
      <w:r>
        <w:rPr>
          <w:lang w:val="sr-Cyrl-RS"/>
        </w:rPr>
        <w:t xml:space="preserve">платформи, који датира од 2017. године до данас, пруже адекватни одговори на питања о </w:t>
      </w:r>
      <w:r w:rsidR="00281798">
        <w:rPr>
          <w:lang w:val="sr-Cyrl-RS"/>
        </w:rPr>
        <w:t xml:space="preserve">динамици тржишта криптовалута, као и да се уз анализу података прикуљених у реалном времену, са јавног </w:t>
      </w:r>
      <w:r w:rsidR="00281798">
        <w:t>API-</w:t>
      </w:r>
      <w:r w:rsidR="00281798">
        <w:rPr>
          <w:lang w:val="sr-Cyrl-RS"/>
        </w:rPr>
        <w:t xml:space="preserve">ја </w:t>
      </w:r>
      <w:r w:rsidR="00281798" w:rsidRPr="00281798">
        <w:rPr>
          <w:i/>
        </w:rPr>
        <w:t>Binance</w:t>
      </w:r>
      <w:r w:rsidR="00281798">
        <w:t xml:space="preserve"> </w:t>
      </w:r>
      <w:r w:rsidR="00281798">
        <w:rPr>
          <w:lang w:val="sr-Cyrl-RS"/>
        </w:rPr>
        <w:t>платформе, пружи асистенција у повлачењу интелигентних потеза приликом трговине.</w:t>
      </w:r>
    </w:p>
    <w:p w:rsidR="00281798" w:rsidRDefault="00281798" w:rsidP="00281798">
      <w:pPr>
        <w:pStyle w:val="Heading2"/>
        <w:rPr>
          <w:lang w:val="sr-Cyrl-RS"/>
        </w:rPr>
      </w:pPr>
      <w:r>
        <w:rPr>
          <w:lang w:val="sr-Cyrl-RS"/>
        </w:rPr>
        <w:lastRenderedPageBreak/>
        <w:t>Техничк</w:t>
      </w:r>
      <w:r w:rsidR="00507B4D">
        <w:rPr>
          <w:lang w:val="sr-Cyrl-RS"/>
        </w:rPr>
        <w:t>и детаљи</w:t>
      </w:r>
    </w:p>
    <w:p w:rsidR="00281798" w:rsidRPr="00281798" w:rsidRDefault="00507B4D" w:rsidP="00281798">
      <w:pPr>
        <w:rPr>
          <w:lang w:val="sr-Cyrl-RS"/>
        </w:rPr>
      </w:pPr>
      <w:r>
        <w:rPr>
          <w:lang w:val="sr-Cyrl-RS"/>
        </w:rPr>
        <w:t xml:space="preserve">У наредној секцији, приказани су технички детаљи који представљају кључне основе за разумевање скупа података као и за његову анализу. </w:t>
      </w:r>
    </w:p>
    <w:p w:rsidR="00281798" w:rsidRDefault="00281798" w:rsidP="00281798">
      <w:pPr>
        <w:pStyle w:val="Heading3"/>
      </w:pPr>
      <w:r>
        <w:rPr>
          <w:lang w:val="sr-Cyrl-RS"/>
        </w:rPr>
        <w:t xml:space="preserve">Свећњак (енгл. </w:t>
      </w:r>
      <w:r>
        <w:t>Candlestick)</w:t>
      </w:r>
    </w:p>
    <w:p w:rsidR="0010020C" w:rsidRDefault="0010020C" w:rsidP="0010020C">
      <w:pPr>
        <w:rPr>
          <w:lang w:val="sr-Cyrl-RS"/>
        </w:rPr>
      </w:pPr>
      <w:r>
        <w:rPr>
          <w:noProof/>
        </w:rPr>
        <w:drawing>
          <wp:anchor distT="0" distB="0" distL="114300" distR="114300" simplePos="0" relativeHeight="251662336" behindDoc="0" locked="0" layoutInCell="1" allowOverlap="1">
            <wp:simplePos x="0" y="0"/>
            <wp:positionH relativeFrom="column">
              <wp:posOffset>3262258</wp:posOffset>
            </wp:positionH>
            <wp:positionV relativeFrom="paragraph">
              <wp:posOffset>1615284</wp:posOffset>
            </wp:positionV>
            <wp:extent cx="1763395" cy="1763395"/>
            <wp:effectExtent l="0" t="0" r="0" b="8255"/>
            <wp:wrapThrough wrapText="bothSides">
              <wp:wrapPolygon edited="0">
                <wp:start x="10967" y="0"/>
                <wp:lineTo x="10501" y="933"/>
                <wp:lineTo x="10267" y="4200"/>
                <wp:lineTo x="8867" y="4200"/>
                <wp:lineTo x="8400" y="4900"/>
                <wp:lineTo x="8400" y="16334"/>
                <wp:lineTo x="9801" y="19134"/>
                <wp:lineTo x="10734" y="21468"/>
                <wp:lineTo x="12601" y="21468"/>
                <wp:lineTo x="12834" y="19601"/>
                <wp:lineTo x="14001" y="18434"/>
                <wp:lineTo x="14467" y="17034"/>
                <wp:lineTo x="13534" y="15401"/>
                <wp:lineTo x="13534" y="7934"/>
                <wp:lineTo x="14467" y="4200"/>
                <wp:lineTo x="12367" y="0"/>
                <wp:lineTo x="1096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63395" cy="1763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simplePos x="0" y="0"/>
            <wp:positionH relativeFrom="margin">
              <wp:posOffset>921732</wp:posOffset>
            </wp:positionH>
            <wp:positionV relativeFrom="paragraph">
              <wp:posOffset>1608455</wp:posOffset>
            </wp:positionV>
            <wp:extent cx="1764000" cy="1764000"/>
            <wp:effectExtent l="0" t="0" r="0" b="8255"/>
            <wp:wrapThrough wrapText="bothSides">
              <wp:wrapPolygon edited="0">
                <wp:start x="10967" y="0"/>
                <wp:lineTo x="10501" y="933"/>
                <wp:lineTo x="10034" y="4200"/>
                <wp:lineTo x="8634" y="4200"/>
                <wp:lineTo x="8167" y="4900"/>
                <wp:lineTo x="8167" y="16334"/>
                <wp:lineTo x="10734" y="21468"/>
                <wp:lineTo x="12601" y="21468"/>
                <wp:lineTo x="12834" y="19601"/>
                <wp:lineTo x="12601" y="19134"/>
                <wp:lineTo x="14234" y="17734"/>
                <wp:lineTo x="14467" y="16801"/>
                <wp:lineTo x="13067" y="15401"/>
                <wp:lineTo x="13067" y="7934"/>
                <wp:lineTo x="14467" y="4200"/>
                <wp:lineTo x="12367" y="0"/>
                <wp:lineTo x="10967"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4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798">
        <w:rPr>
          <w:lang w:val="sr-Cyrl-RS"/>
        </w:rPr>
        <w:t xml:space="preserve"> </w:t>
      </w:r>
      <w:r w:rsidR="00507B4D">
        <w:rPr>
          <w:lang w:val="sr-Cyrl-RS"/>
        </w:rPr>
        <w:t xml:space="preserve">У трговини криптовалутама, </w:t>
      </w:r>
      <w:r w:rsidR="00507B4D" w:rsidRPr="00554485">
        <w:rPr>
          <w:b/>
          <w:lang w:val="sr-Cyrl-RS"/>
        </w:rPr>
        <w:t>свећњак</w:t>
      </w:r>
      <w:r w:rsidR="00507B4D">
        <w:rPr>
          <w:lang w:val="sr-Cyrl-RS"/>
        </w:rPr>
        <w:t xml:space="preserve"> је врста финансијског графикона који се обично користи за представљање кретања цене</w:t>
      </w:r>
      <w:r w:rsidR="00B1446C">
        <w:rPr>
          <w:lang w:val="sr-Cyrl-RS"/>
        </w:rPr>
        <w:t xml:space="preserve"> једне </w:t>
      </w:r>
      <w:r w:rsidR="00507B4D">
        <w:rPr>
          <w:lang w:val="sr-Cyrl-RS"/>
        </w:rPr>
        <w:t xml:space="preserve">криптовалуте током одређеног временског периода. </w:t>
      </w:r>
      <w:r w:rsidR="00684DAF">
        <w:rPr>
          <w:lang w:val="sr-Cyrl-RS"/>
        </w:rPr>
        <w:t xml:space="preserve">На пример, графикон који представља промену цене у периоду од једног сата, састоји се од више свећњака, при чему сваки свећњак приказује </w:t>
      </w:r>
      <w:r w:rsidR="00684DAF" w:rsidRPr="00554485">
        <w:rPr>
          <w:b/>
          <w:lang w:val="sr-Cyrl-RS"/>
        </w:rPr>
        <w:t>цену отварања</w:t>
      </w:r>
      <w:r w:rsidR="00684DAF">
        <w:rPr>
          <w:lang w:val="sr-Cyrl-RS"/>
        </w:rPr>
        <w:t xml:space="preserve"> и </w:t>
      </w:r>
      <w:r w:rsidR="00684DAF" w:rsidRPr="00554485">
        <w:rPr>
          <w:b/>
          <w:lang w:val="sr-Cyrl-RS"/>
        </w:rPr>
        <w:t>затварања</w:t>
      </w:r>
      <w:r w:rsidR="00684DAF">
        <w:rPr>
          <w:lang w:val="sr-Cyrl-RS"/>
        </w:rPr>
        <w:t xml:space="preserve"> (што је илустровано на телу свећњака), </w:t>
      </w:r>
      <w:r w:rsidR="00244400">
        <w:rPr>
          <w:lang w:val="sr-Cyrl-RS"/>
        </w:rPr>
        <w:t xml:space="preserve">као и </w:t>
      </w:r>
      <w:r w:rsidR="00244400" w:rsidRPr="00554485">
        <w:rPr>
          <w:b/>
          <w:lang w:val="sr-Cyrl-RS"/>
        </w:rPr>
        <w:t>тачке највише</w:t>
      </w:r>
      <w:r w:rsidR="00244400">
        <w:rPr>
          <w:lang w:val="sr-Cyrl-RS"/>
        </w:rPr>
        <w:t xml:space="preserve"> и </w:t>
      </w:r>
      <w:r w:rsidR="00244400" w:rsidRPr="00554485">
        <w:rPr>
          <w:b/>
          <w:lang w:val="sr-Cyrl-RS"/>
        </w:rPr>
        <w:t>најниже цене</w:t>
      </w:r>
      <w:r w:rsidR="00244400">
        <w:rPr>
          <w:lang w:val="sr-Cyrl-RS"/>
        </w:rPr>
        <w:t xml:space="preserve"> у том периоду. У зависности од правца кретања тржишта, свећњаци имају различито располагање цена отварања и затварања, али и различите боје. Узлазни свећњаци су, углавном, приказани зеленом бојом, док су силазни обично црвене боје.</w:t>
      </w: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p>
    <w:p w:rsidR="0010020C" w:rsidRDefault="0010020C" w:rsidP="0010020C">
      <w:pPr>
        <w:rPr>
          <w:lang w:val="sr-Cyrl-RS"/>
        </w:rPr>
      </w:pPr>
      <w:r>
        <w:rPr>
          <w:noProof/>
        </w:rPr>
        <mc:AlternateContent>
          <mc:Choice Requires="wps">
            <w:drawing>
              <wp:anchor distT="0" distB="0" distL="114300" distR="114300" simplePos="0" relativeHeight="251666432" behindDoc="0" locked="0" layoutInCell="1" allowOverlap="1" wp14:anchorId="66FA4081" wp14:editId="29897872">
                <wp:simplePos x="0" y="0"/>
                <wp:positionH relativeFrom="margin">
                  <wp:posOffset>3346078</wp:posOffset>
                </wp:positionH>
                <wp:positionV relativeFrom="paragraph">
                  <wp:posOffset>199282</wp:posOffset>
                </wp:positionV>
                <wp:extent cx="1612900" cy="635"/>
                <wp:effectExtent l="0" t="0" r="6350" b="0"/>
                <wp:wrapThrough wrapText="bothSides">
                  <wp:wrapPolygon edited="0">
                    <wp:start x="0" y="0"/>
                    <wp:lineTo x="0" y="20400"/>
                    <wp:lineTo x="21430" y="20400"/>
                    <wp:lineTo x="2143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1612900" cy="635"/>
                        </a:xfrm>
                        <a:prstGeom prst="rect">
                          <a:avLst/>
                        </a:prstGeom>
                        <a:solidFill>
                          <a:prstClr val="white"/>
                        </a:solidFill>
                        <a:ln>
                          <a:noFill/>
                        </a:ln>
                      </wps:spPr>
                      <wps:txbx>
                        <w:txbxContent>
                          <w:p w:rsidR="003D2373" w:rsidRPr="00244400" w:rsidRDefault="003D2373" w:rsidP="0010020C">
                            <w:pPr>
                              <w:pStyle w:val="Caption"/>
                              <w:rPr>
                                <w:noProof/>
                                <w:sz w:val="18"/>
                              </w:rPr>
                            </w:pPr>
                            <w:r w:rsidRPr="00244400">
                              <w:rPr>
                                <w:b/>
                                <w:sz w:val="18"/>
                                <w:lang w:val="sr-Cyrl-RS"/>
                              </w:rPr>
                              <w:t xml:space="preserve">Слика </w:t>
                            </w:r>
                            <w:r>
                              <w:rPr>
                                <w:b/>
                                <w:sz w:val="18"/>
                                <w:lang w:val="sr-Cyrl-RS"/>
                              </w:rPr>
                              <w:t>2</w:t>
                            </w:r>
                            <w:r>
                              <w:rPr>
                                <w:sz w:val="18"/>
                                <w:lang w:val="sr-Cyrl-RS"/>
                              </w:rPr>
                              <w:t xml:space="preserve"> Силазни</w:t>
                            </w:r>
                            <w:r w:rsidRPr="00244400">
                              <w:rPr>
                                <w:sz w:val="18"/>
                                <w:lang w:val="sr-Cyrl-RS"/>
                              </w:rPr>
                              <w:t xml:space="preserve"> свећњак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FA4081" id="Text Box 8" o:spid="_x0000_s1027" type="#_x0000_t202" style="position:absolute;left:0;text-align:left;margin-left:263.45pt;margin-top:15.7pt;width:127pt;height:.0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" stroked="f">
                <v:textbox style="mso-fit-shape-to-text:t" inset="0,0,0,0">
                  <w:txbxContent>
                    <w:p w:rsidR="003D2373" w:rsidRPr="00244400" w:rsidRDefault="003D2373" w:rsidP="0010020C">
                      <w:pPr>
                        <w:pStyle w:val="Caption"/>
                        <w:rPr>
                          <w:noProof/>
                          <w:sz w:val="18"/>
                        </w:rPr>
                      </w:pPr>
                      <w:r w:rsidRPr="00244400">
                        <w:rPr>
                          <w:b/>
                          <w:sz w:val="18"/>
                          <w:lang w:val="sr-Cyrl-RS"/>
                        </w:rPr>
                        <w:t xml:space="preserve">Слика </w:t>
                      </w:r>
                      <w:r>
                        <w:rPr>
                          <w:b/>
                          <w:sz w:val="18"/>
                          <w:lang w:val="sr-Cyrl-RS"/>
                        </w:rPr>
                        <w:t>2</w:t>
                      </w:r>
                      <w:r>
                        <w:rPr>
                          <w:sz w:val="18"/>
                          <w:lang w:val="sr-Cyrl-RS"/>
                        </w:rPr>
                        <w:t xml:space="preserve"> Силазни</w:t>
                      </w:r>
                      <w:r w:rsidRPr="00244400">
                        <w:rPr>
                          <w:sz w:val="18"/>
                          <w:lang w:val="sr-Cyrl-RS"/>
                        </w:rPr>
                        <w:t xml:space="preserve"> свећњак</w:t>
                      </w:r>
                    </w:p>
                  </w:txbxContent>
                </v:textbox>
                <w10:wrap type="through" anchorx="margin"/>
              </v:shape>
            </w:pict>
          </mc:Fallback>
        </mc:AlternateContent>
      </w:r>
      <w:r>
        <w:rPr>
          <w:noProof/>
        </w:rPr>
        <mc:AlternateContent>
          <mc:Choice Requires="wps">
            <w:drawing>
              <wp:anchor distT="0" distB="0" distL="114300" distR="114300" simplePos="0" relativeHeight="251664384" behindDoc="0" locked="0" layoutInCell="1" allowOverlap="1" wp14:anchorId="7FC5D25B" wp14:editId="6323E64A">
                <wp:simplePos x="0" y="0"/>
                <wp:positionH relativeFrom="margin">
                  <wp:posOffset>1025525</wp:posOffset>
                </wp:positionH>
                <wp:positionV relativeFrom="paragraph">
                  <wp:posOffset>190824</wp:posOffset>
                </wp:positionV>
                <wp:extent cx="1543685" cy="635"/>
                <wp:effectExtent l="0" t="0" r="0" b="0"/>
                <wp:wrapThrough wrapText="bothSides">
                  <wp:wrapPolygon edited="0">
                    <wp:start x="0" y="0"/>
                    <wp:lineTo x="0" y="20400"/>
                    <wp:lineTo x="21325" y="20400"/>
                    <wp:lineTo x="21325"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rsidR="003D2373" w:rsidRPr="00244400" w:rsidRDefault="003D2373" w:rsidP="00244400">
                            <w:pPr>
                              <w:pStyle w:val="Caption"/>
                              <w:rPr>
                                <w:noProof/>
                                <w:sz w:val="18"/>
                              </w:rPr>
                            </w:pPr>
                            <w:r w:rsidRPr="00244400">
                              <w:rPr>
                                <w:b/>
                                <w:sz w:val="18"/>
                                <w:lang w:val="sr-Cyrl-RS"/>
                              </w:rPr>
                              <w:t>Слика 1</w:t>
                            </w:r>
                            <w:r>
                              <w:rPr>
                                <w:sz w:val="18"/>
                                <w:lang w:val="sr-Cyrl-RS"/>
                              </w:rPr>
                              <w:t xml:space="preserve"> </w:t>
                            </w:r>
                            <w:r w:rsidRPr="00244400">
                              <w:rPr>
                                <w:sz w:val="18"/>
                                <w:lang w:val="sr-Cyrl-RS"/>
                              </w:rPr>
                              <w:t>Узлазни свећњак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C5D25B" id="Text Box 7" o:spid="_x0000_s1028" type="#_x0000_t202" style="position:absolute;left:0;text-align:left;margin-left:80.75pt;margin-top:15.05pt;width:121.55pt;height:.0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" stroked="f">
                <v:textbox style="mso-fit-shape-to-text:t" inset="0,0,0,0">
                  <w:txbxContent>
                    <w:p w:rsidR="003D2373" w:rsidRPr="00244400" w:rsidRDefault="003D2373" w:rsidP="00244400">
                      <w:pPr>
                        <w:pStyle w:val="Caption"/>
                        <w:rPr>
                          <w:noProof/>
                          <w:sz w:val="18"/>
                        </w:rPr>
                      </w:pPr>
                      <w:r w:rsidRPr="00244400">
                        <w:rPr>
                          <w:b/>
                          <w:sz w:val="18"/>
                          <w:lang w:val="sr-Cyrl-RS"/>
                        </w:rPr>
                        <w:t>Слика 1</w:t>
                      </w:r>
                      <w:r>
                        <w:rPr>
                          <w:sz w:val="18"/>
                          <w:lang w:val="sr-Cyrl-RS"/>
                        </w:rPr>
                        <w:t xml:space="preserve"> </w:t>
                      </w:r>
                      <w:r w:rsidRPr="00244400">
                        <w:rPr>
                          <w:sz w:val="18"/>
                          <w:lang w:val="sr-Cyrl-RS"/>
                        </w:rPr>
                        <w:t>Узлазни свећњак</w:t>
                      </w:r>
                    </w:p>
                  </w:txbxContent>
                </v:textbox>
                <w10:wrap type="through" anchorx="margin"/>
              </v:shape>
            </w:pict>
          </mc:Fallback>
        </mc:AlternateContent>
      </w:r>
    </w:p>
    <w:p w:rsidR="0010020C" w:rsidRDefault="0010020C" w:rsidP="0010020C">
      <w:pPr>
        <w:rPr>
          <w:lang w:val="sr-Cyrl-RS"/>
        </w:rPr>
      </w:pPr>
    </w:p>
    <w:p w:rsidR="00507B4D" w:rsidRDefault="0010020C" w:rsidP="0010020C">
      <w:pPr>
        <w:rPr>
          <w:lang w:val="sr-Cyrl-RS"/>
        </w:rPr>
      </w:pPr>
      <w:r>
        <w:rPr>
          <w:lang w:val="sr-Cyrl-RS"/>
        </w:rPr>
        <w:t xml:space="preserve">Бројеви </w:t>
      </w:r>
      <w:r w:rsidRPr="00554485">
        <w:rPr>
          <w:b/>
          <w:lang w:val="sr-Cyrl-RS"/>
        </w:rPr>
        <w:t>1</w:t>
      </w:r>
      <w:r>
        <w:rPr>
          <w:lang w:val="sr-Cyrl-RS"/>
        </w:rPr>
        <w:t xml:space="preserve"> и </w:t>
      </w:r>
      <w:r w:rsidRPr="00554485">
        <w:rPr>
          <w:b/>
          <w:lang w:val="sr-Cyrl-RS"/>
        </w:rPr>
        <w:t>2</w:t>
      </w:r>
      <w:r>
        <w:rPr>
          <w:lang w:val="sr-Cyrl-RS"/>
        </w:rPr>
        <w:t xml:space="preserve"> представљају највишу, односно најнижу цену којом је извршена трговина одговарајуће криптовалуте у посматраном периоду, док код узлазног свећњака </w:t>
      </w:r>
      <w:r w:rsidRPr="00554485">
        <w:rPr>
          <w:b/>
          <w:lang w:val="sr-Cyrl-RS"/>
        </w:rPr>
        <w:t>3</w:t>
      </w:r>
      <w:r>
        <w:rPr>
          <w:lang w:val="sr-Cyrl-RS"/>
        </w:rPr>
        <w:t xml:space="preserve"> представља почетну цену трговине у том периоду, а </w:t>
      </w:r>
      <w:r w:rsidR="00554485" w:rsidRPr="00554485">
        <w:rPr>
          <w:b/>
          <w:lang w:val="sr-Cyrl-RS"/>
        </w:rPr>
        <w:t>4</w:t>
      </w:r>
      <w:r>
        <w:rPr>
          <w:lang w:val="sr-Cyrl-RS"/>
        </w:rPr>
        <w:t xml:space="preserve"> крајњу цену трговине. Код силазног свећњака је обрнута ситуација. </w:t>
      </w:r>
    </w:p>
    <w:p w:rsidR="00D33D79" w:rsidRDefault="00A5406C" w:rsidP="0010020C">
      <w:pPr>
        <w:rPr>
          <w:noProof/>
        </w:rPr>
      </w:pPr>
      <w:r>
        <w:rPr>
          <w:noProof/>
        </w:rPr>
        <w:drawing>
          <wp:anchor distT="0" distB="0" distL="114300" distR="114300" simplePos="0" relativeHeight="251667456" behindDoc="1" locked="0" layoutInCell="1" allowOverlap="1" wp14:anchorId="053CC50E">
            <wp:simplePos x="0" y="0"/>
            <wp:positionH relativeFrom="margin">
              <wp:align>center</wp:align>
            </wp:positionH>
            <wp:positionV relativeFrom="paragraph">
              <wp:posOffset>-1055</wp:posOffset>
            </wp:positionV>
            <wp:extent cx="3328670" cy="1845945"/>
            <wp:effectExtent l="0" t="0" r="5080" b="1905"/>
            <wp:wrapTight wrapText="bothSides">
              <wp:wrapPolygon edited="0">
                <wp:start x="0" y="0"/>
                <wp:lineTo x="0" y="21399"/>
                <wp:lineTo x="21509" y="21399"/>
                <wp:lineTo x="2150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28670" cy="184594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p>
    <w:p w:rsidR="00A5406C" w:rsidRDefault="00A5406C" w:rsidP="0010020C">
      <w:pPr>
        <w:rPr>
          <w:noProof/>
        </w:rPr>
      </w:pPr>
    </w:p>
    <w:p w:rsidR="00A5406C" w:rsidRDefault="00A5406C" w:rsidP="0010020C">
      <w:pPr>
        <w:rPr>
          <w:noProof/>
        </w:rPr>
      </w:pPr>
    </w:p>
    <w:p w:rsidR="00A5406C" w:rsidRDefault="00A5406C" w:rsidP="0010020C">
      <w:pPr>
        <w:rPr>
          <w:noProof/>
        </w:rPr>
      </w:pPr>
    </w:p>
    <w:p w:rsidR="00A5406C" w:rsidRDefault="00A5406C" w:rsidP="0010020C">
      <w:pPr>
        <w:rPr>
          <w:noProof/>
        </w:rPr>
      </w:pPr>
    </w:p>
    <w:p w:rsidR="00A5406C" w:rsidRDefault="00A5406C" w:rsidP="0010020C">
      <w:pPr>
        <w:rPr>
          <w:noProof/>
        </w:rPr>
      </w:pPr>
    </w:p>
    <w:p w:rsidR="00A5406C" w:rsidRDefault="00A5406C" w:rsidP="0010020C">
      <w:pPr>
        <w:rPr>
          <w:noProof/>
        </w:rPr>
      </w:pPr>
    </w:p>
    <w:p w:rsidR="00A5406C" w:rsidRDefault="00A5406C" w:rsidP="0010020C">
      <w:pPr>
        <w:rPr>
          <w:noProof/>
        </w:rPr>
      </w:pPr>
      <w:r>
        <w:rPr>
          <w:noProof/>
        </w:rPr>
        <mc:AlternateContent>
          <mc:Choice Requires="wps">
            <w:drawing>
              <wp:anchor distT="0" distB="0" distL="114300" distR="114300" simplePos="0" relativeHeight="251669504" behindDoc="0" locked="0" layoutInCell="1" allowOverlap="1" wp14:anchorId="1455F27A" wp14:editId="4043F7C7">
                <wp:simplePos x="0" y="0"/>
                <wp:positionH relativeFrom="margin">
                  <wp:posOffset>2156460</wp:posOffset>
                </wp:positionH>
                <wp:positionV relativeFrom="paragraph">
                  <wp:posOffset>9525</wp:posOffset>
                </wp:positionV>
                <wp:extent cx="1672590" cy="249555"/>
                <wp:effectExtent l="0" t="0" r="3810" b="0"/>
                <wp:wrapThrough wrapText="bothSides">
                  <wp:wrapPolygon edited="0">
                    <wp:start x="0" y="0"/>
                    <wp:lineTo x="0" y="19786"/>
                    <wp:lineTo x="21403" y="19786"/>
                    <wp:lineTo x="21403"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1672590" cy="249555"/>
                        </a:xfrm>
                        <a:prstGeom prst="rect">
                          <a:avLst/>
                        </a:prstGeom>
                        <a:solidFill>
                          <a:prstClr val="white"/>
                        </a:solidFill>
                        <a:ln>
                          <a:noFill/>
                        </a:ln>
                      </wps:spPr>
                      <wps:txbx>
                        <w:txbxContent>
                          <w:p w:rsidR="003D2373" w:rsidRPr="00A5406C" w:rsidRDefault="003D2373" w:rsidP="00A5406C">
                            <w:pPr>
                              <w:pStyle w:val="Caption"/>
                              <w:rPr>
                                <w:noProof/>
                                <w:sz w:val="18"/>
                                <w:lang w:val="sr-Cyrl-RS"/>
                              </w:rPr>
                            </w:pPr>
                            <w:r w:rsidRPr="00244400">
                              <w:rPr>
                                <w:b/>
                                <w:sz w:val="18"/>
                                <w:lang w:val="sr-Cyrl-RS"/>
                              </w:rPr>
                              <w:t xml:space="preserve">Слика </w:t>
                            </w:r>
                            <w:r>
                              <w:rPr>
                                <w:b/>
                                <w:sz w:val="18"/>
                              </w:rPr>
                              <w:t>3</w:t>
                            </w:r>
                            <w:r>
                              <w:rPr>
                                <w:sz w:val="18"/>
                                <w:lang w:val="sr-Cyrl-RS"/>
                              </w:rPr>
                              <w:t xml:space="preserve"> Графикон свећњака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F27A" id="Text Box 11" o:spid="_x0000_s1029" type="#_x0000_t202" style="position:absolute;left:0;text-align:left;margin-left:169.8pt;margin-top:.75pt;width:131.7pt;height:19.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" stroked="f">
                <v:textbox inset="0,0,0,0">
                  <w:txbxContent>
                    <w:p w:rsidR="003D2373" w:rsidRPr="00A5406C" w:rsidRDefault="003D2373" w:rsidP="00A5406C">
                      <w:pPr>
                        <w:pStyle w:val="Caption"/>
                        <w:rPr>
                          <w:noProof/>
                          <w:sz w:val="18"/>
                          <w:lang w:val="sr-Cyrl-RS"/>
                        </w:rPr>
                      </w:pPr>
                      <w:r w:rsidRPr="00244400">
                        <w:rPr>
                          <w:b/>
                          <w:sz w:val="18"/>
                          <w:lang w:val="sr-Cyrl-RS"/>
                        </w:rPr>
                        <w:t xml:space="preserve">Слика </w:t>
                      </w:r>
                      <w:r>
                        <w:rPr>
                          <w:b/>
                          <w:sz w:val="18"/>
                        </w:rPr>
                        <w:t>3</w:t>
                      </w:r>
                      <w:r>
                        <w:rPr>
                          <w:sz w:val="18"/>
                          <w:lang w:val="sr-Cyrl-RS"/>
                        </w:rPr>
                        <w:t xml:space="preserve"> Графикон свећњака</w:t>
                      </w:r>
                    </w:p>
                  </w:txbxContent>
                </v:textbox>
                <w10:wrap type="through" anchorx="margin"/>
              </v:shape>
            </w:pict>
          </mc:Fallback>
        </mc:AlternateContent>
      </w:r>
    </w:p>
    <w:p w:rsidR="00A5406C" w:rsidRDefault="00A5406C" w:rsidP="00A5406C">
      <w:pPr>
        <w:rPr>
          <w:noProof/>
          <w:lang w:val="sr-Cyrl-RS"/>
        </w:rPr>
      </w:pPr>
      <w:r>
        <w:rPr>
          <w:noProof/>
          <w:lang w:val="sr-Cyrl-RS"/>
        </w:rPr>
        <w:t>Графикони свећњака могу да се користе како би се идентификовали обрасци и трендови како би се донела адекватна одлука о улагању.</w:t>
      </w:r>
    </w:p>
    <w:p w:rsidR="00A5406C" w:rsidRPr="00011C70" w:rsidRDefault="006D237A" w:rsidP="006D237A">
      <w:pPr>
        <w:pStyle w:val="Heading3"/>
        <w:rPr>
          <w:noProof/>
        </w:rPr>
      </w:pPr>
      <w:r>
        <w:rPr>
          <w:noProof/>
          <w:lang w:val="sr-Cyrl-RS"/>
        </w:rPr>
        <w:lastRenderedPageBreak/>
        <w:t>Тренд тржишта</w:t>
      </w:r>
      <w:r w:rsidR="00011C70">
        <w:rPr>
          <w:noProof/>
          <w:lang w:val="sr-Cyrl-RS"/>
        </w:rPr>
        <w:t xml:space="preserve"> (енгл. </w:t>
      </w:r>
      <w:r w:rsidR="00011C70" w:rsidRPr="00011C70">
        <w:rPr>
          <w:i/>
          <w:noProof/>
        </w:rPr>
        <w:t>Market trend</w:t>
      </w:r>
      <w:r w:rsidR="00011C70">
        <w:rPr>
          <w:noProof/>
        </w:rPr>
        <w:t>)</w:t>
      </w:r>
    </w:p>
    <w:p w:rsidR="006D237A" w:rsidRDefault="006D237A" w:rsidP="006D237A">
      <w:pPr>
        <w:rPr>
          <w:lang w:val="sr-Cyrl-RS"/>
        </w:rPr>
      </w:pPr>
      <w:r w:rsidRPr="00554485">
        <w:rPr>
          <w:b/>
          <w:lang w:val="sr-Latn-RS"/>
        </w:rPr>
        <w:t>T</w:t>
      </w:r>
      <w:r w:rsidRPr="00554485">
        <w:rPr>
          <w:b/>
          <w:lang w:val="sr-Cyrl-RS"/>
        </w:rPr>
        <w:t>ржишни тренд</w:t>
      </w:r>
      <w:r>
        <w:rPr>
          <w:lang w:val="sr-Cyrl-RS"/>
        </w:rPr>
        <w:t xml:space="preserve"> је смер кретања цене криптовалуте током времена. Уколико најниже цене неколико узастопних свећњака на графикону чине растући низ, сматра се да су у узлазном тренду. Насупрот томе, каже се да су цене у опадајућем тренду када највише цене неколико узастопних свећњака чине опадајући низ. </w:t>
      </w:r>
      <w:r w:rsidR="0076007F">
        <w:rPr>
          <w:lang w:val="sr-Cyrl-RS"/>
        </w:rPr>
        <w:t>Идентификација тржишног тренда, као и његово праћење, битни су аспекти доношења исправних одлука приликом инвестирања.</w:t>
      </w:r>
    </w:p>
    <w:p w:rsidR="00873989" w:rsidRPr="00011C70" w:rsidRDefault="008F0909" w:rsidP="00873989">
      <w:pPr>
        <w:pStyle w:val="Heading3"/>
      </w:pPr>
      <w:r>
        <w:rPr>
          <w:lang w:val="sr-Cyrl-RS"/>
        </w:rPr>
        <w:t>Покретни</w:t>
      </w:r>
      <w:r w:rsidR="00873989">
        <w:rPr>
          <w:lang w:val="sr-Cyrl-RS"/>
        </w:rPr>
        <w:t xml:space="preserve"> просек</w:t>
      </w:r>
      <w:r w:rsidR="00011C70">
        <w:t xml:space="preserve"> </w:t>
      </w:r>
      <w:r w:rsidR="00011C70">
        <w:rPr>
          <w:lang w:val="sr-Cyrl-RS"/>
        </w:rPr>
        <w:t xml:space="preserve">(енгл. </w:t>
      </w:r>
      <w:r w:rsidR="00011C70" w:rsidRPr="008F0909">
        <w:rPr>
          <w:i/>
        </w:rPr>
        <w:t>Moving average</w:t>
      </w:r>
      <w:r w:rsidR="00011C70">
        <w:t>)</w:t>
      </w:r>
    </w:p>
    <w:p w:rsidR="00873989" w:rsidRPr="008F0909" w:rsidRDefault="0000387A" w:rsidP="00873989">
      <w:pPr>
        <w:rPr>
          <w:lang w:val="sr-Cyrl-RS"/>
        </w:rPr>
      </w:pPr>
      <w:r w:rsidRPr="00554485">
        <w:rPr>
          <w:b/>
          <w:noProof/>
        </w:rPr>
        <mc:AlternateContent>
          <mc:Choice Requires="wps">
            <w:drawing>
              <wp:anchor distT="0" distB="0" distL="114300" distR="114300" simplePos="0" relativeHeight="251672576" behindDoc="0" locked="0" layoutInCell="1" allowOverlap="1" wp14:anchorId="3AFD801C" wp14:editId="2A2887D1">
                <wp:simplePos x="0" y="0"/>
                <wp:positionH relativeFrom="margin">
                  <wp:align>center</wp:align>
                </wp:positionH>
                <wp:positionV relativeFrom="paragraph">
                  <wp:posOffset>3496418</wp:posOffset>
                </wp:positionV>
                <wp:extent cx="3295015" cy="249555"/>
                <wp:effectExtent l="0" t="0" r="635" b="0"/>
                <wp:wrapThrough wrapText="bothSides">
                  <wp:wrapPolygon edited="0">
                    <wp:start x="0" y="0"/>
                    <wp:lineTo x="0" y="19786"/>
                    <wp:lineTo x="21479" y="19786"/>
                    <wp:lineTo x="21479"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3295015" cy="249555"/>
                        </a:xfrm>
                        <a:prstGeom prst="rect">
                          <a:avLst/>
                        </a:prstGeom>
                        <a:solidFill>
                          <a:prstClr val="white"/>
                        </a:solidFill>
                        <a:ln>
                          <a:noFill/>
                        </a:ln>
                      </wps:spPr>
                      <wps:txbx>
                        <w:txbxContent>
                          <w:p w:rsidR="003D2373" w:rsidRPr="00A5406C" w:rsidRDefault="003D2373" w:rsidP="0000387A">
                            <w:pPr>
                              <w:pStyle w:val="Caption"/>
                              <w:rPr>
                                <w:noProof/>
                                <w:sz w:val="18"/>
                                <w:lang w:val="sr-Cyrl-RS"/>
                              </w:rPr>
                            </w:pPr>
                            <w:r w:rsidRPr="00244400">
                              <w:rPr>
                                <w:b/>
                                <w:sz w:val="18"/>
                                <w:lang w:val="sr-Cyrl-RS"/>
                              </w:rPr>
                              <w:t xml:space="preserve">Слика </w:t>
                            </w:r>
                            <w:r>
                              <w:rPr>
                                <w:b/>
                                <w:sz w:val="18"/>
                                <w:lang w:val="sr-Cyrl-RS"/>
                              </w:rPr>
                              <w:t>4</w:t>
                            </w:r>
                            <w:r>
                              <w:rPr>
                                <w:sz w:val="18"/>
                                <w:lang w:val="sr-Cyrl-RS"/>
                              </w:rPr>
                              <w:t xml:space="preserve"> Тренд тржишта и покретни просек (жута трака)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D801C" id="Text Box 13" o:spid="_x0000_s1030" type="#_x0000_t202" style="position:absolute;left:0;text-align:left;margin-left:0;margin-top:275.3pt;width:259.45pt;height:19.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" stroked="f">
                <v:textbox inset="0,0,0,0">
                  <w:txbxContent>
                    <w:p w:rsidR="003D2373" w:rsidRPr="00A5406C" w:rsidRDefault="003D2373" w:rsidP="0000387A">
                      <w:pPr>
                        <w:pStyle w:val="Caption"/>
                        <w:rPr>
                          <w:noProof/>
                          <w:sz w:val="18"/>
                          <w:lang w:val="sr-Cyrl-RS"/>
                        </w:rPr>
                      </w:pPr>
                      <w:r w:rsidRPr="00244400">
                        <w:rPr>
                          <w:b/>
                          <w:sz w:val="18"/>
                          <w:lang w:val="sr-Cyrl-RS"/>
                        </w:rPr>
                        <w:t xml:space="preserve">Слика </w:t>
                      </w:r>
                      <w:r>
                        <w:rPr>
                          <w:b/>
                          <w:sz w:val="18"/>
                          <w:lang w:val="sr-Cyrl-RS"/>
                        </w:rPr>
                        <w:t>4</w:t>
                      </w:r>
                      <w:r>
                        <w:rPr>
                          <w:sz w:val="18"/>
                          <w:lang w:val="sr-Cyrl-RS"/>
                        </w:rPr>
                        <w:t xml:space="preserve"> Тренд тржишта и покретни просек (жута трака)</w:t>
                      </w:r>
                    </w:p>
                  </w:txbxContent>
                </v:textbox>
                <w10:wrap type="through" anchorx="margin"/>
              </v:shape>
            </w:pict>
          </mc:Fallback>
        </mc:AlternateContent>
      </w:r>
      <w:r w:rsidRPr="00554485">
        <w:rPr>
          <w:b/>
          <w:noProof/>
        </w:rPr>
        <w:drawing>
          <wp:anchor distT="0" distB="0" distL="114300" distR="114300" simplePos="0" relativeHeight="251670528" behindDoc="0" locked="0" layoutInCell="1" allowOverlap="1" wp14:anchorId="0891E682">
            <wp:simplePos x="0" y="0"/>
            <wp:positionH relativeFrom="margin">
              <wp:align>right</wp:align>
            </wp:positionH>
            <wp:positionV relativeFrom="paragraph">
              <wp:posOffset>882710</wp:posOffset>
            </wp:positionV>
            <wp:extent cx="5943600" cy="2564130"/>
            <wp:effectExtent l="0" t="0" r="0" b="7620"/>
            <wp:wrapThrough wrapText="bothSides">
              <wp:wrapPolygon edited="0">
                <wp:start x="0" y="0"/>
                <wp:lineTo x="0" y="21504"/>
                <wp:lineTo x="21531" y="21504"/>
                <wp:lineTo x="2153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564130"/>
                    </a:xfrm>
                    <a:prstGeom prst="rect">
                      <a:avLst/>
                    </a:prstGeom>
                  </pic:spPr>
                </pic:pic>
              </a:graphicData>
            </a:graphic>
          </wp:anchor>
        </w:drawing>
      </w:r>
      <w:r w:rsidR="008F0909" w:rsidRPr="00554485">
        <w:rPr>
          <w:b/>
          <w:lang w:val="sr-Cyrl-RS"/>
        </w:rPr>
        <w:t>Покретни просек</w:t>
      </w:r>
      <w:r w:rsidR="008F0909">
        <w:rPr>
          <w:lang w:val="sr-Cyrl-RS"/>
        </w:rPr>
        <w:t xml:space="preserve"> је статистички прорачун који се користи у анализи временских серија података како би се изгладиле флуктуације у подацима и идентификовали основни трендови. Израчунава се узимањем просека скупа вредности унутар одређеног прозора (периода), при чему се прозор помера дуж временске осе. </w:t>
      </w:r>
    </w:p>
    <w:p w:rsidR="006D237A" w:rsidRDefault="006D237A" w:rsidP="006D237A"/>
    <w:p w:rsidR="0000387A" w:rsidRPr="00011C70" w:rsidRDefault="00011C70" w:rsidP="0000387A">
      <w:pPr>
        <w:pStyle w:val="Heading3"/>
      </w:pPr>
      <w:r>
        <w:rPr>
          <w:lang w:val="sr-Cyrl-RS"/>
        </w:rPr>
        <w:t xml:space="preserve">Променљивост (енгл. </w:t>
      </w:r>
      <w:r w:rsidRPr="00011C70">
        <w:rPr>
          <w:i/>
        </w:rPr>
        <w:t>Volatility</w:t>
      </w:r>
      <w:r>
        <w:t>)</w:t>
      </w:r>
    </w:p>
    <w:p w:rsidR="0000387A" w:rsidRPr="0000387A" w:rsidRDefault="00011C70" w:rsidP="0000387A">
      <w:pPr>
        <w:rPr>
          <w:lang w:val="sr-Cyrl-RS"/>
        </w:rPr>
      </w:pPr>
      <w:r w:rsidRPr="00554485">
        <w:rPr>
          <w:b/>
          <w:lang w:val="sr-Cyrl-RS"/>
        </w:rPr>
        <w:t>Променљивост</w:t>
      </w:r>
      <w:r>
        <w:rPr>
          <w:lang w:val="sr-Cyrl-RS"/>
        </w:rPr>
        <w:t xml:space="preserve"> </w:t>
      </w:r>
      <w:r w:rsidR="0000387A">
        <w:rPr>
          <w:lang w:val="sr-Cyrl-RS"/>
        </w:rPr>
        <w:t xml:space="preserve">на финансијским тржиштима се односи на степен варијације цена трговања током времена. Представља меру у којој </w:t>
      </w:r>
      <w:r>
        <w:rPr>
          <w:lang w:val="sr-Cyrl-RS"/>
        </w:rPr>
        <w:t xml:space="preserve">цена неке криптовалуте флуктуира, што указује на ниво ризика или неизвесност у вези са инвестицијом. Висока променљивост имплицира да се цена средства може брзо променити у кратком периоду, што означава већи ризик и потенцијал за велике добитке или губитке. Са друге стране, ниска волатилност означава да је валута стабилнија и кретање цене је предвидљивије. </w:t>
      </w:r>
    </w:p>
    <w:p w:rsidR="0000387A" w:rsidRPr="00630434" w:rsidRDefault="00630434" w:rsidP="00630434">
      <w:pPr>
        <w:pStyle w:val="Heading3"/>
      </w:pPr>
      <w:r>
        <w:rPr>
          <w:lang w:val="sr-Cyrl-RS"/>
        </w:rPr>
        <w:t xml:space="preserve">Обим (енгл. </w:t>
      </w:r>
      <w:r w:rsidRPr="00630434">
        <w:rPr>
          <w:i/>
        </w:rPr>
        <w:t>Volume</w:t>
      </w:r>
      <w:r>
        <w:t>)</w:t>
      </w:r>
    </w:p>
    <w:p w:rsidR="000F2D22" w:rsidRDefault="00630434" w:rsidP="006D237A">
      <w:pPr>
        <w:rPr>
          <w:lang w:val="sr-Cyrl-RS"/>
        </w:rPr>
      </w:pPr>
      <w:r w:rsidRPr="00554485">
        <w:rPr>
          <w:b/>
          <w:lang w:val="sr-Cyrl-RS"/>
        </w:rPr>
        <w:t>Обим</w:t>
      </w:r>
      <w:r>
        <w:rPr>
          <w:lang w:val="sr-Cyrl-RS"/>
        </w:rPr>
        <w:t xml:space="preserve"> представља укупну количину криптовалута којима се трговало током одређеног временског периода. Анализом обима, може се стећи увид у „јачину“ тренда. Пораст обима трговине, током узлазног тренда, сигнализира појачано интересовање за куповину одређене криптовалуте, док, са друе стране, пораст обима током силазног тренда може указивати на снажан притисак на продају. </w:t>
      </w:r>
    </w:p>
    <w:p w:rsidR="00B1446C" w:rsidRPr="00043E89" w:rsidRDefault="00B1446C" w:rsidP="00B1446C">
      <w:pPr>
        <w:pStyle w:val="Heading3"/>
      </w:pPr>
      <w:r>
        <w:rPr>
          <w:lang w:val="sr-Cyrl-RS"/>
        </w:rPr>
        <w:lastRenderedPageBreak/>
        <w:t>Котирање</w:t>
      </w:r>
      <w:r w:rsidR="00043E89">
        <w:t xml:space="preserve"> </w:t>
      </w:r>
      <w:r w:rsidR="00043E89">
        <w:rPr>
          <w:lang w:val="sr-Cyrl-RS"/>
        </w:rPr>
        <w:t xml:space="preserve">(енгл. </w:t>
      </w:r>
      <w:r w:rsidR="00043E89" w:rsidRPr="00043E89">
        <w:rPr>
          <w:i/>
        </w:rPr>
        <w:t>Quotation</w:t>
      </w:r>
      <w:r w:rsidR="00043E89">
        <w:t>)</w:t>
      </w:r>
    </w:p>
    <w:p w:rsidR="00EC44AE" w:rsidRDefault="00B1446C" w:rsidP="00B1446C">
      <w:pPr>
        <w:rPr>
          <w:lang w:val="sr-Cyrl-RS"/>
        </w:rPr>
      </w:pPr>
      <w:r>
        <w:rPr>
          <w:lang w:val="sr-Cyrl-RS"/>
        </w:rPr>
        <w:t xml:space="preserve"> Трговина криптовалутама се одвија у паровима. Једна криптовалута представља </w:t>
      </w:r>
      <w:r w:rsidRPr="00554485">
        <w:rPr>
          <w:b/>
          <w:lang w:val="sr-Cyrl-RS"/>
        </w:rPr>
        <w:t>основно средство</w:t>
      </w:r>
      <w:r>
        <w:rPr>
          <w:lang w:val="sr-Cyrl-RS"/>
        </w:rPr>
        <w:t xml:space="preserve"> (енгл. </w:t>
      </w:r>
      <w:r w:rsidRPr="00B1446C">
        <w:rPr>
          <w:i/>
        </w:rPr>
        <w:t>Base asset</w:t>
      </w:r>
      <w:r>
        <w:t xml:space="preserve">) </w:t>
      </w:r>
      <w:r>
        <w:rPr>
          <w:lang w:val="sr-Cyrl-RS"/>
        </w:rPr>
        <w:t xml:space="preserve">у пару, и она се купује другом криптовалутом која представља </w:t>
      </w:r>
      <w:r w:rsidRPr="00554485">
        <w:rPr>
          <w:b/>
          <w:lang w:val="sr-Cyrl-RS"/>
        </w:rPr>
        <w:t>средство кот</w:t>
      </w:r>
      <w:r w:rsidR="00554485">
        <w:rPr>
          <w:b/>
          <w:lang w:val="sr-Cyrl-RS"/>
        </w:rPr>
        <w:t>ирања</w:t>
      </w:r>
      <w:r>
        <w:rPr>
          <w:lang w:val="sr-Cyrl-RS"/>
        </w:rPr>
        <w:t xml:space="preserve"> (енгл. </w:t>
      </w:r>
      <w:r w:rsidRPr="00B1446C">
        <w:rPr>
          <w:i/>
        </w:rPr>
        <w:t>Quote asset</w:t>
      </w:r>
      <w:r>
        <w:t xml:space="preserve">). </w:t>
      </w:r>
      <w:r w:rsidR="00EC44AE">
        <w:rPr>
          <w:lang w:val="sr-Cyrl-RS"/>
        </w:rPr>
        <w:t xml:space="preserve">За парове размене везује се и појам спот цене (енгл. </w:t>
      </w:r>
      <w:r w:rsidR="00EC44AE" w:rsidRPr="00EC44AE">
        <w:rPr>
          <w:i/>
        </w:rPr>
        <w:t>Spot price</w:t>
      </w:r>
      <w:r w:rsidR="00EC44AE">
        <w:t xml:space="preserve">) </w:t>
      </w:r>
      <w:r w:rsidR="00EC44AE">
        <w:rPr>
          <w:lang w:val="sr-Cyrl-RS"/>
        </w:rPr>
        <w:t xml:space="preserve">који означава колико је потребно средства </w:t>
      </w:r>
      <w:r w:rsidR="00554485">
        <w:rPr>
          <w:lang w:val="sr-Cyrl-RS"/>
        </w:rPr>
        <w:t>котирања</w:t>
      </w:r>
      <w:r w:rsidR="00EC44AE">
        <w:rPr>
          <w:lang w:val="sr-Cyrl-RS"/>
        </w:rPr>
        <w:t xml:space="preserve"> како би се купила једно основно средство. </w:t>
      </w:r>
    </w:p>
    <w:p w:rsidR="00B13B88" w:rsidRDefault="00EC44AE" w:rsidP="00B1446C">
      <w:pPr>
        <w:rPr>
          <w:lang w:val="sr-Cyrl-RS"/>
        </w:rPr>
      </w:pPr>
      <w:r>
        <w:rPr>
          <w:lang w:val="sr-Cyrl-RS"/>
        </w:rPr>
        <w:t xml:space="preserve">На пример, уколико бисмо посматрали пар размене </w:t>
      </w:r>
      <w:r w:rsidRPr="00EC44AE">
        <w:rPr>
          <w:b/>
        </w:rPr>
        <w:t>BTC/USDT</w:t>
      </w:r>
      <w:r w:rsidR="00B1446C">
        <w:t xml:space="preserve"> </w:t>
      </w:r>
      <w:r>
        <w:rPr>
          <w:lang w:val="sr-Cyrl-RS"/>
        </w:rPr>
        <w:t xml:space="preserve">(Биткоин и Тетер, који представља вредност америчког долара), чија је спот цена 30000 </w:t>
      </w:r>
      <w:r w:rsidRPr="00EC44AE">
        <w:rPr>
          <w:b/>
        </w:rPr>
        <w:t>USDT</w:t>
      </w:r>
      <w:r>
        <w:t xml:space="preserve">, </w:t>
      </w:r>
      <w:r>
        <w:rPr>
          <w:lang w:val="sr-Cyrl-RS"/>
        </w:rPr>
        <w:t xml:space="preserve">могли бисмо да закључимо да за куповину једног биткоина (основно средство) је потребно да уложимо 30000 тетера, односно долара. Ефективно, овим тумачимо цену биткоина у доларима. </w:t>
      </w:r>
    </w:p>
    <w:p w:rsidR="00B13B88" w:rsidRPr="00043E89" w:rsidRDefault="00B13B88" w:rsidP="00B13B88">
      <w:pPr>
        <w:pStyle w:val="Heading3"/>
      </w:pPr>
      <w:r>
        <w:rPr>
          <w:lang w:val="sr-Cyrl-RS"/>
        </w:rPr>
        <w:t>Налог</w:t>
      </w:r>
      <w:r w:rsidR="00043E89">
        <w:t xml:space="preserve"> </w:t>
      </w:r>
      <w:r w:rsidR="00043E89">
        <w:rPr>
          <w:lang w:val="sr-Cyrl-RS"/>
        </w:rPr>
        <w:t xml:space="preserve">(енгл. </w:t>
      </w:r>
      <w:r w:rsidR="00043E89" w:rsidRPr="00B13B88">
        <w:rPr>
          <w:i/>
        </w:rPr>
        <w:t>Order</w:t>
      </w:r>
      <w:r w:rsidR="00043E89">
        <w:t>)</w:t>
      </w:r>
    </w:p>
    <w:p w:rsidR="00B13B88" w:rsidRDefault="00B13B88" w:rsidP="00B13B88">
      <w:pPr>
        <w:rPr>
          <w:lang w:val="sr-Cyrl-RS"/>
        </w:rPr>
      </w:pPr>
      <w:r>
        <w:rPr>
          <w:lang w:val="sr-Cyrl-RS"/>
        </w:rPr>
        <w:t xml:space="preserve"> </w:t>
      </w:r>
      <w:r w:rsidRPr="00554485">
        <w:rPr>
          <w:b/>
          <w:lang w:val="sr-Cyrl-RS"/>
        </w:rPr>
        <w:t>Налог</w:t>
      </w:r>
      <w:r>
        <w:rPr>
          <w:lang w:val="sr-Cyrl-RS"/>
        </w:rPr>
        <w:t xml:space="preserve"> </w:t>
      </w:r>
      <w:r>
        <w:t xml:space="preserve"> </w:t>
      </w:r>
      <w:r>
        <w:rPr>
          <w:lang w:val="sr-Cyrl-RS"/>
        </w:rPr>
        <w:t>представља инструкцију или захтев који трговац даје платформи да изврши размену н</w:t>
      </w:r>
      <w:r w:rsidR="006E26D2">
        <w:rPr>
          <w:lang w:val="sr-Cyrl-RS"/>
        </w:rPr>
        <w:t>а берзи криптовалута</w:t>
      </w:r>
      <w:r>
        <w:rPr>
          <w:lang w:val="sr-Cyrl-RS"/>
        </w:rPr>
        <w:t xml:space="preserve">. Специфицира детаље трговине, укључујући врсту налога, количину средстава која ће се продати или купити и услове под којима трговина треба да се изврши. </w:t>
      </w:r>
      <w:r w:rsidR="00C761AB">
        <w:rPr>
          <w:lang w:val="sr-Cyrl-RS"/>
        </w:rPr>
        <w:t>Н</w:t>
      </w:r>
      <w:r>
        <w:rPr>
          <w:lang w:val="sr-Cyrl-RS"/>
        </w:rPr>
        <w:t>алози су основа за функционисање финансијских тржишта и обезбеђују механизам за трговце да изразе своје намере и изврше трансакције.</w:t>
      </w:r>
    </w:p>
    <w:p w:rsidR="00C761AB" w:rsidRPr="00554485" w:rsidRDefault="00C761AB" w:rsidP="00B13B88">
      <w:pPr>
        <w:rPr>
          <w:lang w:val="sr-Cyrl-RS"/>
        </w:rPr>
      </w:pPr>
      <w:r w:rsidRPr="00554485">
        <w:rPr>
          <w:b/>
          <w:lang w:val="sr-Cyrl-RS"/>
        </w:rPr>
        <w:t>Налог лимита</w:t>
      </w:r>
      <w:r>
        <w:rPr>
          <w:lang w:val="sr-Cyrl-RS"/>
        </w:rPr>
        <w:t xml:space="preserve"> (енгл. </w:t>
      </w:r>
      <w:r w:rsidRPr="00C761AB">
        <w:rPr>
          <w:i/>
        </w:rPr>
        <w:t>Limit order</w:t>
      </w:r>
      <w:r>
        <w:t xml:space="preserve">) </w:t>
      </w:r>
      <w:r>
        <w:rPr>
          <w:lang w:val="sr-Cyrl-RS"/>
        </w:rPr>
        <w:t xml:space="preserve">и </w:t>
      </w:r>
      <w:r w:rsidRPr="00554485">
        <w:rPr>
          <w:b/>
          <w:lang w:val="sr-Cyrl-RS"/>
        </w:rPr>
        <w:t>тржишни налог</w:t>
      </w:r>
      <w:r>
        <w:rPr>
          <w:lang w:val="sr-Cyrl-RS"/>
        </w:rPr>
        <w:t xml:space="preserve"> (енгл. </w:t>
      </w:r>
      <w:r w:rsidRPr="00C761AB">
        <w:rPr>
          <w:i/>
        </w:rPr>
        <w:t>Market order</w:t>
      </w:r>
      <w:r>
        <w:t xml:space="preserve">) </w:t>
      </w:r>
      <w:r>
        <w:rPr>
          <w:lang w:val="sr-Cyrl-RS"/>
        </w:rPr>
        <w:t xml:space="preserve">су две основне врсте налога за трговину на тржишту криптовалута. Налог лимита је инструкција трговца да купи или прода средство по одређеној или бољој цени. Књига налога (енгл. </w:t>
      </w:r>
      <w:r w:rsidRPr="00C761AB">
        <w:rPr>
          <w:i/>
        </w:rPr>
        <w:t>Order book</w:t>
      </w:r>
      <w:r>
        <w:t xml:space="preserve">) </w:t>
      </w:r>
      <w:r>
        <w:rPr>
          <w:lang w:val="sr-Cyrl-RS"/>
        </w:rPr>
        <w:t xml:space="preserve">чува налоге лимита све док тржиште не достигне назначену цену, у ком тренутку се налог извршава. Налози лимита обезбеђују контролу над ценом по којој се трговина извршава, али не гарантују да ће извршење бити тренутно. Насупрот томе, тржишни налог је директива да се купи или прода средство по најбољој доступној тржишној цени. Тржишни налози се извршавају тренутно, бришући одређене постојеће налоге лимита из књиге налога. </w:t>
      </w:r>
      <w:r w:rsidR="00554485">
        <w:rPr>
          <w:lang w:val="sr-Cyrl-RS"/>
        </w:rPr>
        <w:t xml:space="preserve">Иако обезбеђују тренутно извршење, тачна цена по којој се трговина врши може да варира, чиме може да се доприноси променљивости (волатилности) тржишта. </w:t>
      </w:r>
    </w:p>
    <w:p w:rsidR="00C761AB" w:rsidRDefault="00E82A89" w:rsidP="00E82A89">
      <w:pPr>
        <w:pStyle w:val="Heading3"/>
        <w:rPr>
          <w:lang w:val="sr-Cyrl-RS"/>
        </w:rPr>
      </w:pPr>
      <w:r>
        <w:t>M</w:t>
      </w:r>
      <w:r>
        <w:rPr>
          <w:lang w:val="sr-Cyrl-RS"/>
        </w:rPr>
        <w:t xml:space="preserve">аркет </w:t>
      </w:r>
      <w:r w:rsidR="00C761AB">
        <w:rPr>
          <w:lang w:val="sr-Cyrl-RS"/>
        </w:rPr>
        <w:t xml:space="preserve">мејкери и тржишни субјекти </w:t>
      </w:r>
    </w:p>
    <w:p w:rsidR="006D237A" w:rsidRPr="00475AE7" w:rsidRDefault="00C761AB" w:rsidP="00475AE7">
      <w:r>
        <w:rPr>
          <w:lang w:val="sr-Cyrl-RS"/>
        </w:rPr>
        <w:t xml:space="preserve"> </w:t>
      </w:r>
      <w:r w:rsidRPr="00554485">
        <w:rPr>
          <w:b/>
          <w:lang w:val="sr-Cyrl-RS"/>
        </w:rPr>
        <w:t>Маркет мејкери</w:t>
      </w:r>
      <w:r>
        <w:rPr>
          <w:lang w:val="sr-Cyrl-RS"/>
        </w:rPr>
        <w:t xml:space="preserve"> (енгл. </w:t>
      </w:r>
      <w:r w:rsidRPr="00C761AB">
        <w:rPr>
          <w:i/>
        </w:rPr>
        <w:t>Market makers</w:t>
      </w:r>
      <w:r>
        <w:t xml:space="preserve">) </w:t>
      </w:r>
      <w:r>
        <w:rPr>
          <w:lang w:val="sr-Cyrl-RS"/>
        </w:rPr>
        <w:t xml:space="preserve">и </w:t>
      </w:r>
      <w:r w:rsidRPr="00554485">
        <w:rPr>
          <w:b/>
          <w:lang w:val="sr-Cyrl-RS"/>
        </w:rPr>
        <w:t>тржишни субјекти</w:t>
      </w:r>
      <w:r>
        <w:rPr>
          <w:lang w:val="sr-Cyrl-RS"/>
        </w:rPr>
        <w:t xml:space="preserve"> (енгл. </w:t>
      </w:r>
      <w:r w:rsidRPr="00C761AB">
        <w:rPr>
          <w:i/>
        </w:rPr>
        <w:t>Market takers</w:t>
      </w:r>
      <w:r>
        <w:t xml:space="preserve">) </w:t>
      </w:r>
      <w:r>
        <w:rPr>
          <w:lang w:val="sr-Cyrl-RS"/>
        </w:rPr>
        <w:t>су различити учесници на финансијским тржиштима. Маркет мејкери играју кључну улогу у обезбеђивању ликвидности тако што постављају налоге лимита</w:t>
      </w:r>
      <w:r>
        <w:t xml:space="preserve">, </w:t>
      </w:r>
      <w:r>
        <w:rPr>
          <w:lang w:val="sr-Cyrl-RS"/>
        </w:rPr>
        <w:t xml:space="preserve">и тиме наводе цене по којима су спремни да купе или продају средства. На тај начин покушавају да профитирају од ширења, односно разлике између куповне и продајне цене. Са друге стране, тржишни субјекти су трговци који покрећу тренутне трансакције постављањем тржишних налога, настојећи да брзо изврше трговину по преовлађујућој тржишној цени. Заједно, маркет мејкери и тржишни субјекти доприносе динамици тржишта криптовалута. </w:t>
      </w:r>
      <w:r>
        <w:t xml:space="preserve"> </w:t>
      </w:r>
      <w:r w:rsidR="000F2D22">
        <w:rPr>
          <w:lang w:val="sr-Cyrl-RS"/>
        </w:rPr>
        <w:br w:type="page"/>
      </w:r>
    </w:p>
    <w:p w:rsidR="00630434" w:rsidRPr="00E43CFD" w:rsidRDefault="005D4590" w:rsidP="004E194A">
      <w:pPr>
        <w:pStyle w:val="Heading2"/>
      </w:pPr>
      <w:r>
        <w:rPr>
          <w:lang w:val="sr-Cyrl-RS"/>
        </w:rPr>
        <w:lastRenderedPageBreak/>
        <w:t xml:space="preserve">Пакетна обрада </w:t>
      </w:r>
    </w:p>
    <w:p w:rsidR="004E194A" w:rsidRDefault="00E43CFD" w:rsidP="005D4590">
      <w:pPr>
        <w:rPr>
          <w:lang w:val="sr-Cyrl-RS"/>
        </w:rPr>
      </w:pPr>
      <w:r>
        <w:rPr>
          <w:lang w:val="sr-Cyrl-RS"/>
        </w:rPr>
        <w:t xml:space="preserve">Сврха пакетне обраде историјских података је да се стекне увид у </w:t>
      </w:r>
      <w:r w:rsidR="004E194A">
        <w:rPr>
          <w:lang w:val="sr-Cyrl-RS"/>
        </w:rPr>
        <w:t xml:space="preserve">претходне </w:t>
      </w:r>
      <w:r>
        <w:rPr>
          <w:lang w:val="sr-Cyrl-RS"/>
        </w:rPr>
        <w:t xml:space="preserve">трендове </w:t>
      </w:r>
      <w:r w:rsidR="004E194A">
        <w:rPr>
          <w:lang w:val="sr-Cyrl-RS"/>
        </w:rPr>
        <w:t>кретања тржишта криптовалута са циљем откривања учесталих образаца понашања који би  се могли користити у будућим инвестирањима. У наредној секцији, детаљно је описан скуп података коришћен за пакетну обраду и представљена су питања на која би пакетна обрада требало да одговори</w:t>
      </w:r>
    </w:p>
    <w:p w:rsidR="004E194A" w:rsidRDefault="004E194A" w:rsidP="004E194A">
      <w:pPr>
        <w:pStyle w:val="Heading3"/>
        <w:rPr>
          <w:lang w:val="sr-Cyrl-RS"/>
        </w:rPr>
      </w:pPr>
      <w:r>
        <w:rPr>
          <w:lang w:val="sr-Cyrl-RS"/>
        </w:rPr>
        <w:t xml:space="preserve">Скуп података </w:t>
      </w:r>
    </w:p>
    <w:p w:rsidR="005D4590" w:rsidRDefault="004E194A" w:rsidP="004E194A">
      <w:pPr>
        <w:rPr>
          <w:lang w:val="sr-Cyrl-RS"/>
        </w:rPr>
      </w:pPr>
      <w:r>
        <w:rPr>
          <w:lang w:val="sr-Cyrl-RS"/>
        </w:rPr>
        <w:t xml:space="preserve"> Скуп података који ће бити анализиран, преузет је са сајта </w:t>
      </w:r>
      <w:r w:rsidRPr="00554485">
        <w:rPr>
          <w:b/>
          <w:i/>
        </w:rPr>
        <w:t>Kaggle</w:t>
      </w:r>
      <w:r>
        <w:rPr>
          <w:i/>
        </w:rPr>
        <w:t xml:space="preserve"> </w:t>
      </w:r>
      <w:r>
        <w:rPr>
          <w:lang w:val="sr-Cyrl-RS"/>
        </w:rPr>
        <w:t xml:space="preserve">и садржи историјске податке, </w:t>
      </w:r>
      <w:r w:rsidRPr="00554485">
        <w:rPr>
          <w:b/>
          <w:lang w:val="sr-Cyrl-RS"/>
        </w:rPr>
        <w:t>од 2017. године до данас</w:t>
      </w:r>
      <w:r>
        <w:rPr>
          <w:lang w:val="sr-Cyrl-RS"/>
        </w:rPr>
        <w:t xml:space="preserve">, о једноминутним свећњацима 1000 најпопуларнијих парова размена криптовалута, укупне </w:t>
      </w:r>
      <w:r w:rsidRPr="00554485">
        <w:rPr>
          <w:b/>
          <w:lang w:val="sr-Cyrl-RS"/>
        </w:rPr>
        <w:t>величине</w:t>
      </w:r>
      <w:r>
        <w:rPr>
          <w:lang w:val="sr-Cyrl-RS"/>
        </w:rPr>
        <w:t xml:space="preserve"> око </w:t>
      </w:r>
      <w:r w:rsidRPr="00554485">
        <w:rPr>
          <w:b/>
          <w:lang w:val="sr-Cyrl-RS"/>
        </w:rPr>
        <w:t xml:space="preserve">33 </w:t>
      </w:r>
      <w:r w:rsidRPr="00554485">
        <w:rPr>
          <w:b/>
        </w:rPr>
        <w:t>GB</w:t>
      </w:r>
      <w:r>
        <w:t xml:space="preserve">. </w:t>
      </w:r>
      <w:r>
        <w:rPr>
          <w:lang w:val="sr-Latn-RS"/>
        </w:rPr>
        <w:t>O</w:t>
      </w:r>
      <w:r>
        <w:rPr>
          <w:lang w:val="sr-Cyrl-RS"/>
        </w:rPr>
        <w:t xml:space="preserve">вај скуп података садржи </w:t>
      </w:r>
      <w:r w:rsidRPr="00554485">
        <w:rPr>
          <w:b/>
          <w:lang w:val="sr-Cyrl-RS"/>
        </w:rPr>
        <w:t>1000</w:t>
      </w:r>
      <w:r>
        <w:rPr>
          <w:lang w:val="sr-Cyrl-RS"/>
        </w:rPr>
        <w:t xml:space="preserve"> </w:t>
      </w:r>
      <w:r w:rsidRPr="00554485">
        <w:rPr>
          <w:b/>
          <w:i/>
        </w:rPr>
        <w:t xml:space="preserve">parquet </w:t>
      </w:r>
      <w:r w:rsidRPr="00554485">
        <w:rPr>
          <w:b/>
          <w:lang w:val="sr-Cyrl-RS"/>
        </w:rPr>
        <w:t>датотека</w:t>
      </w:r>
      <w:r>
        <w:rPr>
          <w:lang w:val="sr-Cyrl-RS"/>
        </w:rPr>
        <w:t xml:space="preserve"> где свака од њих представља податке о једном пару криптовалута за које се врши размена. </w:t>
      </w:r>
    </w:p>
    <w:p w:rsidR="004E194A" w:rsidRDefault="004E194A" w:rsidP="004E194A">
      <w:pPr>
        <w:rPr>
          <w:lang w:val="sr-Cyrl-RS"/>
        </w:rPr>
      </w:pPr>
      <w:r>
        <w:rPr>
          <w:lang w:val="sr-Cyrl-RS"/>
        </w:rPr>
        <w:t xml:space="preserve">У </w:t>
      </w:r>
      <w:r w:rsidRPr="00554485">
        <w:rPr>
          <w:b/>
          <w:lang w:val="sr-Cyrl-RS"/>
        </w:rPr>
        <w:t>табели 1</w:t>
      </w:r>
      <w:r>
        <w:rPr>
          <w:lang w:val="sr-Cyrl-RS"/>
        </w:rPr>
        <w:t>, приказани су атрибути којима се описује период размене од једног минута.</w:t>
      </w:r>
    </w:p>
    <w:tbl>
      <w:tblPr>
        <w:tblStyle w:val="GridTable4-Accent1"/>
        <w:tblW w:w="0" w:type="auto"/>
        <w:tblLook w:val="04A0" w:firstRow="1" w:lastRow="0" w:firstColumn="1" w:lastColumn="0" w:noHBand="0" w:noVBand="1"/>
      </w:tblPr>
      <w:tblGrid>
        <w:gridCol w:w="3342"/>
        <w:gridCol w:w="1341"/>
        <w:gridCol w:w="4667"/>
      </w:tblGrid>
      <w:tr w:rsidR="00B42F07" w:rsidTr="00B42F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Default="00B42F07" w:rsidP="004E194A">
            <w:pPr>
              <w:ind w:firstLine="0"/>
              <w:jc w:val="left"/>
              <w:rPr>
                <w:lang w:val="sr-Cyrl-RS"/>
              </w:rPr>
            </w:pPr>
            <w:r>
              <w:rPr>
                <w:lang w:val="sr-Cyrl-RS"/>
              </w:rPr>
              <w:t>Атрибут</w:t>
            </w:r>
          </w:p>
        </w:tc>
        <w:tc>
          <w:tcPr>
            <w:tcW w:w="1048" w:type="dxa"/>
          </w:tcPr>
          <w:p w:rsidR="00B42F07" w:rsidRPr="00B42F07" w:rsidRDefault="00B42F07" w:rsidP="004E194A">
            <w:pPr>
              <w:ind w:firstLine="0"/>
              <w:jc w:val="left"/>
              <w:cnfStyle w:val="100000000000" w:firstRow="1" w:lastRow="0" w:firstColumn="0" w:lastColumn="0" w:oddVBand="0" w:evenVBand="0" w:oddHBand="0" w:evenHBand="0" w:firstRowFirstColumn="0" w:firstRowLastColumn="0" w:lastRowFirstColumn="0" w:lastRowLastColumn="0"/>
              <w:rPr>
                <w:lang w:val="sr-Cyrl-RS"/>
              </w:rPr>
            </w:pPr>
            <w:r>
              <w:t>T</w:t>
            </w:r>
            <w:r>
              <w:rPr>
                <w:lang w:val="sr-Cyrl-RS"/>
              </w:rPr>
              <w:t>ип</w:t>
            </w:r>
          </w:p>
        </w:tc>
        <w:tc>
          <w:tcPr>
            <w:tcW w:w="4960" w:type="dxa"/>
          </w:tcPr>
          <w:p w:rsidR="00B42F07" w:rsidRDefault="00B42F07" w:rsidP="004E194A">
            <w:pPr>
              <w:ind w:firstLine="0"/>
              <w:jc w:val="left"/>
              <w:cnfStyle w:val="100000000000" w:firstRow="1" w:lastRow="0" w:firstColumn="0" w:lastColumn="0" w:oddVBand="0" w:evenVBand="0" w:oddHBand="0" w:evenHBand="0" w:firstRowFirstColumn="0" w:firstRowLastColumn="0" w:lastRowFirstColumn="0" w:lastRowLastColumn="0"/>
              <w:rPr>
                <w:lang w:val="sr-Cyrl-RS"/>
              </w:rPr>
            </w:pPr>
            <w:r>
              <w:rPr>
                <w:lang w:val="sr-Cyrl-RS"/>
              </w:rPr>
              <w:t>Значење</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4E194A" w:rsidRDefault="00B42F07" w:rsidP="004E194A">
            <w:pPr>
              <w:ind w:firstLine="0"/>
              <w:rPr>
                <w:b w:val="0"/>
                <w:i/>
              </w:rPr>
            </w:pPr>
            <w:r w:rsidRPr="004E194A">
              <w:rPr>
                <w:b w:val="0"/>
                <w:i/>
              </w:rPr>
              <w:t>open_time</w:t>
            </w:r>
          </w:p>
        </w:tc>
        <w:tc>
          <w:tcPr>
            <w:tcW w:w="1048" w:type="dxa"/>
          </w:tcPr>
          <w:p w:rsidR="00B42F07" w:rsidRP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i/>
              </w:rPr>
            </w:pPr>
            <w:r>
              <w:rPr>
                <w:i/>
              </w:rPr>
              <w:t>d</w:t>
            </w:r>
            <w:r w:rsidRPr="00B42F07">
              <w:rPr>
                <w:i/>
              </w:rPr>
              <w:t>atetime64</w:t>
            </w:r>
          </w:p>
        </w:tc>
        <w:tc>
          <w:tcPr>
            <w:tcW w:w="4960" w:type="dxa"/>
          </w:tcPr>
          <w:p w:rsidR="00B42F07" w:rsidRPr="00B42F07" w:rsidRDefault="009739FF"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lang w:val="sr-Cyrl-RS"/>
              </w:rPr>
              <w:t>Временски тренутак отварања свећњака</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4E194A" w:rsidRDefault="00B42F07" w:rsidP="004E194A">
            <w:pPr>
              <w:ind w:firstLine="0"/>
              <w:rPr>
                <w:b w:val="0"/>
                <w:i/>
              </w:rPr>
            </w:pPr>
            <w:r w:rsidRPr="004E194A">
              <w:rPr>
                <w:b w:val="0"/>
                <w:i/>
              </w:rPr>
              <w:t>open</w:t>
            </w:r>
          </w:p>
        </w:tc>
        <w:tc>
          <w:tcPr>
            <w:tcW w:w="1048" w:type="dxa"/>
          </w:tcPr>
          <w:p w:rsidR="00B42F07" w:rsidRP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i/>
              </w:rPr>
            </w:pPr>
            <w:r>
              <w:rPr>
                <w:i/>
              </w:rPr>
              <w:t>f</w:t>
            </w:r>
            <w:r w:rsidRPr="00B42F07">
              <w:rPr>
                <w:i/>
              </w:rPr>
              <w:t>loat32</w:t>
            </w:r>
          </w:p>
        </w:tc>
        <w:tc>
          <w:tcPr>
            <w:tcW w:w="4960" w:type="dxa"/>
          </w:tcPr>
          <w:p w:rsidR="00B42F07" w:rsidRPr="009739FF" w:rsidRDefault="009739FF"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Цена отварања</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high</w:t>
            </w:r>
          </w:p>
        </w:tc>
        <w:tc>
          <w:tcPr>
            <w:tcW w:w="1048" w:type="dxa"/>
          </w:tcPr>
          <w:p w:rsidR="00B42F07" w:rsidRP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i/>
              </w:rPr>
            </w:pPr>
            <w:r>
              <w:rPr>
                <w:i/>
              </w:rPr>
              <w:t>f</w:t>
            </w:r>
            <w:r w:rsidRPr="00B42F07">
              <w:rPr>
                <w:i/>
              </w:rPr>
              <w:t>loat32</w:t>
            </w:r>
          </w:p>
        </w:tc>
        <w:tc>
          <w:tcPr>
            <w:tcW w:w="4960" w:type="dxa"/>
          </w:tcPr>
          <w:p w:rsidR="00B42F07" w:rsidRPr="009739FF" w:rsidRDefault="009739FF"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lang w:val="sr-Cyrl-RS"/>
              </w:rPr>
              <w:t>Тачка највише цене</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low</w:t>
            </w:r>
          </w:p>
        </w:tc>
        <w:tc>
          <w:tcPr>
            <w:tcW w:w="1048" w:type="dxa"/>
          </w:tcPr>
          <w:p w:rsid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lang w:val="sr-Cyrl-RS"/>
              </w:rPr>
            </w:pPr>
            <w:r>
              <w:rPr>
                <w:i/>
              </w:rPr>
              <w:t>f</w:t>
            </w:r>
            <w:r w:rsidRPr="00B42F07">
              <w:rPr>
                <w:i/>
              </w:rPr>
              <w:t>loat32</w:t>
            </w:r>
          </w:p>
        </w:tc>
        <w:tc>
          <w:tcPr>
            <w:tcW w:w="4960" w:type="dxa"/>
          </w:tcPr>
          <w:p w:rsidR="00B42F07" w:rsidRPr="009739FF" w:rsidRDefault="009739FF"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 xml:space="preserve">Тачка најниже цене </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close</w:t>
            </w:r>
          </w:p>
        </w:tc>
        <w:tc>
          <w:tcPr>
            <w:tcW w:w="1048" w:type="dxa"/>
          </w:tcPr>
          <w:p w:rsid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lang w:val="sr-Cyrl-RS"/>
              </w:rPr>
            </w:pPr>
            <w:r>
              <w:rPr>
                <w:i/>
              </w:rPr>
              <w:t>f</w:t>
            </w:r>
            <w:r w:rsidRPr="00B42F07">
              <w:rPr>
                <w:i/>
              </w:rPr>
              <w:t>loat32</w:t>
            </w:r>
          </w:p>
        </w:tc>
        <w:tc>
          <w:tcPr>
            <w:tcW w:w="4960" w:type="dxa"/>
          </w:tcPr>
          <w:p w:rsidR="00B42F07" w:rsidRPr="009739FF" w:rsidRDefault="009739FF"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lang w:val="sr-Cyrl-RS"/>
              </w:rPr>
              <w:t>Цена затварања</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volume</w:t>
            </w:r>
          </w:p>
        </w:tc>
        <w:tc>
          <w:tcPr>
            <w:tcW w:w="1048" w:type="dxa"/>
          </w:tcPr>
          <w:p w:rsid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lang w:val="sr-Cyrl-RS"/>
              </w:rPr>
            </w:pPr>
            <w:r>
              <w:rPr>
                <w:i/>
              </w:rPr>
              <w:t>f</w:t>
            </w:r>
            <w:r w:rsidRPr="00B42F07">
              <w:rPr>
                <w:i/>
              </w:rPr>
              <w:t>loat32</w:t>
            </w:r>
          </w:p>
        </w:tc>
        <w:tc>
          <w:tcPr>
            <w:tcW w:w="4960" w:type="dxa"/>
          </w:tcPr>
          <w:p w:rsidR="00B42F07" w:rsidRPr="000F2D22" w:rsidRDefault="000F2D22"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 xml:space="preserve">Обим трговине криптовалута током једног минута. </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quote_asset_volume</w:t>
            </w:r>
          </w:p>
        </w:tc>
        <w:tc>
          <w:tcPr>
            <w:tcW w:w="1048" w:type="dxa"/>
          </w:tcPr>
          <w:p w:rsid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lang w:val="sr-Cyrl-RS"/>
              </w:rPr>
            </w:pPr>
            <w:r>
              <w:rPr>
                <w:i/>
              </w:rPr>
              <w:t>f</w:t>
            </w:r>
            <w:r w:rsidRPr="00B42F07">
              <w:rPr>
                <w:i/>
              </w:rPr>
              <w:t>loat32</w:t>
            </w:r>
          </w:p>
        </w:tc>
        <w:tc>
          <w:tcPr>
            <w:tcW w:w="4960" w:type="dxa"/>
          </w:tcPr>
          <w:p w:rsidR="00B42F07" w:rsidRPr="009739FF" w:rsidRDefault="000F2D22"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lang w:val="sr-Cyrl-RS"/>
              </w:rPr>
              <w:t>Укупна вредност трговине током једног минута изражена у вредности</w:t>
            </w:r>
            <w:r w:rsidR="009739FF">
              <w:rPr>
                <w:sz w:val="20"/>
                <w:szCs w:val="20"/>
              </w:rPr>
              <w:t xml:space="preserve"> </w:t>
            </w:r>
            <w:r w:rsidR="009739FF">
              <w:rPr>
                <w:sz w:val="20"/>
                <w:szCs w:val="20"/>
                <w:lang w:val="sr-Cyrl-RS"/>
              </w:rPr>
              <w:t>котиране валуте</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number_of_trades</w:t>
            </w:r>
          </w:p>
        </w:tc>
        <w:tc>
          <w:tcPr>
            <w:tcW w:w="1048" w:type="dxa"/>
          </w:tcPr>
          <w:p w:rsidR="00B42F07" w:rsidRP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i/>
              </w:rPr>
            </w:pPr>
            <w:r w:rsidRPr="00B42F07">
              <w:rPr>
                <w:i/>
              </w:rPr>
              <w:t>uint16</w:t>
            </w:r>
          </w:p>
        </w:tc>
        <w:tc>
          <w:tcPr>
            <w:tcW w:w="4960" w:type="dxa"/>
          </w:tcPr>
          <w:p w:rsidR="00B42F07" w:rsidRPr="009739FF" w:rsidRDefault="009739FF"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Укупан број размена у минути</w:t>
            </w:r>
          </w:p>
        </w:tc>
      </w:tr>
      <w:tr w:rsidR="00B42F07" w:rsidTr="00B42F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taker_buy_base_asset_volume</w:t>
            </w:r>
          </w:p>
        </w:tc>
        <w:tc>
          <w:tcPr>
            <w:tcW w:w="1048" w:type="dxa"/>
          </w:tcPr>
          <w:p w:rsidR="00B42F07" w:rsidRDefault="00B42F07" w:rsidP="004E194A">
            <w:pPr>
              <w:ind w:firstLine="0"/>
              <w:cnfStyle w:val="000000100000" w:firstRow="0" w:lastRow="0" w:firstColumn="0" w:lastColumn="0" w:oddVBand="0" w:evenVBand="0" w:oddHBand="1" w:evenHBand="0" w:firstRowFirstColumn="0" w:firstRowLastColumn="0" w:lastRowFirstColumn="0" w:lastRowLastColumn="0"/>
              <w:rPr>
                <w:lang w:val="sr-Cyrl-RS"/>
              </w:rPr>
            </w:pPr>
            <w:r>
              <w:rPr>
                <w:i/>
              </w:rPr>
              <w:t>f</w:t>
            </w:r>
            <w:r w:rsidRPr="00B42F07">
              <w:rPr>
                <w:i/>
              </w:rPr>
              <w:t>loat32</w:t>
            </w:r>
          </w:p>
        </w:tc>
        <w:tc>
          <w:tcPr>
            <w:tcW w:w="4960" w:type="dxa"/>
          </w:tcPr>
          <w:p w:rsidR="00B42F07" w:rsidRPr="00554485" w:rsidRDefault="00554485" w:rsidP="004E194A">
            <w:pPr>
              <w:ind w:firstLine="0"/>
              <w:cnfStyle w:val="000000100000" w:firstRow="0" w:lastRow="0" w:firstColumn="0" w:lastColumn="0" w:oddVBand="0" w:evenVBand="0" w:oddHBand="1" w:evenHBand="0" w:firstRowFirstColumn="0" w:firstRowLastColumn="0" w:lastRowFirstColumn="0" w:lastRowLastColumn="0"/>
              <w:rPr>
                <w:sz w:val="20"/>
                <w:szCs w:val="20"/>
                <w:lang w:val="sr-Cyrl-RS"/>
              </w:rPr>
            </w:pPr>
            <w:r>
              <w:rPr>
                <w:sz w:val="20"/>
                <w:szCs w:val="20"/>
              </w:rPr>
              <w:t>O</w:t>
            </w:r>
            <w:r>
              <w:rPr>
                <w:sz w:val="20"/>
                <w:szCs w:val="20"/>
                <w:lang w:val="sr-Cyrl-RS"/>
              </w:rPr>
              <w:t>бим криптовалуте коју су купили тржишни субјекти изражен у основном средству током минута</w:t>
            </w:r>
          </w:p>
        </w:tc>
      </w:tr>
      <w:tr w:rsidR="00B42F07" w:rsidTr="00B42F07">
        <w:tc>
          <w:tcPr>
            <w:cnfStyle w:val="001000000000" w:firstRow="0" w:lastRow="0" w:firstColumn="1" w:lastColumn="0" w:oddVBand="0" w:evenVBand="0" w:oddHBand="0" w:evenHBand="0" w:firstRowFirstColumn="0" w:firstRowLastColumn="0" w:lastRowFirstColumn="0" w:lastRowLastColumn="0"/>
            <w:tcW w:w="3342" w:type="dxa"/>
          </w:tcPr>
          <w:p w:rsidR="00B42F07" w:rsidRPr="00B42F07" w:rsidRDefault="00B42F07" w:rsidP="004E194A">
            <w:pPr>
              <w:ind w:firstLine="0"/>
              <w:rPr>
                <w:b w:val="0"/>
                <w:i/>
              </w:rPr>
            </w:pPr>
            <w:r w:rsidRPr="00B42F07">
              <w:rPr>
                <w:b w:val="0"/>
                <w:i/>
              </w:rPr>
              <w:t>taker_buy_quote_asset_volume</w:t>
            </w:r>
          </w:p>
        </w:tc>
        <w:tc>
          <w:tcPr>
            <w:tcW w:w="1048" w:type="dxa"/>
          </w:tcPr>
          <w:p w:rsidR="00B42F07" w:rsidRDefault="00B42F07" w:rsidP="004E194A">
            <w:pPr>
              <w:ind w:firstLine="0"/>
              <w:cnfStyle w:val="000000000000" w:firstRow="0" w:lastRow="0" w:firstColumn="0" w:lastColumn="0" w:oddVBand="0" w:evenVBand="0" w:oddHBand="0" w:evenHBand="0" w:firstRowFirstColumn="0" w:firstRowLastColumn="0" w:lastRowFirstColumn="0" w:lastRowLastColumn="0"/>
              <w:rPr>
                <w:lang w:val="sr-Cyrl-RS"/>
              </w:rPr>
            </w:pPr>
            <w:r>
              <w:rPr>
                <w:i/>
              </w:rPr>
              <w:t>f</w:t>
            </w:r>
            <w:r w:rsidRPr="00B42F07">
              <w:rPr>
                <w:i/>
              </w:rPr>
              <w:t>loat32</w:t>
            </w:r>
          </w:p>
        </w:tc>
        <w:tc>
          <w:tcPr>
            <w:tcW w:w="4960" w:type="dxa"/>
          </w:tcPr>
          <w:p w:rsidR="00B42F07" w:rsidRPr="00554485" w:rsidRDefault="00554485" w:rsidP="004E194A">
            <w:pPr>
              <w:ind w:firstLine="0"/>
              <w:cnfStyle w:val="000000000000" w:firstRow="0" w:lastRow="0" w:firstColumn="0" w:lastColumn="0" w:oddVBand="0" w:evenVBand="0" w:oddHBand="0" w:evenHBand="0" w:firstRowFirstColumn="0" w:firstRowLastColumn="0" w:lastRowFirstColumn="0" w:lastRowLastColumn="0"/>
              <w:rPr>
                <w:sz w:val="20"/>
                <w:szCs w:val="20"/>
                <w:lang w:val="sr-Cyrl-RS"/>
              </w:rPr>
            </w:pPr>
            <w:r>
              <w:rPr>
                <w:sz w:val="20"/>
                <w:szCs w:val="20"/>
                <w:lang w:val="sr-Cyrl-RS"/>
              </w:rPr>
              <w:t>Вредност криптовалуте коју су купили тржишни субјекти изражен у средству котирања током минута</w:t>
            </w:r>
          </w:p>
        </w:tc>
      </w:tr>
    </w:tbl>
    <w:p w:rsidR="004E194A" w:rsidRPr="004E194A" w:rsidRDefault="00475AE7" w:rsidP="00475AE7">
      <w:pPr>
        <w:spacing w:before="360"/>
        <w:rPr>
          <w:lang w:val="sr-Cyrl-RS"/>
        </w:rPr>
      </w:pPr>
      <w:r>
        <w:rPr>
          <w:lang w:val="sr-Cyrl-RS"/>
        </w:rPr>
        <w:t xml:space="preserve"> </w:t>
      </w:r>
    </w:p>
    <w:p w:rsidR="004E194A" w:rsidRDefault="00554485" w:rsidP="00554485">
      <w:pPr>
        <w:pStyle w:val="Heading3"/>
        <w:rPr>
          <w:lang w:val="sr-Cyrl-RS"/>
        </w:rPr>
      </w:pPr>
      <w:r>
        <w:rPr>
          <w:lang w:val="sr-Cyrl-RS"/>
        </w:rPr>
        <w:lastRenderedPageBreak/>
        <w:t>Обрада података</w:t>
      </w:r>
    </w:p>
    <w:p w:rsidR="00554485" w:rsidRDefault="00E1779C" w:rsidP="00A16B9E">
      <w:pPr>
        <w:spacing w:after="360"/>
      </w:pPr>
      <w:r>
        <w:rPr>
          <w:lang w:val="sr-Cyrl-RS"/>
        </w:rPr>
        <w:t>На основу претходно описаног скупа података, у наредној секцији представљен је скуп од 1</w:t>
      </w:r>
      <w:r w:rsidR="003B59B8">
        <w:rPr>
          <w:lang w:val="sr-Cyrl-RS"/>
        </w:rPr>
        <w:t>1</w:t>
      </w:r>
      <w:r>
        <w:rPr>
          <w:lang w:val="sr-Cyrl-RS"/>
        </w:rPr>
        <w:t xml:space="preserve"> питања на која пакетна обрада тежи да одговори</w:t>
      </w:r>
      <w:r>
        <w:t>:</w:t>
      </w:r>
    </w:p>
    <w:p w:rsidR="00E1779C" w:rsidRPr="00CF0CA2" w:rsidRDefault="004830ED" w:rsidP="00A16B9E">
      <w:pPr>
        <w:pStyle w:val="ListParagraph"/>
        <w:numPr>
          <w:ilvl w:val="0"/>
          <w:numId w:val="24"/>
        </w:numPr>
        <w:spacing w:after="240"/>
        <w:ind w:left="1003" w:hanging="357"/>
        <w:contextualSpacing w:val="0"/>
      </w:pPr>
      <w:r>
        <w:rPr>
          <w:lang w:val="sr-Cyrl-RS"/>
        </w:rPr>
        <w:t>За сваки пар криптовалута одредити највећу и најмању цену током сваке године.</w:t>
      </w:r>
    </w:p>
    <w:p w:rsidR="00CF0CA2" w:rsidRPr="00CF0CA2" w:rsidRDefault="004830ED" w:rsidP="00A16B9E">
      <w:pPr>
        <w:pStyle w:val="ListParagraph"/>
        <w:numPr>
          <w:ilvl w:val="0"/>
          <w:numId w:val="24"/>
        </w:numPr>
        <w:spacing w:after="240"/>
        <w:ind w:left="1003" w:hanging="357"/>
        <w:contextualSpacing w:val="0"/>
      </w:pPr>
      <w:r>
        <w:rPr>
          <w:lang w:val="sr-Cyrl-RS"/>
        </w:rPr>
        <w:t>Одредити укупан промет тржишта криптовалута изражен у доларима за сваку годину.</w:t>
      </w:r>
    </w:p>
    <w:p w:rsidR="004830ED" w:rsidRPr="00CF0CA2" w:rsidRDefault="004830ED" w:rsidP="004830ED">
      <w:pPr>
        <w:pStyle w:val="ListParagraph"/>
        <w:numPr>
          <w:ilvl w:val="0"/>
          <w:numId w:val="24"/>
        </w:numPr>
        <w:spacing w:after="240"/>
        <w:ind w:left="1003" w:hanging="357"/>
        <w:contextualSpacing w:val="0"/>
      </w:pPr>
      <w:r>
        <w:rPr>
          <w:lang w:val="sr-Cyrl-RS"/>
        </w:rPr>
        <w:t>За сваки пар криптовалута израчунати 30-дневни покретни просек обима размене и одредити да ли је тренд растући или опадајући.</w:t>
      </w:r>
    </w:p>
    <w:p w:rsidR="00CF0CA2" w:rsidRPr="00CF0CA2" w:rsidRDefault="004830ED" w:rsidP="00A16B9E">
      <w:pPr>
        <w:pStyle w:val="ListParagraph"/>
        <w:numPr>
          <w:ilvl w:val="0"/>
          <w:numId w:val="24"/>
        </w:numPr>
        <w:spacing w:after="240"/>
        <w:ind w:left="1003" w:hanging="357"/>
        <w:contextualSpacing w:val="0"/>
      </w:pPr>
      <w:r>
        <w:rPr>
          <w:lang w:val="sr-Cyrl-RS"/>
        </w:rPr>
        <w:t>Одредити како су периоди са знатно великим обимом трговине утицали на промену цене изабраног пара криптовалута.</w:t>
      </w:r>
    </w:p>
    <w:p w:rsidR="00CF0CA2" w:rsidRPr="00CF0CA2" w:rsidRDefault="004830ED" w:rsidP="00A16B9E">
      <w:pPr>
        <w:pStyle w:val="ListParagraph"/>
        <w:numPr>
          <w:ilvl w:val="0"/>
          <w:numId w:val="24"/>
        </w:numPr>
        <w:spacing w:after="240"/>
        <w:ind w:left="1003" w:hanging="357"/>
        <w:contextualSpacing w:val="0"/>
      </w:pPr>
      <w:r>
        <w:rPr>
          <w:lang w:val="sr-Cyrl-RS"/>
        </w:rPr>
        <w:t>За сваки пар криптовалута одредити промене у коефицијенту корелације са другим паровима на кварталном нивоу у току године.</w:t>
      </w:r>
    </w:p>
    <w:p w:rsidR="00CF0CA2" w:rsidRPr="00CF0CA2" w:rsidRDefault="004830ED" w:rsidP="00A16B9E">
      <w:pPr>
        <w:pStyle w:val="ListParagraph"/>
        <w:numPr>
          <w:ilvl w:val="0"/>
          <w:numId w:val="24"/>
        </w:numPr>
        <w:spacing w:after="240"/>
        <w:ind w:left="1003" w:hanging="357"/>
        <w:contextualSpacing w:val="0"/>
      </w:pPr>
      <w:r>
        <w:rPr>
          <w:lang w:val="sr-Cyrl-RS"/>
        </w:rPr>
        <w:t>Одредити утицај високог/ниског релативног индекса снаге на промену у цени и обиму продаје одређене криптовалуте.</w:t>
      </w:r>
    </w:p>
    <w:p w:rsidR="00CF0CA2" w:rsidRPr="007162EC" w:rsidRDefault="004830ED" w:rsidP="00A16B9E">
      <w:pPr>
        <w:pStyle w:val="ListParagraph"/>
        <w:numPr>
          <w:ilvl w:val="0"/>
          <w:numId w:val="24"/>
        </w:numPr>
        <w:spacing w:after="240"/>
        <w:ind w:left="1003" w:hanging="357"/>
        <w:contextualSpacing w:val="0"/>
      </w:pPr>
      <w:r>
        <w:rPr>
          <w:lang w:val="sr-Cyrl-RS"/>
        </w:rPr>
        <w:t xml:space="preserve">За сваки месец од 2017. до 2022. године, пребројати колико пута су се појавили </w:t>
      </w:r>
      <w:r>
        <w:t xml:space="preserve">Hammer </w:t>
      </w:r>
      <w:r>
        <w:rPr>
          <w:lang w:val="sr-Cyrl-RS"/>
        </w:rPr>
        <w:t xml:space="preserve">или </w:t>
      </w:r>
      <w:r>
        <w:rPr>
          <w:lang w:val="sr-Latn-RS"/>
        </w:rPr>
        <w:t xml:space="preserve">Shooting Star </w:t>
      </w:r>
      <w:r>
        <w:rPr>
          <w:lang w:val="sr-Cyrl-RS"/>
        </w:rPr>
        <w:t xml:space="preserve">шаблони </w:t>
      </w:r>
      <w:r>
        <w:t xml:space="preserve">BTC-USDT </w:t>
      </w:r>
      <w:r>
        <w:rPr>
          <w:lang w:val="sr-Cyrl-RS"/>
        </w:rPr>
        <w:t>свећњака</w:t>
      </w:r>
      <w:r w:rsidR="00DB0183">
        <w:rPr>
          <w:lang w:val="sr-Cyrl-RS"/>
        </w:rPr>
        <w:t>.</w:t>
      </w:r>
    </w:p>
    <w:p w:rsidR="007162EC" w:rsidRDefault="004830ED" w:rsidP="00A16B9E">
      <w:pPr>
        <w:pStyle w:val="ListParagraph"/>
        <w:numPr>
          <w:ilvl w:val="0"/>
          <w:numId w:val="24"/>
        </w:numPr>
        <w:spacing w:after="240"/>
        <w:ind w:left="1003" w:hanging="357"/>
        <w:contextualSpacing w:val="0"/>
      </w:pPr>
      <w:r>
        <w:rPr>
          <w:lang w:val="sr-Cyrl-RS"/>
        </w:rPr>
        <w:t>За изабрани пар криптовалута приказати колико пута у сваком месецу је број размена у дану био дупло већи од просека за тај месец</w:t>
      </w:r>
      <w:r w:rsidR="00DB0183">
        <w:rPr>
          <w:lang w:val="sr-Cyrl-RS"/>
        </w:rPr>
        <w:t>.</w:t>
      </w:r>
    </w:p>
    <w:p w:rsidR="00CA618D" w:rsidRPr="00CA618D" w:rsidRDefault="004830ED" w:rsidP="00A16B9E">
      <w:pPr>
        <w:pStyle w:val="ListParagraph"/>
        <w:numPr>
          <w:ilvl w:val="0"/>
          <w:numId w:val="24"/>
        </w:numPr>
        <w:spacing w:after="240"/>
        <w:ind w:left="1003" w:hanging="357"/>
        <w:contextualSpacing w:val="0"/>
      </w:pPr>
      <w:r>
        <w:rPr>
          <w:lang w:val="sr-Cyrl-RS"/>
        </w:rPr>
        <w:t>За изабрани пар криптовалута одредити 5 месеци када је релативни индекс снаге био најнижи</w:t>
      </w:r>
      <w:r w:rsidR="00DB0183">
        <w:rPr>
          <w:lang w:val="sr-Cyrl-RS"/>
        </w:rPr>
        <w:t>.</w:t>
      </w:r>
    </w:p>
    <w:p w:rsidR="00CA618D" w:rsidRPr="00DC4130" w:rsidRDefault="00CA618D" w:rsidP="00A16B9E">
      <w:pPr>
        <w:pStyle w:val="ListParagraph"/>
        <w:numPr>
          <w:ilvl w:val="0"/>
          <w:numId w:val="24"/>
        </w:numPr>
        <w:spacing w:after="240"/>
        <w:ind w:left="1003" w:hanging="357"/>
        <w:contextualSpacing w:val="0"/>
      </w:pPr>
      <w:r>
        <w:rPr>
          <w:lang w:val="sr-Cyrl-RS"/>
        </w:rPr>
        <w:t xml:space="preserve"> </w:t>
      </w:r>
      <w:r w:rsidR="004830ED">
        <w:rPr>
          <w:lang w:val="sr-Cyrl-RS"/>
        </w:rPr>
        <w:t>За изабрани пар криптовалута одредити периоде када је цена затварања била изнад или испод болингеровог појаса</w:t>
      </w:r>
      <w:r w:rsidR="00DB0183">
        <w:rPr>
          <w:lang w:val="sr-Cyrl-RS"/>
        </w:rPr>
        <w:t>.</w:t>
      </w:r>
    </w:p>
    <w:p w:rsidR="00CA618D" w:rsidRDefault="00A16B9E" w:rsidP="00A16B9E">
      <w:pPr>
        <w:pStyle w:val="Heading2"/>
        <w:rPr>
          <w:lang w:val="sr-Cyrl-RS"/>
        </w:rPr>
      </w:pPr>
      <w:r>
        <w:rPr>
          <w:lang w:val="sr-Cyrl-RS"/>
        </w:rPr>
        <w:t xml:space="preserve">Обрада у реалном времену </w:t>
      </w:r>
    </w:p>
    <w:p w:rsidR="00A16B9E" w:rsidRDefault="00EC3CE6" w:rsidP="00A16B9E">
      <w:pPr>
        <w:rPr>
          <w:lang w:val="sr-Cyrl-RS"/>
        </w:rPr>
      </w:pPr>
      <w:r>
        <w:rPr>
          <w:lang w:val="sr-Cyrl-RS"/>
        </w:rPr>
        <w:t>Обрада података у реалном времену је</w:t>
      </w:r>
      <w:r w:rsidR="00FE501A">
        <w:rPr>
          <w:lang w:val="sr-Cyrl-RS"/>
        </w:rPr>
        <w:t xml:space="preserve">, поред историјске обраде, други кључни фактор који помаже у доношењу одлука на тржишту криптовалута. Подаци који пристижу у реалном времену значајни су за инвеститоре јер пружају увид у тренутну динамику тржишта, чиме омогућавају брзе реакције и адаптације на промене. </w:t>
      </w:r>
      <w:r w:rsidR="00FE501A" w:rsidRPr="00FE501A">
        <w:rPr>
          <w:i/>
        </w:rPr>
        <w:t>Binance</w:t>
      </w:r>
      <w:r w:rsidR="00FE501A">
        <w:rPr>
          <w:i/>
        </w:rPr>
        <w:t xml:space="preserve"> </w:t>
      </w:r>
      <w:r w:rsidR="00FE501A">
        <w:rPr>
          <w:lang w:val="sr-Cyrl-RS"/>
        </w:rPr>
        <w:t xml:space="preserve">пружа </w:t>
      </w:r>
      <w:r w:rsidR="00FE501A" w:rsidRPr="00FE501A">
        <w:rPr>
          <w:b/>
          <w:lang w:val="sr-Cyrl-RS"/>
        </w:rPr>
        <w:t xml:space="preserve">јавно доступни </w:t>
      </w:r>
      <w:r w:rsidR="00FE501A" w:rsidRPr="00FE501A">
        <w:rPr>
          <w:b/>
        </w:rPr>
        <w:t>API</w:t>
      </w:r>
      <w:r w:rsidR="00FE501A">
        <w:rPr>
          <w:b/>
        </w:rPr>
        <w:t xml:space="preserve"> </w:t>
      </w:r>
      <w:r w:rsidR="00FE501A">
        <w:rPr>
          <w:lang w:val="sr-Cyrl-RS"/>
        </w:rPr>
        <w:t>кој</w:t>
      </w:r>
      <w:r w:rsidR="00FE501A">
        <w:t>e</w:t>
      </w:r>
      <w:r w:rsidR="00FE501A">
        <w:rPr>
          <w:lang w:val="sr-Cyrl-RS"/>
        </w:rPr>
        <w:t xml:space="preserve">м је могуће приступити помоћу веб сокета како би се прибавили подаци о тржишту у реалном времену. </w:t>
      </w:r>
    </w:p>
    <w:p w:rsidR="00FE501A" w:rsidRDefault="00C10E95" w:rsidP="00C10E95">
      <w:pPr>
        <w:pStyle w:val="Heading3"/>
        <w:rPr>
          <w:lang w:val="sr-Cyrl-RS"/>
        </w:rPr>
      </w:pPr>
      <w:r>
        <w:rPr>
          <w:lang w:val="sr-Cyrl-RS"/>
        </w:rPr>
        <w:lastRenderedPageBreak/>
        <w:t>Скуп података</w:t>
      </w:r>
    </w:p>
    <w:p w:rsidR="00C10E95" w:rsidRDefault="00C10E95" w:rsidP="00C10E95">
      <w:pPr>
        <w:rPr>
          <w:lang w:val="sr-Cyrl-RS"/>
        </w:rPr>
      </w:pPr>
      <w:r>
        <w:rPr>
          <w:lang w:val="sr-Cyrl-RS"/>
        </w:rPr>
        <w:t xml:space="preserve">Као што је већ напоменуто, </w:t>
      </w:r>
      <w:r>
        <w:t xml:space="preserve">Binance </w:t>
      </w:r>
      <w:r>
        <w:rPr>
          <w:lang w:val="sr-Cyrl-RS"/>
        </w:rPr>
        <w:t xml:space="preserve">нуди јавно доступни </w:t>
      </w:r>
      <w:r>
        <w:t xml:space="preserve">API </w:t>
      </w:r>
      <w:r>
        <w:rPr>
          <w:lang w:val="sr-Cyrl-RS"/>
        </w:rPr>
        <w:t xml:space="preserve">помоћу којег се могу добављати подаци о свећњацима у одређеним временским интервалима. Подаци се чувају у виду </w:t>
      </w:r>
      <w:r>
        <w:t xml:space="preserve">JSON </w:t>
      </w:r>
      <w:r>
        <w:rPr>
          <w:lang w:val="sr-Cyrl-RS"/>
        </w:rPr>
        <w:t xml:space="preserve">објеката чија је структура приказана на </w:t>
      </w:r>
      <w:r w:rsidRPr="00C10E95">
        <w:rPr>
          <w:b/>
          <w:lang w:val="sr-Cyrl-RS"/>
        </w:rPr>
        <w:t xml:space="preserve">слици </w:t>
      </w:r>
      <w:r>
        <w:rPr>
          <w:b/>
          <w:lang w:val="sr-Cyrl-RS"/>
        </w:rPr>
        <w:t>5</w:t>
      </w:r>
      <w:r>
        <w:rPr>
          <w:lang w:val="sr-Cyrl-RS"/>
        </w:rPr>
        <w:t xml:space="preserve">. </w:t>
      </w:r>
    </w:p>
    <w:p w:rsidR="00C10E95" w:rsidRDefault="00C10E95" w:rsidP="003D2373">
      <w:pPr>
        <w:ind w:firstLine="0"/>
        <w:rPr>
          <w:lang w:val="sr-Cyrl-RS"/>
        </w:rPr>
      </w:pPr>
      <w:r w:rsidRPr="00554485">
        <w:rPr>
          <w:b/>
          <w:noProof/>
        </w:rPr>
        <mc:AlternateContent>
          <mc:Choice Requires="wps">
            <w:drawing>
              <wp:anchor distT="0" distB="0" distL="114300" distR="114300" simplePos="0" relativeHeight="251675648" behindDoc="0" locked="0" layoutInCell="1" allowOverlap="1" wp14:anchorId="67B60567" wp14:editId="4CFA1ED4">
                <wp:simplePos x="0" y="0"/>
                <wp:positionH relativeFrom="margin">
                  <wp:align>center</wp:align>
                </wp:positionH>
                <wp:positionV relativeFrom="paragraph">
                  <wp:posOffset>4359647</wp:posOffset>
                </wp:positionV>
                <wp:extent cx="3493135" cy="249555"/>
                <wp:effectExtent l="0" t="0" r="0" b="0"/>
                <wp:wrapThrough wrapText="bothSides">
                  <wp:wrapPolygon edited="0">
                    <wp:start x="0" y="0"/>
                    <wp:lineTo x="0" y="19786"/>
                    <wp:lineTo x="21439" y="19786"/>
                    <wp:lineTo x="2143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3493135" cy="249555"/>
                        </a:xfrm>
                        <a:prstGeom prst="rect">
                          <a:avLst/>
                        </a:prstGeom>
                        <a:solidFill>
                          <a:prstClr val="white"/>
                        </a:solidFill>
                        <a:ln>
                          <a:noFill/>
                        </a:ln>
                      </wps:spPr>
                      <wps:txbx>
                        <w:txbxContent>
                          <w:p w:rsidR="00C10E95" w:rsidRPr="003D2373" w:rsidRDefault="00C10E95" w:rsidP="00C10E95">
                            <w:pPr>
                              <w:pStyle w:val="Caption"/>
                              <w:rPr>
                                <w:noProof/>
                                <w:sz w:val="18"/>
                                <w:lang w:val="sr-Cyrl-RS"/>
                              </w:rPr>
                            </w:pPr>
                            <w:r w:rsidRPr="00244400">
                              <w:rPr>
                                <w:b/>
                                <w:sz w:val="18"/>
                                <w:lang w:val="sr-Cyrl-RS"/>
                              </w:rPr>
                              <w:t xml:space="preserve">Слика </w:t>
                            </w:r>
                            <w:r>
                              <w:rPr>
                                <w:b/>
                                <w:sz w:val="18"/>
                                <w:lang w:val="sr-Cyrl-RS"/>
                              </w:rPr>
                              <w:t>5</w:t>
                            </w:r>
                            <w:r>
                              <w:rPr>
                                <w:sz w:val="18"/>
                                <w:lang w:val="sr-Cyrl-RS"/>
                              </w:rPr>
                              <w:t xml:space="preserve"> Структура </w:t>
                            </w:r>
                            <w:r>
                              <w:rPr>
                                <w:sz w:val="18"/>
                              </w:rPr>
                              <w:t xml:space="preserve">JSON </w:t>
                            </w:r>
                            <w:r>
                              <w:rPr>
                                <w:sz w:val="18"/>
                                <w:lang w:val="sr-Cyrl-RS"/>
                              </w:rPr>
                              <w:t xml:space="preserve">објекта </w:t>
                            </w:r>
                            <w:r w:rsidR="003D2373">
                              <w:rPr>
                                <w:sz w:val="18"/>
                                <w:lang w:val="sr-Cyrl-RS"/>
                              </w:rPr>
                              <w:t xml:space="preserve">који се шаље преко јавног </w:t>
                            </w:r>
                            <w:r w:rsidR="003D2373">
                              <w:rPr>
                                <w:sz w:val="18"/>
                              </w:rPr>
                              <w:t>API-</w:t>
                            </w:r>
                            <w:r w:rsidR="003D2373">
                              <w:rPr>
                                <w:sz w:val="18"/>
                                <w:lang w:val="sr-Cyrl-RS"/>
                              </w:rPr>
                              <w:t>ја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0567" id="Text Box 16" o:spid="_x0000_s1031" type="#_x0000_t202" style="position:absolute;left:0;text-align:left;margin-left:0;margin-top:343.3pt;width:275.05pt;height:19.6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" stroked="f">
                <v:textbox inset="0,0,0,0">
                  <w:txbxContent>
                    <w:p w:rsidR="00C10E95" w:rsidRPr="003D2373" w:rsidRDefault="00C10E95" w:rsidP="00C10E95">
                      <w:pPr>
                        <w:pStyle w:val="Caption"/>
                        <w:rPr>
                          <w:noProof/>
                          <w:sz w:val="18"/>
                          <w:lang w:val="sr-Cyrl-RS"/>
                        </w:rPr>
                      </w:pPr>
                      <w:r w:rsidRPr="00244400">
                        <w:rPr>
                          <w:b/>
                          <w:sz w:val="18"/>
                          <w:lang w:val="sr-Cyrl-RS"/>
                        </w:rPr>
                        <w:t xml:space="preserve">Слика </w:t>
                      </w:r>
                      <w:r>
                        <w:rPr>
                          <w:b/>
                          <w:sz w:val="18"/>
                          <w:lang w:val="sr-Cyrl-RS"/>
                        </w:rPr>
                        <w:t>5</w:t>
                      </w:r>
                      <w:r>
                        <w:rPr>
                          <w:sz w:val="18"/>
                          <w:lang w:val="sr-Cyrl-RS"/>
                        </w:rPr>
                        <w:t xml:space="preserve"> Структура </w:t>
                      </w:r>
                      <w:r>
                        <w:rPr>
                          <w:sz w:val="18"/>
                        </w:rPr>
                        <w:t xml:space="preserve">JSON </w:t>
                      </w:r>
                      <w:r>
                        <w:rPr>
                          <w:sz w:val="18"/>
                          <w:lang w:val="sr-Cyrl-RS"/>
                        </w:rPr>
                        <w:t xml:space="preserve">објекта </w:t>
                      </w:r>
                      <w:r w:rsidR="003D2373">
                        <w:rPr>
                          <w:sz w:val="18"/>
                          <w:lang w:val="sr-Cyrl-RS"/>
                        </w:rPr>
                        <w:t xml:space="preserve">који се шаље преко јавног </w:t>
                      </w:r>
                      <w:r w:rsidR="003D2373">
                        <w:rPr>
                          <w:sz w:val="18"/>
                        </w:rPr>
                        <w:t>API-</w:t>
                      </w:r>
                      <w:r w:rsidR="003D2373">
                        <w:rPr>
                          <w:sz w:val="18"/>
                          <w:lang w:val="sr-Cyrl-RS"/>
                        </w:rPr>
                        <w:t>ја</w:t>
                      </w:r>
                    </w:p>
                  </w:txbxContent>
                </v:textbox>
                <w10:wrap type="through" anchorx="margin"/>
              </v:shape>
            </w:pict>
          </mc:Fallback>
        </mc:AlternateContent>
      </w:r>
      <w:r>
        <w:rPr>
          <w:noProof/>
        </w:rPr>
        <w:drawing>
          <wp:anchor distT="0" distB="0" distL="114300" distR="114300" simplePos="0" relativeHeight="251673600" behindDoc="0" locked="0" layoutInCell="1" allowOverlap="1" wp14:anchorId="3FEF8F15">
            <wp:simplePos x="0" y="0"/>
            <wp:positionH relativeFrom="margin">
              <wp:align>center</wp:align>
            </wp:positionH>
            <wp:positionV relativeFrom="paragraph">
              <wp:posOffset>90170</wp:posOffset>
            </wp:positionV>
            <wp:extent cx="3886200" cy="4257675"/>
            <wp:effectExtent l="0" t="0" r="0" b="9525"/>
            <wp:wrapThrough wrapText="bothSides">
              <wp:wrapPolygon edited="0">
                <wp:start x="0" y="0"/>
                <wp:lineTo x="0" y="21552"/>
                <wp:lineTo x="21494" y="21552"/>
                <wp:lineTo x="21494"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86200" cy="4257675"/>
                    </a:xfrm>
                    <a:prstGeom prst="rect">
                      <a:avLst/>
                    </a:prstGeom>
                  </pic:spPr>
                </pic:pic>
              </a:graphicData>
            </a:graphic>
            <wp14:sizeRelH relativeFrom="margin">
              <wp14:pctWidth>0</wp14:pctWidth>
            </wp14:sizeRelH>
            <wp14:sizeRelV relativeFrom="margin">
              <wp14:pctHeight>0</wp14:pctHeight>
            </wp14:sizeRelV>
          </wp:anchor>
        </w:drawing>
      </w: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D2373" w:rsidRDefault="003D2373" w:rsidP="003D2373">
      <w:pPr>
        <w:ind w:firstLine="0"/>
        <w:rPr>
          <w:lang w:val="sr-Cyrl-RS"/>
        </w:rPr>
      </w:pPr>
    </w:p>
    <w:p w:rsidR="003B59B8" w:rsidRPr="005357FB" w:rsidRDefault="003D2373" w:rsidP="005357FB">
      <w:pPr>
        <w:rPr>
          <w:lang w:val="sr-Cyrl-RS"/>
        </w:rPr>
      </w:pPr>
      <w:r>
        <w:rPr>
          <w:lang w:val="sr-Cyrl-RS"/>
        </w:rPr>
        <w:t xml:space="preserve">Примећује се да су атрибути веома слични као и атрибути скупа историјских података. За разлику од историјског скупа података, код којег се подаци о свећњацима односе на период од 15 минута, </w:t>
      </w:r>
      <w:r w:rsidRPr="003D2373">
        <w:rPr>
          <w:i/>
        </w:rPr>
        <w:t>Binance</w:t>
      </w:r>
      <w:r>
        <w:rPr>
          <w:i/>
        </w:rPr>
        <w:t xml:space="preserve"> </w:t>
      </w:r>
      <w:r>
        <w:rPr>
          <w:lang w:val="sr-Cyrl-RS"/>
        </w:rPr>
        <w:t>нуди могућност прикупљања података о свећњацима у различитим временским интревалима по избору и могуће је добавити податке о разменама у периоду од једн</w:t>
      </w:r>
      <w:r w:rsidR="00043E89">
        <w:t>e</w:t>
      </w:r>
      <w:r>
        <w:rPr>
          <w:lang w:val="sr-Cyrl-RS"/>
        </w:rPr>
        <w:t xml:space="preserve"> секунде до једног месеца.</w:t>
      </w:r>
      <w:r w:rsidR="003B59B8">
        <w:br w:type="page"/>
      </w:r>
    </w:p>
    <w:p w:rsidR="003D2373" w:rsidRDefault="003B59B8" w:rsidP="003B59B8">
      <w:pPr>
        <w:pStyle w:val="Heading3"/>
        <w:rPr>
          <w:lang w:val="sr-Cyrl-RS"/>
        </w:rPr>
      </w:pPr>
      <w:r>
        <w:lastRenderedPageBreak/>
        <w:t>O</w:t>
      </w:r>
      <w:r>
        <w:rPr>
          <w:lang w:val="sr-Cyrl-RS"/>
        </w:rPr>
        <w:t>брада података</w:t>
      </w:r>
    </w:p>
    <w:p w:rsidR="003B59B8" w:rsidRDefault="003B59B8" w:rsidP="003B59B8">
      <w:pPr>
        <w:spacing w:after="360"/>
      </w:pPr>
      <w:r>
        <w:rPr>
          <w:lang w:val="sr-Cyrl-RS"/>
        </w:rPr>
        <w:t>На основу претходно описаног скупа података, у наредној секцији представљен је скуп од 5 питања на која обрада у реалном времену тежи да одговори</w:t>
      </w:r>
      <w:r>
        <w:t>:</w:t>
      </w:r>
    </w:p>
    <w:p w:rsidR="003B59B8" w:rsidRPr="00CF0CA2" w:rsidRDefault="003B59B8" w:rsidP="003B59B8">
      <w:pPr>
        <w:pStyle w:val="ListParagraph"/>
        <w:numPr>
          <w:ilvl w:val="0"/>
          <w:numId w:val="25"/>
        </w:numPr>
        <w:spacing w:after="240"/>
        <w:contextualSpacing w:val="0"/>
      </w:pPr>
      <w:r>
        <w:rPr>
          <w:lang w:val="sr-Cyrl-RS"/>
        </w:rPr>
        <w:t>Одредити просечан број извршених размена у период</w:t>
      </w:r>
      <w:r w:rsidR="005357FB">
        <w:rPr>
          <w:lang w:val="sr-Cyrl-RS"/>
        </w:rPr>
        <w:t xml:space="preserve">има </w:t>
      </w:r>
      <w:r>
        <w:rPr>
          <w:lang w:val="sr-Cyrl-RS"/>
        </w:rPr>
        <w:t xml:space="preserve">од </w:t>
      </w:r>
      <w:r w:rsidR="00371E72">
        <w:rPr>
          <w:lang w:val="sr-Cyrl-RS"/>
        </w:rPr>
        <w:t>5 минута</w:t>
      </w:r>
      <w:r w:rsidR="005C4A17">
        <w:t>.</w:t>
      </w:r>
    </w:p>
    <w:p w:rsidR="003B59B8" w:rsidRPr="00CF0CA2" w:rsidRDefault="003B59B8" w:rsidP="003B59B8">
      <w:pPr>
        <w:pStyle w:val="ListParagraph"/>
        <w:numPr>
          <w:ilvl w:val="0"/>
          <w:numId w:val="25"/>
        </w:numPr>
        <w:spacing w:after="240"/>
        <w:ind w:left="1003" w:hanging="357"/>
        <w:contextualSpacing w:val="0"/>
      </w:pPr>
      <w:r>
        <w:rPr>
          <w:lang w:val="sr-Cyrl-RS"/>
        </w:rPr>
        <w:t xml:space="preserve">Рачунати вредност покретног просека цене биткоина изражене у доларима у интервалима од </w:t>
      </w:r>
      <w:r w:rsidR="00371E72">
        <w:rPr>
          <w:lang w:val="sr-Cyrl-RS"/>
        </w:rPr>
        <w:t>5 минута</w:t>
      </w:r>
      <w:r w:rsidR="005C4A17">
        <w:t>.</w:t>
      </w:r>
    </w:p>
    <w:p w:rsidR="003B59B8" w:rsidRPr="00CF0CA2" w:rsidRDefault="00371E72" w:rsidP="003B59B8">
      <w:pPr>
        <w:pStyle w:val="ListParagraph"/>
        <w:numPr>
          <w:ilvl w:val="0"/>
          <w:numId w:val="25"/>
        </w:numPr>
        <w:spacing w:after="240"/>
        <w:ind w:left="1003" w:hanging="357"/>
        <w:contextualSpacing w:val="0"/>
      </w:pPr>
      <w:r>
        <w:rPr>
          <w:lang w:val="sr-Cyrl-RS"/>
        </w:rPr>
        <w:t>Рачунати укупан промет на тржишту криптовалута изражен у доларима у периодима од 10 минута.</w:t>
      </w:r>
    </w:p>
    <w:p w:rsidR="003B59B8" w:rsidRPr="00CF0CA2" w:rsidRDefault="007B005B" w:rsidP="003B59B8">
      <w:pPr>
        <w:pStyle w:val="ListParagraph"/>
        <w:numPr>
          <w:ilvl w:val="0"/>
          <w:numId w:val="25"/>
        </w:numPr>
        <w:spacing w:after="240"/>
        <w:ind w:left="1003" w:hanging="357"/>
        <w:contextualSpacing w:val="0"/>
      </w:pPr>
      <w:r>
        <w:rPr>
          <w:lang w:val="sr-Cyrl-RS"/>
        </w:rPr>
        <w:t>Пратити да ли долази до наглог скока у обиму трговине у периодима од 1 минуте. Анализирати да ли је обим прикупљеног свећњака изнад просечног обима у периоду претходне минуте.</w:t>
      </w:r>
    </w:p>
    <w:p w:rsidR="004B6C18" w:rsidRPr="005357FB" w:rsidRDefault="00B54569" w:rsidP="00B54569">
      <w:pPr>
        <w:pStyle w:val="ListParagraph"/>
        <w:numPr>
          <w:ilvl w:val="0"/>
          <w:numId w:val="25"/>
        </w:numPr>
        <w:spacing w:after="240"/>
        <w:ind w:left="1003" w:hanging="357"/>
        <w:contextualSpacing w:val="0"/>
      </w:pPr>
      <w:r>
        <w:rPr>
          <w:lang w:val="sr-Cyrl-RS"/>
        </w:rPr>
        <w:t>Израчунати Болингеров појас</w:t>
      </w:r>
      <w:r w:rsidR="005357FB">
        <w:rPr>
          <w:lang w:val="sr-Latn-RS"/>
        </w:rPr>
        <w:t xml:space="preserve"> </w:t>
      </w:r>
      <w:r w:rsidR="005357FB">
        <w:rPr>
          <w:lang w:val="sr-Cyrl-RS"/>
        </w:rPr>
        <w:t xml:space="preserve">за изабрани пар криптовалута у </w:t>
      </w:r>
      <w:r>
        <w:rPr>
          <w:lang w:val="sr-Cyrl-RS"/>
        </w:rPr>
        <w:t>периодима од 5</w:t>
      </w:r>
      <w:r w:rsidR="00371E72">
        <w:rPr>
          <w:lang w:val="sr-Cyrl-RS"/>
        </w:rPr>
        <w:t xml:space="preserve"> минута</w:t>
      </w:r>
      <w:r w:rsidR="005357FB">
        <w:rPr>
          <w:lang w:val="sr-Cyrl-RS"/>
        </w:rPr>
        <w:t>.</w:t>
      </w:r>
      <w:bookmarkStart w:id="0" w:name="_GoBack"/>
      <w:bookmarkEnd w:id="0"/>
    </w:p>
    <w:sectPr w:rsidR="004B6C18" w:rsidRPr="005357FB" w:rsidSect="00062D96">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423" w:rsidRDefault="001C6423" w:rsidP="00810719">
      <w:pPr>
        <w:spacing w:before="0" w:after="0"/>
      </w:pPr>
      <w:r>
        <w:separator/>
      </w:r>
    </w:p>
  </w:endnote>
  <w:endnote w:type="continuationSeparator" w:id="0">
    <w:p w:rsidR="001C6423" w:rsidRDefault="001C6423" w:rsidP="008107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373" w:rsidRDefault="003D2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423" w:rsidRDefault="001C6423" w:rsidP="00810719">
      <w:pPr>
        <w:spacing w:before="0" w:after="0"/>
      </w:pPr>
      <w:r>
        <w:separator/>
      </w:r>
    </w:p>
  </w:footnote>
  <w:footnote w:type="continuationSeparator" w:id="0">
    <w:p w:rsidR="001C6423" w:rsidRDefault="001C6423" w:rsidP="0081071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373" w:rsidRPr="00062D96" w:rsidRDefault="003D2373" w:rsidP="00062D96">
    <w:pPr>
      <w:pStyle w:val="Header"/>
      <w:ind w:firstLine="0"/>
      <w:rPr>
        <w:lang w:val="sr-Cyrl-RS"/>
      </w:rPr>
    </w:pPr>
    <w:r w:rsidRPr="00062D96">
      <w:rPr>
        <w:i/>
        <w:lang w:val="sr-Cyrl-RS"/>
      </w:rPr>
      <w:t>Архитектуре система великих скупова података</w:t>
    </w:r>
    <w:r>
      <w:ptab w:relativeTo="margin" w:alignment="right" w:leader="none"/>
    </w:r>
    <w:r>
      <w:rPr>
        <w:lang w:val="sr-Cyrl-RS"/>
      </w:rPr>
      <w:t>Милош Гравара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875549"/>
    <w:multiLevelType w:val="hybridMultilevel"/>
    <w:tmpl w:val="1C84591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63F3B30"/>
    <w:multiLevelType w:val="hybridMultilevel"/>
    <w:tmpl w:val="1C84591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3"/>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4"/>
  </w:num>
  <w:num w:numId="24">
    <w:abstractNumId w:val="1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8B"/>
    <w:rsid w:val="0000387A"/>
    <w:rsid w:val="0000614C"/>
    <w:rsid w:val="00011C70"/>
    <w:rsid w:val="00043E89"/>
    <w:rsid w:val="00062D96"/>
    <w:rsid w:val="000F2D22"/>
    <w:rsid w:val="0010020C"/>
    <w:rsid w:val="001248A5"/>
    <w:rsid w:val="001620FD"/>
    <w:rsid w:val="001C6423"/>
    <w:rsid w:val="00244400"/>
    <w:rsid w:val="00281798"/>
    <w:rsid w:val="00371E72"/>
    <w:rsid w:val="003B59B8"/>
    <w:rsid w:val="003C1FA5"/>
    <w:rsid w:val="003D2373"/>
    <w:rsid w:val="004647C5"/>
    <w:rsid w:val="00467845"/>
    <w:rsid w:val="00475AE7"/>
    <w:rsid w:val="004830ED"/>
    <w:rsid w:val="004B6C18"/>
    <w:rsid w:val="004E194A"/>
    <w:rsid w:val="00507B4D"/>
    <w:rsid w:val="0052289D"/>
    <w:rsid w:val="005357FB"/>
    <w:rsid w:val="00554485"/>
    <w:rsid w:val="005C4A17"/>
    <w:rsid w:val="005D4590"/>
    <w:rsid w:val="00630434"/>
    <w:rsid w:val="00642991"/>
    <w:rsid w:val="00645252"/>
    <w:rsid w:val="00684DAF"/>
    <w:rsid w:val="006D237A"/>
    <w:rsid w:val="006D3D74"/>
    <w:rsid w:val="006E26D2"/>
    <w:rsid w:val="007162EC"/>
    <w:rsid w:val="0076007F"/>
    <w:rsid w:val="007B005B"/>
    <w:rsid w:val="00810719"/>
    <w:rsid w:val="0083569A"/>
    <w:rsid w:val="00873989"/>
    <w:rsid w:val="008F0909"/>
    <w:rsid w:val="0097047B"/>
    <w:rsid w:val="009739FF"/>
    <w:rsid w:val="00A16B9E"/>
    <w:rsid w:val="00A5406C"/>
    <w:rsid w:val="00A9204E"/>
    <w:rsid w:val="00B13B88"/>
    <w:rsid w:val="00B1446C"/>
    <w:rsid w:val="00B42F07"/>
    <w:rsid w:val="00B54569"/>
    <w:rsid w:val="00BB4E6A"/>
    <w:rsid w:val="00BE678B"/>
    <w:rsid w:val="00C10E95"/>
    <w:rsid w:val="00C761AB"/>
    <w:rsid w:val="00CA618D"/>
    <w:rsid w:val="00CD6A02"/>
    <w:rsid w:val="00CF0CA2"/>
    <w:rsid w:val="00D33D79"/>
    <w:rsid w:val="00DB0183"/>
    <w:rsid w:val="00DC4130"/>
    <w:rsid w:val="00E1779C"/>
    <w:rsid w:val="00E43CFD"/>
    <w:rsid w:val="00E63190"/>
    <w:rsid w:val="00E82A89"/>
    <w:rsid w:val="00EC3CE6"/>
    <w:rsid w:val="00EC44AE"/>
    <w:rsid w:val="00F235A6"/>
    <w:rsid w:val="00F64C24"/>
    <w:rsid w:val="00FE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164E"/>
  <w15:chartTrackingRefBased/>
  <w15:docId w15:val="{CD633B10-E9D8-4D7E-A299-55540CBE1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9B8"/>
    <w:pPr>
      <w:spacing w:before="120" w:after="120"/>
      <w:ind w:firstLine="284"/>
      <w:jc w:val="both"/>
    </w:pPr>
    <w:rPr>
      <w:sz w:val="24"/>
    </w:rPr>
  </w:style>
  <w:style w:type="paragraph" w:styleId="Heading1">
    <w:name w:val="heading 1"/>
    <w:basedOn w:val="Normal"/>
    <w:next w:val="Normal"/>
    <w:link w:val="Heading1Char"/>
    <w:uiPriority w:val="9"/>
    <w:qFormat/>
    <w:rsid w:val="00F64C24"/>
    <w:pPr>
      <w:keepNext/>
      <w:keepLines/>
      <w:spacing w:before="240" w:after="360"/>
      <w:jc w:val="center"/>
      <w:outlineLvl w:val="0"/>
    </w:pPr>
    <w:rPr>
      <w:rFonts w:asciiTheme="majorHAnsi" w:eastAsiaTheme="majorEastAsia" w:hAnsiTheme="majorHAnsi"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281798"/>
    <w:pPr>
      <w:keepNext/>
      <w:keepLines/>
      <w:spacing w:before="40" w:after="240"/>
      <w:ind w:firstLine="0"/>
      <w:outlineLvl w:val="1"/>
    </w:pPr>
    <w:rPr>
      <w:rFonts w:asciiTheme="majorHAnsi" w:eastAsiaTheme="majorEastAsia" w:hAnsiTheme="majorHAnsi" w:cstheme="majorBidi"/>
      <w:b/>
      <w:color w:val="1F4E79" w:themeColor="accent1" w:themeShade="80"/>
      <w:sz w:val="32"/>
      <w:szCs w:val="26"/>
    </w:rPr>
  </w:style>
  <w:style w:type="paragraph" w:styleId="Heading3">
    <w:name w:val="heading 3"/>
    <w:basedOn w:val="Normal"/>
    <w:next w:val="Normal"/>
    <w:link w:val="Heading3Char"/>
    <w:uiPriority w:val="9"/>
    <w:unhideWhenUsed/>
    <w:qFormat/>
    <w:rsid w:val="00281798"/>
    <w:pPr>
      <w:keepNext/>
      <w:keepLines/>
      <w:spacing w:before="40"/>
      <w:ind w:firstLine="0"/>
      <w:jc w:val="left"/>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C24"/>
    <w:rPr>
      <w:rFonts w:asciiTheme="majorHAnsi" w:eastAsiaTheme="majorEastAsia" w:hAnsiTheme="majorHAnsi" w:cstheme="majorBidi"/>
      <w:color w:val="1F4E79" w:themeColor="accent1" w:themeShade="80"/>
      <w:sz w:val="36"/>
      <w:szCs w:val="32"/>
    </w:rPr>
  </w:style>
  <w:style w:type="character" w:customStyle="1" w:styleId="Heading2Char">
    <w:name w:val="Heading 2 Char"/>
    <w:basedOn w:val="DefaultParagraphFont"/>
    <w:link w:val="Heading2"/>
    <w:uiPriority w:val="9"/>
    <w:rsid w:val="00281798"/>
    <w:rPr>
      <w:rFonts w:asciiTheme="majorHAnsi" w:eastAsiaTheme="majorEastAsia" w:hAnsiTheme="majorHAnsi" w:cstheme="majorBidi"/>
      <w:b/>
      <w:color w:val="1F4E79" w:themeColor="accent1" w:themeShade="80"/>
      <w:sz w:val="32"/>
      <w:szCs w:val="26"/>
    </w:rPr>
  </w:style>
  <w:style w:type="character" w:customStyle="1" w:styleId="Heading3Char">
    <w:name w:val="Heading 3 Char"/>
    <w:basedOn w:val="DefaultParagraphFont"/>
    <w:link w:val="Heading3"/>
    <w:uiPriority w:val="9"/>
    <w:rsid w:val="00281798"/>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firstLine="284"/>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ind w:left="1757"/>
    </w:pPr>
  </w:style>
  <w:style w:type="table" w:styleId="TableGrid">
    <w:name w:val="Table Grid"/>
    <w:basedOn w:val="TableNormal"/>
    <w:uiPriority w:val="39"/>
    <w:rsid w:val="004E19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E19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E19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194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unhideWhenUsed/>
    <w:qFormat/>
    <w:rsid w:val="00E17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Број корисника (милиони)</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2017</c:v>
                </c:pt>
                <c:pt idx="1">
                  <c:v>2018</c:v>
                </c:pt>
                <c:pt idx="2">
                  <c:v>2019</c:v>
                </c:pt>
                <c:pt idx="3">
                  <c:v>2020</c:v>
                </c:pt>
                <c:pt idx="4">
                  <c:v>2021</c:v>
                </c:pt>
                <c:pt idx="5">
                  <c:v>2022</c:v>
                </c:pt>
                <c:pt idx="6">
                  <c:v>2023</c:v>
                </c:pt>
              </c:numCache>
            </c:numRef>
          </c:cat>
          <c:val>
            <c:numRef>
              <c:f>Sheet1!$B$2:$B$8</c:f>
              <c:numCache>
                <c:formatCode>General</c:formatCode>
                <c:ptCount val="7"/>
                <c:pt idx="0">
                  <c:v>1.5</c:v>
                </c:pt>
                <c:pt idx="1">
                  <c:v>13.3</c:v>
                </c:pt>
                <c:pt idx="2">
                  <c:v>16.5</c:v>
                </c:pt>
                <c:pt idx="3">
                  <c:v>21.5</c:v>
                </c:pt>
                <c:pt idx="4">
                  <c:v>28.6</c:v>
                </c:pt>
                <c:pt idx="5">
                  <c:v>128</c:v>
                </c:pt>
                <c:pt idx="6">
                  <c:v>150</c:v>
                </c:pt>
              </c:numCache>
            </c:numRef>
          </c:val>
          <c:smooth val="0"/>
          <c:extLst>
            <c:ext xmlns:c16="http://schemas.microsoft.com/office/drawing/2014/chart" uri="{C3380CC4-5D6E-409C-BE32-E72D297353CC}">
              <c16:uniqueId val="{00000000-26D3-4210-B801-D98D937A60E1}"/>
            </c:ext>
          </c:extLst>
        </c:ser>
        <c:dLbls>
          <c:showLegendKey val="0"/>
          <c:showVal val="0"/>
          <c:showCatName val="0"/>
          <c:showSerName val="0"/>
          <c:showPercent val="0"/>
          <c:showBubbleSize val="0"/>
        </c:dLbls>
        <c:marker val="1"/>
        <c:smooth val="0"/>
        <c:axId val="1822415279"/>
        <c:axId val="1947987951"/>
      </c:lineChart>
      <c:catAx>
        <c:axId val="1822415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7987951"/>
        <c:crosses val="autoZero"/>
        <c:auto val="1"/>
        <c:lblAlgn val="ctr"/>
        <c:lblOffset val="100"/>
        <c:noMultiLvlLbl val="0"/>
      </c:catAx>
      <c:valAx>
        <c:axId val="1947987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24152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DC57293C-B2B3-4E44-86E8-E69E1761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4713</TotalTime>
  <Pages>8</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RA 60/2019 - Gravara Miloš</cp:lastModifiedBy>
  <cp:revision>11</cp:revision>
  <dcterms:created xsi:type="dcterms:W3CDTF">2023-11-28T15:27:00Z</dcterms:created>
  <dcterms:modified xsi:type="dcterms:W3CDTF">2024-01-25T17:43:00Z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