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944"/>
            </w:pPr>
          </w:p>
          <w:p>
            <w:pPr>
              <w:pBdr>
                <w:bottom w:val="single" w:color="37DCF2" w:sz="6" w:space="8"/>
              </w:pBdr>
              <w:spacing w:after="500"/>
              <w:ind w:left="1200" w:right="800"/>
            </w:pPr>
            <w:r>
              <w:rPr>
                <w:color w:val="37DCF2"/>
                <w:sz w:val="18"/>
                <w:szCs w:val="18"/>
                <w:rFonts w:ascii="Calibri" w:eastAsia="SimHei"/>
                <w:spacing w:val="40"/>
              </w:rPr>
              <w:t xml:space="preserve">G  R  A  V  E  Y  I  E  L  D     E  N  G  I  N  E  E  R  I  N  G</w:t>
            </w:r>
          </w:p>
          <w:p>
            <w:pPr>
              <w:spacing w:after="100" w:line="920" w:lineRule="atLeast"/>
              <w:ind w:left="1200"/>
            </w:pPr>
            <w:r>
              <w:rPr>
                <w:b/>
                <w:bCs/>
                <w:color w:val="FFFFFF"/>
                <w:sz w:val="80"/>
                <w:szCs w:val="80"/>
                <w:rFonts w:eastAsia="SimHei" w:ascii="Arial"/>
              </w:rPr>
              <w:t xml:space="preserve">Oracle-Custody</w:t>
            </w:r>
          </w:p>
          <w:p>
            <w:pPr>
              <w:spacing w:after="300" w:line="920" w:lineRule="atLeast"/>
              <w:ind w:left="1200"/>
            </w:pPr>
            <w:r>
              <w:rPr>
                <w:b/>
                <w:bCs/>
                <w:color w:val="FFFFFF"/>
                <w:sz w:val="80"/>
                <w:szCs w:val="80"/>
                <w:rFonts w:eastAsia="SimHei" w:ascii="Arial"/>
              </w:rPr>
              <w:t xml:space="preserve">Registration Guide</w:t>
            </w:r>
          </w:p>
          <w:p>
            <w:pPr>
              <w:spacing w:after="800"/>
              <w:ind w:left="1200" w:right="800"/>
            </w:pPr>
            <w:r>
              <w:rPr>
                <w:color w:val="B0B8C0"/>
                <w:sz w:val="24"/>
                <w:szCs w:val="24"/>
                <w:rFonts w:eastAsia="Microsoft YaHei" w:ascii="Arial"/>
              </w:rPr>
              <w:t xml:space="preserve">GraveScanner update_protocol_config runbook — devnet DR-001 and mainnet readiness</w:t>
            </w:r>
          </w:p>
          <w:p>
            <w:pPr>
              <w:pBdr>
                <w:left w:val="single" w:color="37DCF2" w:sz="8" w:space="12"/>
              </w:pBdr>
              <w:spacing w:after="80"/>
              <w:ind w:left="1400" w:right="800"/>
            </w:pPr>
            <w:r>
              <w:rPr>
                <w:color w:val="90989F"/>
                <w:sz w:val="24"/>
                <w:szCs w:val="24"/>
                <w:rFonts w:eastAsia="Microsoft YaHei" w:ascii="Arial"/>
              </w:rPr>
              <w:t xml:space="preserve">Repository: GraveYield/grave-indexer · vendor/protocol @ 5b84440</w:t>
            </w:r>
          </w:p>
          <w:p>
            <w:pPr>
              <w:pBdr>
                <w:left w:val="single" w:color="37DCF2" w:sz="8" w:space="12"/>
              </w:pBdr>
              <w:spacing w:after="80"/>
              <w:ind w:left="1400" w:right="800"/>
            </w:pPr>
            <w:r>
              <w:rPr>
                <w:color w:val="90989F"/>
                <w:sz w:val="24"/>
                <w:szCs w:val="24"/>
                <w:rFonts w:eastAsia="Microsoft YaHei" w:ascii="Arial"/>
              </w:rPr>
              <w:t xml:space="preserve">GraveScanner (devnet): CuQZesHk8eHvaoNTFiTr1hUjfVKGCqDZHTTe8HkJAo54</w:t>
            </w:r>
          </w:p>
          <w:p>
            <w:pPr>
              <w:pBdr>
                <w:left w:val="single" w:color="37DCF2" w:sz="8" w:space="12"/>
              </w:pBdr>
              <w:spacing w:after="80"/>
              <w:ind w:left="1400" w:right="800"/>
            </w:pPr>
            <w:r>
              <w:rPr>
                <w:color w:val="90989F"/>
                <w:sz w:val="24"/>
                <w:szCs w:val="24"/>
                <w:rFonts w:eastAsia="Microsoft YaHei" w:ascii="Arial"/>
              </w:rPr>
              <w:t xml:space="preserve">GraveVault (devnet): Bd5smhQgMrvcRw9j659MNTKySpBJsKZLBKtinCAGs7rg</w:t>
            </w:r>
          </w:p>
          <w:p>
            <w:pPr>
              <w:pBdr>
                <w:left w:val="single" w:color="37DCF2" w:sz="8" w:space="12"/>
              </w:pBdr>
              <w:spacing w:after="80"/>
              <w:ind w:left="1400" w:right="800"/>
            </w:pPr>
            <w:r>
              <w:rPr>
                <w:color w:val="90989F"/>
                <w:sz w:val="24"/>
                <w:szCs w:val="24"/>
                <w:rFonts w:eastAsia="Microsoft YaHei" w:ascii="Arial"/>
              </w:rPr>
              <w:t xml:space="preserve">Audience: protocol owner / operations — internal</w:t>
            </w:r>
          </w:p>
          <w:p>
            <w:pPr>
              <w:pBdr>
                <w:left w:val="single" w:color="37DCF2" w:sz="8" w:space="12"/>
              </w:pBdr>
              <w:spacing w:after="80"/>
              <w:ind w:left="1400" w:right="800"/>
            </w:pPr>
            <w:r>
              <w:rPr>
                <w:color w:val="90989F"/>
                <w:sz w:val="24"/>
                <w:szCs w:val="24"/>
                <w:rFonts w:eastAsia="Microsoft YaHei" w:ascii="Arial"/>
              </w:rPr>
              <w:t xml:space="preserve">2026-10-26 · Phase 2 open item 9.5</w:t>
            </w:r>
          </w:p>
          <w:p>
            <w:pPr>
              <w:spacing w:before="3944"/>
            </w:pPr>
          </w:p>
          <w:p>
            <w:pPr>
              <w:pBdr>
                <w:top w:val="single" w:color="37DCF2" w:sz="2" w:space="8"/>
              </w:pBdr>
              <w:spacing w:before="200"/>
              <w:ind w:left="1200" w:right="800"/>
            </w:pPr>
            <w:r>
              <w:rPr>
                <w:color w:val="687078"/>
                <w:sz w:val="16"/>
                <w:szCs w:val="16"/>
                <w:rFonts w:ascii="Arial"/>
              </w:rPr>
              <w:t xml:space="preserve">GraveYield Protocol</w:t>
            </w:r>
            <w:r>
              <w:t xml:space="preserve">                                        </w:t>
            </w:r>
            <w:r>
              <w:rPr>
                <w:color w:val="687078"/>
                <w:sz w:val="16"/>
                <w:szCs w:val="16"/>
                <w:rFonts w:ascii="Arial"/>
              </w:rPr>
              <w:t xml:space="preserve">Oracle custody · registration runbook</w:t>
            </w:r>
          </w:p>
        </w:tc>
      </w:tr>
    </w:tbl>
    <w:p>
      <w:pPr>
        <w:sectPr>
          <w:pgSz w:w="11906" w:h="16838" w:orient="portrait"/>
          <w:pgMar w:top="0" w:right="0" w:bottom="0" w:left="0" w:header="708" w:footer="708" w:gutter="0"/>
          <w:docGrid w:linePitch="360"/>
        </w:sectPr>
      </w:pPr>
    </w:p>
    <w:p>
      <w:pPr>
        <w:spacing w:before="480" w:after="360" w:line="480" w:lineRule="atLeast"/>
        <w:jc w:val="center"/>
      </w:pPr>
      <w:r>
        <w:rPr>
          <w:b/>
          <w:bCs/>
          <w:color w:val="162235"/>
          <w:sz w:val="32"/>
          <w:szCs w:val="32"/>
          <w:rFonts w:ascii="Times New Roman" w:eastAsia="SimHei"/>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Purpose, Scope, and Current State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Roles, Keys, and Separation of Powers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On-Chain Mechanics of update_protocol_config</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Accounts and authority constraint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Parameters: eight Option fields, exact order</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Pre-Flight: Key Generation and Custody Setup</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One key or two</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Generation and storage rules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Registration Procedure — Devnet (Route A)</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5.1 Step-by-step</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5.2 Command sequence</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6. Route B — Deployer Authority Key Unrecoverable</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7. Post-Registration Verification (What Actually Flips)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7.1 Layer 1 — on-chain readback (authoritative)</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7.2 Layer 2 — verify-path rerun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7.3 Layer 3 — positive path with the registered key (collect)</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7.4 Optional harness enhancement</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8. Rotation, Revocation, and Incident Response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8.1 Routine rotation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8.2 Suspected compromise</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8.3 Monitoring hooks that watch custody</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9. Mainnet Readiness Checklist (Squads Flow)</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10. Troubleshooting</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Appendix A. register_oracle.mjs Reference Implementation</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Appendix B. Pre-Flight Checklist</w:t>
            </w:r>
            <w:r>
              <w:tab/>
            </w:r>
            <w:r>
              <w:fldChar w:fldCharType="begin"/>
            </w:r>
            <w:r>
              <w:instrText xml:space="preserve"> PAGEREF _Toc100025 \h </w:instrText>
            </w:r>
            <w:r>
              <w:fldChar w:fldCharType="separate"/>
            </w:r>
            <w:r>
              <w:t>12</w:t>
            </w:r>
            <w:r>
              <w:fldChar w:fldCharType="end"/>
            </w:r>
          </w:hyperlink>
        </w:p>
        <w:p>
          <w:r>
            <w:fldChar w:fldCharType="end"/>
          </w:r>
        </w:p>
      </w:sdtContent>
    </w:sdt>
    <w:p>
      <w:pPr>
        <w:spacing w:before="200" w:line="312"/>
      </w:pPr>
      <w:r>
        <w:rPr>
          <w:i/>
          <w:iCs/>
          <w:color w:val="888888"/>
          <w:sz w:val="18"/>
          <w:szCs w:val="18"/>
          <w:rFonts w:ascii="Times New Roman" w:eastAsia="SimSun"/>
        </w:rPr>
        <w:t xml:space="preserve">Note: This Table of Contents is generated via field codes. To ensure page number accuracy after editing, please right-click the TOC and select "Update Field."</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before="360" w:after="160" w:line="312"/>
        <w:jc w:val="center"/>
      </w:pPr>
      <w:bookmarkStart w:id="100000" w:name="_Toc100000"/>
      <w:r>
        <w:rPr>
          <w:b/>
          <w:bCs/>
          <w:color w:val="162235"/>
          <w:sz w:val="32"/>
          <w:szCs w:val="32"/>
          <w:rFonts w:ascii="Times New Roman" w:eastAsia="SimHei"/>
        </w:rPr>
        <w:t xml:space="preserve">Executive Summary</w:t>
      </w:r>
      <w:bookmarkEnd w:id="100000"/>
    </w:p>
    <w:p>
      <w:pPr>
        <w:spacing w:after="120" w:line="312"/>
        <w:jc w:val="left"/>
      </w:pPr>
      <w:r>
        <w:rPr>
          <w:color w:val="000000"/>
          <w:sz w:val="24"/>
          <w:szCs w:val="24"/>
          <w:rFonts w:ascii="Times New Roman" w:eastAsia="SimSun"/>
        </w:rPr>
        <w:t xml:space="preserve">This guide is the owner-facing runbook for the last open Phase 2 item: registering the dedicated oracle keys into GraveScanner's on-chain ProtocolConfig (handoff queue item 9.5, referred to here as oracle-custody registration). Today the deployed devnet program accepts attestations only from the deployer authority key, whose keypair was erased at handoff, so every canonical evidence bundle correctly fails closed with error 6026 AttestationOracleMismatch. The live 13-case evidence-path matrix is otherwise fully green (commit 5a6aa0f), which means registration is the single remaining gate between the pipeline and a complete positive path.</w:t>
      </w:r>
    </w:p>
    <w:p>
      <w:pPr>
        <w:spacing w:after="120" w:line="312"/>
        <w:jc w:val="left"/>
      </w:pPr>
      <w:r>
        <w:rPr>
          <w:color w:val="000000"/>
          <w:sz w:val="24"/>
          <w:szCs w:val="24"/>
          <w:rFonts w:ascii="Times New Roman" w:eastAsia="SimSun"/>
        </w:rPr>
        <w:t xml:space="preserve">The registration itself is one instruction: update_protocol_config on GraveScanner, signed by the current ProtocolConfig.authority, carrying Option-typed activity_oracle and launch_price_oracle fields. The instruction is deliberately narrow: fields passed as None are left untouched, thresholds are untouched, and no other account state changes. This guide walks through the full operation end to end: key generation and custody rules, the exact wire layout of the instruction, a borsh-exact reference implementation (register_oracle.mjs), the devnet procedure with real commands and exit codes, an honest decision tree for the case where the deployer authority keypair is unrecoverable, and the three-layer verification that proves registration landed.</w:t>
      </w:r>
    </w:p>
    <w:p>
      <w:pPr>
        <w:spacing w:after="120" w:line="312"/>
        <w:jc w:val="left"/>
      </w:pPr>
      <w:r>
        <w:rPr>
          <w:b/>
          <w:bCs/>
          <w:i w:val="false"/>
          <w:iCs w:val="false"/>
          <w:color w:val="000000"/>
          <w:sz w:val="24"/>
          <w:szCs w:val="24"/>
          <w:rFonts w:ascii="Times New Roman" w:eastAsia="SimSun"/>
        </w:rPr>
        <w:t xml:space="preserve">Bottom line: </w:t>
      </w:r>
      <w:r>
        <w:rPr>
          <w:b w:val="false"/>
          <w:bCs w:val="false"/>
          <w:i w:val="false"/>
          <w:iCs w:val="false"/>
          <w:color w:val="000000"/>
          <w:sz w:val="24"/>
          <w:szCs w:val="24"/>
          <w:rFonts w:ascii="Times New Roman" w:eastAsia="SimSun"/>
        </w:rPr>
        <w:t xml:space="preserve">generate a dedicated oracle keypair under custody, have the protocol authority sign one 80-byte update_protocol_config transaction, then prove it with a readback, a verify-path rerun, and a collect run whose bundle verification outcome flips from oracle-gated to verified. Nothing in the pipeline, the SDK, or the on-chain wire format changes; the program was designed for exactly this rotation (spec decisions D8 and D9).</w:t>
      </w:r>
    </w:p>
    <w:p>
      <w:pPr>
        <w:pStyle w:val="Heading1"/>
        <w:keepNext/>
        <w:spacing w:before="360" w:after="160" w:line="312"/>
        <w:jc w:val="center"/>
      </w:pPr>
      <w:bookmarkStart w:id="100001" w:name="_Toc100001"/>
      <w:r>
        <w:rPr>
          <w:b/>
          <w:bCs/>
          <w:color w:val="162235"/>
          <w:sz w:val="32"/>
          <w:szCs w:val="32"/>
          <w:rFonts w:ascii="Times New Roman" w:eastAsia="SimHei"/>
        </w:rPr>
        <w:t xml:space="preserve">1. Purpose, Scope, and Current State</w:t>
      </w:r>
      <w:bookmarkEnd w:id="100001"/>
    </w:p>
    <w:p>
      <w:pPr>
        <w:spacing w:after="120" w:line="312"/>
        <w:jc w:val="left"/>
      </w:pPr>
      <w:r>
        <w:rPr>
          <w:color w:val="000000"/>
          <w:sz w:val="24"/>
          <w:szCs w:val="24"/>
          <w:rFonts w:ascii="Times New Roman" w:eastAsia="SimSun"/>
        </w:rPr>
        <w:t xml:space="preserve">Oracle-custody registration is the act of binding one or two dedicated Ed25519 public keys into GraveScanner's ProtocolConfig account so that the program's on-chain attestation verification accepts signatures produced by the GraveYield pipeline. The program verifies attestations inside the evaluation instructions themselves, through the Ed25519 precompile: Criterion 1 last-swap evidence is a 112-byte signed message, and Criterion 2 launch-price evidence is a 168-byte signed message. The final check in that verification ladder is a plain equality between the public key covered by the verified signature and the configured oracle field. If the two do not match, the program reverts with 6026 AttestationOracleMismatch and no state is written. Registration therefore does not add any new capability to the chain; it points an existing, already-enforced equality at a key the operator actually holds.</w:t>
      </w:r>
    </w:p>
    <w:p>
      <w:pPr>
        <w:spacing w:after="120" w:line="312"/>
        <w:jc w:val="left"/>
      </w:pPr>
      <w:r>
        <w:rPr>
          <w:color w:val="000000"/>
          <w:sz w:val="24"/>
          <w:szCs w:val="24"/>
          <w:rFonts w:ascii="Times New Roman" w:eastAsia="SimSun"/>
        </w:rPr>
        <w:t xml:space="preserve">The current state is the residue of a deliberate bootstrapping choice. At initialize, the program sets both oracle fields to the initial authority, on the assumption that the operator multisig runs the activity indexer until a dedicated key is rotated in via update_protocol_config. The DR-001 devnet deployment of 2026-10-25 followed that pattern with the deployer key, and the deployer keypair was then erased as part of key hygiene. The result is a config that is correct, safe, and frozen: fail-closed by design, with the canonical attestation path ending at 6026 until the authority signs a rotation. Table 1 records the live ground truth this guide operates on, verified from the chain on 2026-10-26 and mirrored in examples/verify-path-report.live.json.</w:t>
      </w:r>
    </w:p>
    <w:p>
      <w:pPr>
        <w:keepNext/>
        <w:spacing w:before="120" w:after="80" w:line="312"/>
        <w:jc w:val="left"/>
      </w:pPr>
      <w:r>
        <w:rPr>
          <w:b/>
          <w:bCs/>
          <w:color w:val="000000"/>
          <w:sz w:val="21"/>
          <w:szCs w:val="21"/>
          <w:rFonts w:ascii="Times New Roman" w:eastAsia="SimSun"/>
        </w:rPr>
        <w:t xml:space="preserve">Table 1: Devnet ground truth (DR-001 deployment, verified live 2026-10-26)</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3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Item</w:t>
            </w:r>
          </w:p>
        </w:tc>
        <w:tc>
          <w:tcPr>
            <w:tcW w:type="pct" w:w="66%"/>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Value</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GraveScanner program (devnet)</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CuQZesHk8eHvaoNTFiTr1hUjfVKGCqDZHTTe8HkJAo54</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GraveVault program (devnet)</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Bd5smhQgMrvcRw9j659MNTKySpBJsKZLBKtinCAGs7rg</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ProtocolConfig PDA seed</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["protocol_config"] under the scanner program id</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ProtocolConfig.authority</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AsB5uPtT7S6FB9G7nGp58nWA8iPFaH3bDuj49ss1EWXa (deployer; keypair erased)</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ProtocolConfig.activity_oracle</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same as authority (bootstrap default)</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ProtocolConfig.launch_price_oracle</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same as authority (bootstrap default)</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Canonical-path outcome today</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6026 AttestationOracleMismatch, fail-closed, expected by the harness</w:t>
            </w:r>
          </w:p>
        </w:tc>
      </w:tr>
      <w:tr>
        <w:trPr>
          <w:cantSplit/>
        </w:trPr>
        <w:tc>
          <w:tcPr>
            <w:tcW w:type="pct" w:w="34%"/>
            <w:tcMar>
              <w:top w:type="dxa" w:w="60"/>
              <w:left w:type="dxa" w:w="120"/>
              <w:bottom w:type="dxa" w:w="60"/>
              <w:right w:type="dxa" w:w="120"/>
            </w:tcMar>
          </w:tcPr>
          <w:p>
            <w:pPr>
              <w:spacing w:line="312"/>
              <w:jc w:val="left"/>
            </w:pPr>
            <w:r>
              <w:rPr>
                <w:color w:val="000000"/>
                <w:sz w:val="21"/>
                <w:szCs w:val="21"/>
                <w:rFonts w:ascii="Times New Roman" w:eastAsia="SimSun"/>
              </w:rPr>
              <w:t xml:space="preserve">Evidence-path matrix</w:t>
            </w:r>
          </w:p>
        </w:tc>
        <w:tc>
          <w:tcPr>
            <w:tcW w:type="pct" w:w="66%"/>
            <w:tcMar>
              <w:top w:type="dxa" w:w="60"/>
              <w:left w:type="dxa" w:w="120"/>
              <w:bottom w:type="dxa" w:w="60"/>
              <w:right w:type="dxa" w:w="120"/>
            </w:tcMar>
          </w:tcPr>
          <w:p>
            <w:pPr>
              <w:spacing w:line="312"/>
              <w:jc w:val="left"/>
            </w:pPr>
            <w:r>
              <w:rPr>
                <w:color w:val="000000"/>
                <w:sz w:val="21"/>
                <w:szCs w:val="21"/>
                <w:rFonts w:ascii="Times New Roman" w:eastAsia="SimSun"/>
              </w:rPr>
              <w:t xml:space="preserve">13/13 PASS live (6 verifier-level + 7 program-level), commit 5a6aa0f</w:t>
            </w:r>
          </w:p>
        </w:tc>
      </w:tr>
    </w:tbl>
    <w:p>
      <w:pPr>
        <w:spacing w:after="120" w:line="312"/>
      </w:pPr>
    </w:p>
    <w:p>
      <w:pPr>
        <w:spacing w:after="120" w:line="312"/>
        <w:jc w:val="left"/>
      </w:pPr>
      <w:r>
        <w:rPr>
          <w:color w:val="000000"/>
          <w:sz w:val="24"/>
          <w:szCs w:val="24"/>
          <w:rFonts w:ascii="Times New Roman" w:eastAsia="SimSun"/>
        </w:rPr>
        <w:t xml:space="preserve">Scope: this guide covers devnet key generation and custody, the on-chain mechanics of update_protocol_config, the registration procedure, verification, rotation and revocation after registration, and a mainnet readiness checklist for the Squads-based governance flow. It deliberately does not modify any wire format, does not touch the vendor/protocol submodule, and does not introduce new secret material into any repository. All key material stays in operator-held files outside version control, and every artifact this workflow produces (reports, bundles, readbacks) carries public keys and signatures only.</w:t>
      </w:r>
    </w:p>
    <w:p>
      <w:pPr>
        <w:pStyle w:val="Heading1"/>
        <w:keepNext/>
        <w:spacing w:before="360" w:after="160" w:line="312"/>
        <w:jc w:val="center"/>
      </w:pPr>
      <w:bookmarkStart w:id="100002" w:name="_Toc100002"/>
      <w:r>
        <w:rPr>
          <w:b/>
          <w:bCs/>
          <w:color w:val="162235"/>
          <w:sz w:val="32"/>
          <w:szCs w:val="32"/>
          <w:rFonts w:ascii="Times New Roman" w:eastAsia="SimHei"/>
        </w:rPr>
        <w:t xml:space="preserve">2. Roles, Keys, and Separation of Powers</w:t>
      </w:r>
      <w:bookmarkEnd w:id="100002"/>
    </w:p>
    <w:p>
      <w:pPr>
        <w:spacing w:after="120" w:line="312"/>
        <w:jc w:val="left"/>
      </w:pPr>
      <w:r>
        <w:rPr>
          <w:color w:val="000000"/>
          <w:sz w:val="24"/>
          <w:szCs w:val="24"/>
          <w:rFonts w:ascii="Times New Roman" w:eastAsia="SimSun"/>
        </w:rPr>
        <w:t xml:space="preserve">Four distinct key roles participate in the GraveScanner evidence system, and conflating any two of them is the most common custody mistake in designs like this one. The ProtocolConfig authority is the governance key: it signs update_protocol_config, emergency_pause, and invalidate_anchor, and it never signs attestations. The activity oracle is the hot signing key: it authorizes 112-byte Criterion 1 last-swap attestations (spec decision D8), which are consumed per pool evaluation, so its exposure surface is the largest. The launch-price oracle authorizes 168-byte Criterion 2 attestations (spec decision D9); the program separates it from the activity oracle precisely because the launch-price baseline is init-once and permanently binding, so its signing key deserves the coldest custody despite its low frequency. Finally, the writer (or fee payer) only pays rent and fees; it holds no authority and losing it has no protocol impact beyond replacing the wallet.</w:t>
      </w:r>
    </w:p>
    <w:p>
      <w:pPr>
        <w:keepNext/>
        <w:spacing w:before="120" w:after="80" w:line="312"/>
        <w:jc w:val="left"/>
      </w:pPr>
      <w:r>
        <w:rPr>
          <w:b/>
          <w:bCs/>
          <w:color w:val="000000"/>
          <w:sz w:val="21"/>
          <w:szCs w:val="21"/>
          <w:rFonts w:ascii="Times New Roman" w:eastAsia="SimSun"/>
        </w:rPr>
        <w:t xml:space="preserve">Table 2: Key roles and recommended custody</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Key</w:t>
            </w:r>
          </w:p>
        </w:tc>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On-chain power</w:t>
            </w:r>
          </w:p>
        </w:tc>
        <w:tc>
          <w:tcPr>
            <w:tcW w:type="pct" w:w="18%"/>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Signs</w:t>
            </w:r>
          </w:p>
        </w:tc>
        <w:tc>
          <w:tcPr>
            <w:tcW w:type="pct" w:w="1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Frequency</w:t>
            </w:r>
          </w:p>
        </w:tc>
        <w:tc>
          <w:tcPr>
            <w:tcW w:type="pct" w:w="18%"/>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Custody tier</w:t>
            </w:r>
          </w:p>
        </w:tc>
      </w:tr>
      <w:tr>
        <w:trPr>
          <w:cantSplit/>
        </w:trPr>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ProtocolConfig.authority</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update_protocol_config, emergency_pause, invalidate_anchor</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nothing (governance only)</w:t>
            </w:r>
          </w:p>
        </w:tc>
        <w:tc>
          <w:tcPr>
            <w:tcW w:type="pct" w:w="14%"/>
            <w:tcMar>
              <w:top w:type="dxa" w:w="60"/>
              <w:left w:type="dxa" w:w="120"/>
              <w:bottom w:type="dxa" w:w="60"/>
              <w:right w:type="dxa" w:w="120"/>
            </w:tcMar>
          </w:tcPr>
          <w:p>
            <w:pPr>
              <w:spacing w:line="312"/>
              <w:jc w:val="left"/>
            </w:pPr>
            <w:r>
              <w:rPr>
                <w:color w:val="000000"/>
                <w:sz w:val="21"/>
                <w:szCs w:val="21"/>
                <w:rFonts w:ascii="Times New Roman" w:eastAsia="SimSun"/>
              </w:rPr>
              <w:t xml:space="preserve">rare</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coldest: multisig on mainnet, offline key on devnet</w:t>
            </w:r>
          </w:p>
        </w:tc>
      </w:tr>
      <w:tr>
        <w:trPr>
          <w:cantSplit/>
        </w:trPr>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activity_oracle</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authorizes C1 last-swap attestations in evaluate_pool_phase_1/2</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112-byte messages</w:t>
            </w:r>
          </w:p>
        </w:tc>
        <w:tc>
          <w:tcPr>
            <w:tcW w:type="pct" w:w="14%"/>
            <w:tcMar>
              <w:top w:type="dxa" w:w="60"/>
              <w:left w:type="dxa" w:w="120"/>
              <w:bottom w:type="dxa" w:w="60"/>
              <w:right w:type="dxa" w:w="120"/>
            </w:tcMar>
          </w:tcPr>
          <w:p>
            <w:pPr>
              <w:spacing w:line="312"/>
              <w:jc w:val="left"/>
            </w:pPr>
            <w:r>
              <w:rPr>
                <w:color w:val="000000"/>
                <w:sz w:val="21"/>
                <w:szCs w:val="21"/>
                <w:rFonts w:ascii="Times New Roman" w:eastAsia="SimSun"/>
              </w:rPr>
              <w:t xml:space="preserve">hot, per pool</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warm: ORACLE_KEY_FILE (0600) on a signing host</w:t>
            </w:r>
          </w:p>
        </w:tc>
      </w:tr>
      <w:tr>
        <w:trPr>
          <w:cantSplit/>
        </w:trPr>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launch_price_oracle</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authorizes C2 launch-price attestations in record_launch_price</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168-byte messages</w:t>
            </w:r>
          </w:p>
        </w:tc>
        <w:tc>
          <w:tcPr>
            <w:tcW w:type="pct" w:w="14%"/>
            <w:tcMar>
              <w:top w:type="dxa" w:w="60"/>
              <w:left w:type="dxa" w:w="120"/>
              <w:bottom w:type="dxa" w:w="60"/>
              <w:right w:type="dxa" w:w="120"/>
            </w:tcMar>
          </w:tcPr>
          <w:p>
            <w:pPr>
              <w:spacing w:line="312"/>
              <w:jc w:val="left"/>
            </w:pPr>
            <w:r>
              <w:rPr>
                <w:color w:val="000000"/>
                <w:sz w:val="21"/>
                <w:szCs w:val="21"/>
                <w:rFonts w:ascii="Times New Roman" w:eastAsia="SimSun"/>
              </w:rPr>
              <w:t xml:space="preserve">once per pool, init-once</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cold: offline key or HSM; never on the indexer host</w:t>
            </w:r>
          </w:p>
        </w:tc>
      </w:tr>
      <w:tr>
        <w:trPr>
          <w:cantSplit/>
        </w:trPr>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writer / payer</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pays rent and fees; no authority</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transactions only</w:t>
            </w:r>
          </w:p>
        </w:tc>
        <w:tc>
          <w:tcPr>
            <w:tcW w:type="pct" w:w="14%"/>
            <w:tcMar>
              <w:top w:type="dxa" w:w="60"/>
              <w:left w:type="dxa" w:w="120"/>
              <w:bottom w:type="dxa" w:w="60"/>
              <w:right w:type="dxa" w:w="120"/>
            </w:tcMar>
          </w:tcPr>
          <w:p>
            <w:pPr>
              <w:spacing w:line="312"/>
              <w:jc w:val="left"/>
            </w:pPr>
            <w:r>
              <w:rPr>
                <w:color w:val="000000"/>
                <w:sz w:val="21"/>
                <w:szCs w:val="21"/>
                <w:rFonts w:ascii="Times New Roman" w:eastAsia="SimSun"/>
              </w:rPr>
              <w:t xml:space="preserve">per submission</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operator wallet, funded deliberately</w:t>
            </w:r>
          </w:p>
        </w:tc>
      </w:tr>
    </w:tbl>
    <w:p>
      <w:pPr>
        <w:spacing w:after="120" w:line="312"/>
      </w:pPr>
    </w:p>
    <w:p>
      <w:pPr>
        <w:spacing w:after="120" w:line="312"/>
        <w:jc w:val="left"/>
      </w:pPr>
      <w:r>
        <w:rPr>
          <w:color w:val="000000"/>
          <w:sz w:val="24"/>
          <w:szCs w:val="24"/>
          <w:rFonts w:ascii="Times New Roman" w:eastAsia="SimSun"/>
        </w:rPr>
        <w:t xml:space="preserve">Two behavioral details matter operationally. First, rotating the launch-price oracle affects only future baselines: LaunchPrice PDAs already recorded are init-once, and the instruction documentation states explicitly that rotation does not affect them. Second, the authority check on update_protocol_config is a plain has_one constraint: the signer must equal the current ProtocolConfig.authority, and anything else reverts with 6000 Unauthorized. There is no secondary admin path, no bypass, and no re-initialization of an existing config. That is why Section 6 exists: if the authority keypair is gone, the config is frozen by construction.</w:t>
      </w:r>
    </w:p>
    <w:p>
      <w:pPr>
        <w:pStyle w:val="Heading1"/>
        <w:keepNext/>
        <w:spacing w:before="360" w:after="160" w:line="312"/>
        <w:jc w:val="center"/>
      </w:pPr>
      <w:bookmarkStart w:id="100003" w:name="_Toc100003"/>
      <w:r>
        <w:rPr>
          <w:b/>
          <w:bCs/>
          <w:color w:val="162235"/>
          <w:sz w:val="32"/>
          <w:szCs w:val="32"/>
          <w:rFonts w:ascii="Times New Roman" w:eastAsia="SimHei"/>
        </w:rPr>
        <w:t xml:space="preserve">3. On-Chain Mechanics of update_protocol_config</w:t>
      </w:r>
      <w:bookmarkEnd w:id="100003"/>
    </w:p>
    <w:p>
      <w:pPr>
        <w:pStyle w:val="Heading2"/>
        <w:keepNext/>
        <w:spacing w:before="240" w:after="120" w:line="312"/>
      </w:pPr>
      <w:bookmarkStart w:id="100004" w:name="_Toc100004"/>
      <w:r>
        <w:rPr>
          <w:b/>
          <w:bCs/>
          <w:color w:val="162235"/>
          <w:sz w:val="30"/>
          <w:szCs w:val="30"/>
          <w:rFonts w:ascii="Times New Roman" w:eastAsia="SimHei"/>
        </w:rPr>
        <w:t xml:space="preserve">3.1 Accounts and authority constraint</w:t>
      </w:r>
      <w:bookmarkEnd w:id="100004"/>
    </w:p>
    <w:p>
      <w:pPr>
        <w:spacing w:after="120" w:line="312"/>
        <w:jc w:val="left"/>
      </w:pPr>
      <w:r>
        <w:rPr>
          <w:color w:val="000000"/>
          <w:sz w:val="24"/>
          <w:szCs w:val="24"/>
          <w:rFonts w:ascii="Times New Roman" w:eastAsia="SimSun"/>
        </w:rPr>
        <w:t xml:space="preserve">The instruction takes exactly two accounts: the ProtocolConfig PDA, derived from the seed protocol_config under the GraveScanner program id and marked writable, and the authority signer. The Anchor has_one constraint on the config account enforces that the signer equals cfg.authority, reverting with GraveScannerError::Unauthorized (6000) otherwise. The program header comments describe the operation as multisig-only with a 72-hour timelock at the GraveVault Charter level; on the current deployment that timelock is enforced by the Squads governance flow rather than by on-chain logic (a documented deferral, spec decision D2). On devnet, where the authority is a plain keypair, the owner signs directly and the 72-hour discipline is a procedural matter.</w:t>
      </w:r>
    </w:p>
    <w:p>
      <w:pPr>
        <w:pStyle w:val="Heading2"/>
        <w:keepNext/>
        <w:spacing w:before="240" w:after="120" w:line="312"/>
      </w:pPr>
      <w:bookmarkStart w:id="100005" w:name="_Toc100005"/>
      <w:r>
        <w:rPr>
          <w:b/>
          <w:bCs/>
          <w:color w:val="162235"/>
          <w:sz w:val="30"/>
          <w:szCs w:val="30"/>
          <w:rFonts w:ascii="Times New Roman" w:eastAsia="SimHei"/>
        </w:rPr>
        <w:t xml:space="preserve">3.2 Parameters: eight Option fields, exact order</w:t>
      </w:r>
      <w:bookmarkEnd w:id="100005"/>
    </w:p>
    <w:p>
      <w:pPr>
        <w:spacing w:after="120" w:line="312"/>
        <w:jc w:val="left"/>
      </w:pPr>
      <w:r>
        <w:rPr>
          <w:color w:val="000000"/>
          <w:sz w:val="24"/>
          <w:szCs w:val="24"/>
          <w:rFonts w:ascii="Times New Roman" w:eastAsia="SimSun"/>
        </w:rPr>
        <w:t xml:space="preserve">The argument struct UpdateProtocolConfigParams carries eight Option-wrapped fields in a fixed borsh order. A value of None serializes as a single 0x00 byte and means leave this field untouched; Some serializes as 0x01 followed by the value. This design is what makes a single-purpose rotation safe: a transaction that sets only the oracle fields cannot accidentally alter thresholds, because every other field is explicitly None. The two floor checks (anchor staleness at three epochs, certificate TTL at 600 seconds) fire only when those fields are Some, so a pure oracle registration cannot trip them.</w:t>
      </w:r>
    </w:p>
    <w:p>
      <w:pPr>
        <w:keepNext/>
        <w:spacing w:before="120" w:after="80" w:line="312"/>
        <w:jc w:val="left"/>
      </w:pPr>
      <w:r>
        <w:rPr>
          <w:b/>
          <w:bCs/>
          <w:color w:val="000000"/>
          <w:sz w:val="21"/>
          <w:szCs w:val="21"/>
          <w:rFonts w:ascii="Times New Roman" w:eastAsia="SimSun"/>
        </w:rPr>
        <w:t xml:space="preserve">Table 3: update_protocol_config parameter layout (borsh, in struct order)</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6%"/>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w:t>
            </w:r>
          </w:p>
        </w:tc>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Field</w:t>
            </w:r>
          </w:p>
        </w:tc>
        <w:tc>
          <w:tcPr>
            <w:tcW w:type="pct" w:w="2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Type</w:t>
            </w:r>
          </w:p>
        </w:tc>
        <w:tc>
          <w:tcPr>
            <w:tcW w:type="pct" w:w="12%"/>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None</w:t>
            </w:r>
          </w:p>
        </w:tc>
        <w:tc>
          <w:tcPr>
            <w:tcW w:type="pct" w:w="32%"/>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Some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1</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inactivity_seconds</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Option&lt;u64&gt;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+ 8B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2</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price_collapse_bps</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Option&lt;u16&gt;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+ 2B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3</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min_tvl_lamports</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Option&lt;u64&gt;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+ 8B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4</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anchor_staleness_seconds</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Option&lt;u64&gt;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+ 8B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5</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lp_burn_dust_threshold</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Option&lt;u64&gt;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+ 8B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6</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cert_ttl_seconds</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Option&lt;i64&gt;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+ 8B LE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7</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activity_oracle</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Option&lt;Pubkey&gt;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+ 32B</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8</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launch_price_oracle</w:t>
            </w:r>
          </w:p>
        </w:tc>
        <w:tc>
          <w:tcPr>
            <w:tcW w:type="pct" w:w="20%"/>
            <w:tcMar>
              <w:top w:type="dxa" w:w="60"/>
              <w:left w:type="dxa" w:w="120"/>
              <w:bottom w:type="dxa" w:w="60"/>
              <w:right w:type="dxa" w:w="120"/>
            </w:tcMar>
          </w:tcPr>
          <w:p>
            <w:pPr>
              <w:spacing w:line="312"/>
              <w:jc w:val="left"/>
            </w:pPr>
            <w:r>
              <w:rPr>
                <w:color w:val="000000"/>
                <w:sz w:val="21"/>
                <w:szCs w:val="21"/>
                <w:rFonts w:ascii="Times New Roman" w:eastAsia="SimSun"/>
              </w:rPr>
              <w:t xml:space="preserve">Option&lt;Pubkey&gt;</w:t>
            </w:r>
          </w:p>
        </w:tc>
        <w:tc>
          <w:tcPr>
            <w:tcW w:type="pct" w:w="12%"/>
            <w:tcMar>
              <w:top w:type="dxa" w:w="60"/>
              <w:left w:type="dxa" w:w="120"/>
              <w:bottom w:type="dxa" w:w="60"/>
              <w:right w:type="dxa" w:w="120"/>
            </w:tcMar>
          </w:tcPr>
          <w:p>
            <w:pPr>
              <w:spacing w:line="312"/>
              <w:jc w:val="left"/>
            </w:pPr>
            <w:r>
              <w:rPr>
                <w:color w:val="000000"/>
                <w:sz w:val="21"/>
                <w:szCs w:val="21"/>
                <w:rFonts w:ascii="Times New Roman" w:eastAsia="SimSun"/>
              </w:rPr>
              <w:t xml:space="preserve">0x00</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0x01 + 32B</w:t>
            </w:r>
          </w:p>
        </w:tc>
      </w:tr>
    </w:tbl>
    <w:p>
      <w:pPr>
        <w:spacing w:after="120" w:line="312"/>
      </w:pPr>
    </w:p>
    <w:p>
      <w:pPr>
        <w:spacing w:after="120" w:line="312"/>
        <w:jc w:val="left"/>
      </w:pPr>
      <w:r>
        <w:rPr>
          <w:color w:val="000000"/>
          <w:sz w:val="24"/>
          <w:szCs w:val="24"/>
          <w:rFonts w:ascii="Times New Roman" w:eastAsia="SimSun"/>
        </w:rPr>
        <w:t xml:space="preserve">The 8-byte Anchor discriminator is the first eight bytes of sha256 over the ASCII string global:update_protocol_config; the @graveyield/sdk already exports it in both discriminator sets (sdk/src/discriminators.ts), so client code does not need to recompute it. Registering both oracles in one transaction yields 8 + 6 + 33 + 33 = 80 bytes of instruction data; registering a single oracle yields 48 bytes. The pause flag has no effect on this instruction: per the ProtocolConfig documentation, emergency_pause gates the evaluate instructions, not governance instructions, so a paused scanner can still be reconfigured. The only custom errors this instruction can surface are 6000 Unauthorized (wrong signer) and the threshold floors (CertTtlBelowMinimum, InvariantViolation), the latter only when threshold fields are also being set.</w:t>
      </w:r>
    </w:p>
    <w:p>
      <w:pPr>
        <w:pStyle w:val="Heading1"/>
        <w:keepNext/>
        <w:spacing w:before="360" w:after="160" w:line="312"/>
        <w:jc w:val="center"/>
      </w:pPr>
      <w:bookmarkStart w:id="100006" w:name="_Toc100006"/>
      <w:r>
        <w:rPr>
          <w:b/>
          <w:bCs/>
          <w:color w:val="162235"/>
          <w:sz w:val="32"/>
          <w:szCs w:val="32"/>
          <w:rFonts w:ascii="Times New Roman" w:eastAsia="SimHei"/>
        </w:rPr>
        <w:t xml:space="preserve">4. Pre-Flight: Key Generation and Custody Setup</w:t>
      </w:r>
      <w:bookmarkEnd w:id="100006"/>
    </w:p>
    <w:p>
      <w:pPr>
        <w:pStyle w:val="Heading2"/>
        <w:keepNext/>
        <w:spacing w:before="240" w:after="120" w:line="312"/>
      </w:pPr>
      <w:bookmarkStart w:id="100007" w:name="_Toc100007"/>
      <w:r>
        <w:rPr>
          <w:b/>
          <w:bCs/>
          <w:color w:val="162235"/>
          <w:sz w:val="30"/>
          <w:szCs w:val="30"/>
          <w:rFonts w:ascii="Times New Roman" w:eastAsia="SimHei"/>
        </w:rPr>
        <w:t xml:space="preserve">4.1 One key or two</w:t>
      </w:r>
      <w:bookmarkEnd w:id="100007"/>
    </w:p>
    <w:p>
      <w:pPr>
        <w:spacing w:after="120" w:line="312"/>
        <w:jc w:val="left"/>
      </w:pPr>
      <w:r>
        <w:rPr>
          <w:color w:val="000000"/>
          <w:sz w:val="24"/>
          <w:szCs w:val="24"/>
          <w:rFonts w:ascii="Times New Roman" w:eastAsia="SimSun"/>
        </w:rPr>
        <w:t xml:space="preserve">On mainnet, protocol design is explicit: the launch-price key must be separate from the activity key, because the init-once baseline is permanently binding and its signing key should not live on the hot path. On devnet, the pragmatic recommendation is different: the evidence harness loads a single oracle key file (ORACLE_KEY_FILE) and signs both the C1 and C2 attestation messages with it, so registering one dedicated devnet key into both fields exercises the entire positive path with the tooling as it ships. If the owner prefers to mirror the mainnet two-key separation on devnet today, that works at the protocol level (register two different keys) but the harness will need the small extension noted in Section 7 to load a second key file for C2 signatures. Choose deliberately; both are documented, and neither weakens any security control.</w:t>
      </w:r>
    </w:p>
    <w:p>
      <w:pPr>
        <w:pStyle w:val="Heading2"/>
        <w:keepNext/>
        <w:spacing w:before="240" w:after="120" w:line="312"/>
      </w:pPr>
      <w:bookmarkStart w:id="100008" w:name="_Toc100008"/>
      <w:r>
        <w:rPr>
          <w:b/>
          <w:bCs/>
          <w:color w:val="162235"/>
          <w:sz w:val="30"/>
          <w:szCs w:val="30"/>
          <w:rFonts w:ascii="Times New Roman" w:eastAsia="SimHei"/>
        </w:rPr>
        <w:t xml:space="preserve">4.2 Generation and storage rules</w:t>
      </w:r>
      <w:bookmarkEnd w:id="100008"/>
    </w:p>
    <w:p>
      <w:pPr>
        <w:spacing w:after="120" w:line="312"/>
        <w:jc w:val="left"/>
      </w:pPr>
      <w:r>
        <w:rPr>
          <w:color w:val="000000"/>
          <w:sz w:val="24"/>
          <w:szCs w:val="24"/>
          <w:rFonts w:ascii="Times New Roman" w:eastAsia="SimSun"/>
        </w:rPr>
        <w:t xml:space="preserve">Generate the keypair on the machine that will hold it, with a restrictive umask, and never let the seed cross a clipboard, chat, or repository. The file lands in the workspace keys/ directory, which is deliberately outside every git tree, and stays there at mode 0600. Only the public key is ever quoted in runbooks, tickets, or reports; the file path may appear in operator notes, but the seed itself must not. These are the same custody rules the pipeline already enforces for ORACLE_KEY_FILE and PAYER_KEY_FILE, and the same red lines the handoff charter states: no secret material is printed, logged, serialized, or committed.</w:t>
      </w:r>
    </w:p>
    <w:p>
      <w:pPr>
        <w:keepNext/>
        <w:spacing w:before="120" w:after="80" w:line="312"/>
        <w:jc w:val="left"/>
      </w:pPr>
      <w:r>
        <w:rPr>
          <w:b/>
          <w:bCs/>
          <w:color w:val="000000"/>
          <w:sz w:val="21"/>
          <w:szCs w:val="21"/>
          <w:rFonts w:ascii="Times New Roman" w:eastAsia="SimSun"/>
        </w:rPr>
        <w:t xml:space="preserve">Listing 1: Dedicated oracle key generation (devnet)</w:t>
      </w:r>
    </w:p>
    <w:tbl>
      <w:tblPr>
        <w:tblW w:type="pct" w:w="100%"/>
        <w:tblBorders>
          <w:top w:val="single" w:color="C8DDE2" w:sz="1"/>
          <w:left w:val="single" w:color="1B6B7A" w:sz="12"/>
          <w:bottom w:val="single" w:color="C8DDE2" w:sz="1"/>
          <w:right w:val="none" w:color="FFFFFF" w:sz="0"/>
          <w:insideH w:val="none" w:color="FFFFFF" w:sz="0"/>
          <w:insideV w:val="none" w:color="FFFFFF" w:sz="0"/>
        </w:tblBorders>
      </w:tblPr>
      <w:tblGrid>
        <w:gridCol w:w="100"/>
      </w:tblGrid>
      <w:tr>
        <w:trPr>
          <w:cantSplit/>
        </w:trPr>
        <w:tc>
          <w:tcPr>
            <w:tcW w:type="pct" w:w="100%"/>
            <w:shd w:fill="EDF3F5" w:val="clear"/>
            <w:tcMar>
              <w:top w:type="dxa" w:w="120"/>
              <w:left w:type="dxa" w:w="200"/>
              <w:bottom w:type="dxa" w:w="120"/>
              <w:right w:type="dxa" w:w="120"/>
            </w:tcMar>
          </w:tcPr>
          <w:p>
            <w:pPr>
              <w:spacing w:after="0" w:line="312"/>
              <w:jc w:val="left"/>
            </w:pPr>
            <w:r>
              <w:rPr>
                <w:color w:val="24323C"/>
                <w:sz w:val="18"/>
                <w:szCs w:val="18"/>
                <w:rFonts w:ascii="Courier New" w:eastAsia="SimSun"/>
              </w:rPr>
              <w:t xml:space="preserve">umask 077</w:t>
            </w:r>
          </w:p>
          <w:p>
            <w:pPr>
              <w:spacing w:after="0" w:line="312"/>
              <w:jc w:val="left"/>
            </w:pPr>
            <w:r>
              <w:rPr>
                <w:color w:val="24323C"/>
                <w:sz w:val="18"/>
                <w:szCs w:val="18"/>
                <w:rFonts w:ascii="Courier New" w:eastAsia="SimSun"/>
              </w:rPr>
              <w:t xml:space="preserve">mkdir -p /home/z/my-project/keys</w:t>
            </w:r>
          </w:p>
          <w:p>
            <w:pPr>
              <w:spacing w:after="0" w:line="312"/>
              <w:jc w:val="left"/>
            </w:pPr>
            <w:r>
              <w:rPr>
                <w:color w:val="24323C"/>
                <w:sz w:val="18"/>
                <w:szCs w:val="18"/>
                <w:rFonts w:ascii="Courier New" w:eastAsia="SimSun"/>
              </w:rPr>
              <w:t xml:space="preserve">solana-keygen new --no-bip39-passphrase -o /home/z/my-project/keys/devnet-oracle.json</w:t>
            </w:r>
          </w:p>
          <w:p>
            <w:pPr>
              <w:spacing w:after="0" w:line="312"/>
              <w:jc w:val="left"/>
            </w:pPr>
            <w:r>
              <w:rPr>
                <w:color w:val="24323C"/>
                <w:sz w:val="18"/>
                <w:szCs w:val="18"/>
                <w:rFonts w:ascii="Courier New" w:eastAsia="SimSun"/>
              </w:rPr>
              <w:t xml:space="preserve">chmod 600 /home/z/my-project/keys/devnet-oracle.json</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Record the PUBLIC key only (safe to store anywhere):</w:t>
            </w:r>
          </w:p>
          <w:p>
            <w:pPr>
              <w:spacing w:after="0" w:line="312"/>
              <w:jc w:val="left"/>
            </w:pPr>
            <w:r>
              <w:rPr>
                <w:color w:val="24323C"/>
                <w:sz w:val="18"/>
                <w:szCs w:val="18"/>
                <w:rFonts w:ascii="Courier New" w:eastAsia="SimSun"/>
              </w:rPr>
              <w:t xml:space="preserve">solana-keygen pubkey /home/z/my-project/keys/devnet-oracle.json</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Sanity: the file is a 64-byte solana-keygen JSON, mode 0600, outside any repo:</w:t>
            </w:r>
          </w:p>
          <w:p>
            <w:pPr>
              <w:spacing w:after="0" w:line="312"/>
              <w:jc w:val="left"/>
            </w:pPr>
            <w:r>
              <w:rPr>
                <w:color w:val="24323C"/>
                <w:sz w:val="18"/>
                <w:szCs w:val="18"/>
                <w:rFonts w:ascii="Courier New" w:eastAsia="SimSun"/>
              </w:rPr>
              <w:t xml:space="preserve">stat -c '%a %n' /home/z/my-project/keys/devnet-oracle.json   # expect: 600</w:t>
            </w:r>
          </w:p>
        </w:tc>
      </w:tr>
    </w:tbl>
    <w:p>
      <w:pPr>
        <w:spacing w:after="120" w:line="312"/>
      </w:pPr>
    </w:p>
    <w:p>
      <w:pPr>
        <w:spacing w:after="120" w:line="312"/>
        <w:jc w:val="left"/>
      </w:pPr>
      <w:r>
        <w:rPr>
          <w:color w:val="000000"/>
          <w:sz w:val="24"/>
          <w:szCs w:val="24"/>
          <w:rFonts w:ascii="Times New Roman" w:eastAsia="SimSun"/>
        </w:rPr>
        <w:t xml:space="preserve">Back up the keypair in the operator's existing secret store before using it, because the registered public key is the only signer the chain will accept until the next rotation. Losing an oracle key is recoverable (rotate again), but losing it before any backup exists while evidence is already flowing would force an emergency rotation under time pressure. For the devnet drill a plain encrypted backup is proportionate; Section 9 raises the bar for mainnet.</w:t>
      </w:r>
    </w:p>
    <w:p>
      <w:pPr>
        <w:pStyle w:val="Heading1"/>
        <w:keepNext/>
        <w:spacing w:before="360" w:after="160" w:line="312"/>
        <w:jc w:val="center"/>
      </w:pPr>
      <w:bookmarkStart w:id="100009" w:name="_Toc100009"/>
      <w:r>
        <w:rPr>
          <w:b/>
          <w:bCs/>
          <w:color w:val="162235"/>
          <w:sz w:val="32"/>
          <w:szCs w:val="32"/>
          <w:rFonts w:ascii="Times New Roman" w:eastAsia="SimHei"/>
        </w:rPr>
        <w:t xml:space="preserve">5. Registration Procedure — Devnet (Route A)</w:t>
      </w:r>
      <w:bookmarkEnd w:id="100009"/>
    </w:p>
    <w:p>
      <w:pPr>
        <w:spacing w:after="120" w:line="312"/>
        <w:jc w:val="left"/>
      </w:pPr>
      <w:r>
        <w:rPr>
          <w:color w:val="000000"/>
          <w:sz w:val="24"/>
          <w:szCs w:val="24"/>
          <w:rFonts w:ascii="Times New Roman" w:eastAsia="SimSun"/>
        </w:rPr>
        <w:t xml:space="preserve">Route A applies when the deployer authority keypair (AsB5u...EWXa) is available from owner custody. The procedure is four steps plus a readback, uses only shipped tooling plus the small reference script from Appendix A, and every step records its real exit code. The reference implementation imports configPda, decodeProtocolConfig, and SCANNER_PROGRAM_ID from the protocol repo's own protocol_admin.mjs, so the readback decoder is byte-identical to the one the protocol team already uses for drills. Place register_oracle.mjs (Appendix A) in the same scripts/devnet/ directory of a graveyield-protocol checkout at 5b84440 or later, and run everything from that checkout.</w:t>
      </w:r>
    </w:p>
    <w:p>
      <w:pPr>
        <w:pStyle w:val="Heading2"/>
        <w:keepNext/>
        <w:spacing w:before="240" w:after="120" w:line="312"/>
      </w:pPr>
      <w:bookmarkStart w:id="100010" w:name="_Toc100010"/>
      <w:r>
        <w:rPr>
          <w:b/>
          <w:bCs/>
          <w:color w:val="162235"/>
          <w:sz w:val="30"/>
          <w:szCs w:val="30"/>
          <w:rFonts w:ascii="Times New Roman" w:eastAsia="SimHei"/>
        </w:rPr>
        <w:t xml:space="preserve">5.1 Step-by-step</w:t>
      </w:r>
      <w:bookmarkEnd w:id="100010"/>
    </w:p>
    <w:p>
      <w:pPr>
        <w:pStyle w:val="ListParagraph"/>
        <w:numPr>
          <w:ilvl w:val="0"/>
          <w:numId w:val="2"/>
        </w:numPr>
        <w:spacing w:after="100" w:line="312"/>
        <w:jc w:val="left"/>
      </w:pPr>
      <w:r>
        <w:rPr>
          <w:b/>
          <w:bCs/>
          <w:i w:val="false"/>
          <w:iCs w:val="false"/>
          <w:color w:val="000000"/>
          <w:sz w:val="24"/>
          <w:szCs w:val="24"/>
          <w:rFonts w:ascii="Times New Roman" w:eastAsia="SimSun"/>
        </w:rPr>
        <w:t xml:space="preserve">Read the before-state. </w:t>
      </w:r>
      <w:r>
        <w:rPr>
          <w:b w:val="false"/>
          <w:bCs w:val="false"/>
          <w:i w:val="false"/>
          <w:iCs w:val="false"/>
          <w:color w:val="000000"/>
          <w:sz w:val="24"/>
          <w:szCs w:val="24"/>
          <w:rFonts w:ascii="Times New Roman" w:eastAsia="SimSun"/>
        </w:rPr>
        <w:t xml:space="preserve">Run node scripts/devnet/protocol_admin.mjs check --url $DEVNET_RPC_URL --program scanner and confirm authority, activity_oracle, and launch_price_oracle all print AsB5u...EWXa. This is the baseline the post-registration readback is diffed against, and it doubles as a cluster sanity check before anything is signed.</w:t>
      </w:r>
    </w:p>
    <w:p>
      <w:pPr>
        <w:pStyle w:val="ListParagraph"/>
        <w:numPr>
          <w:ilvl w:val="0"/>
          <w:numId w:val="2"/>
        </w:numPr>
        <w:spacing w:after="100" w:line="312"/>
        <w:jc w:val="left"/>
      </w:pPr>
      <w:r>
        <w:rPr>
          <w:b/>
          <w:bCs/>
          <w:i w:val="false"/>
          <w:iCs w:val="false"/>
          <w:color w:val="000000"/>
          <w:sz w:val="24"/>
          <w:szCs w:val="24"/>
          <w:rFonts w:ascii="Times New Roman" w:eastAsia="SimSun"/>
        </w:rPr>
        <w:t xml:space="preserve">Dry-run the registration. </w:t>
      </w:r>
      <w:r>
        <w:rPr>
          <w:b w:val="false"/>
          <w:bCs w:val="false"/>
          <w:i w:val="false"/>
          <w:iCs w:val="false"/>
          <w:color w:val="000000"/>
          <w:sz w:val="24"/>
          <w:szCs w:val="24"/>
          <w:rFonts w:ascii="Times New Roman" w:eastAsia="SimSun"/>
        </w:rPr>
        <w:t xml:space="preserve">Run register_oracle.mjs register with --dry-run and the new oracle public key. The script prints the instruction data length (80 bytes for a both-oracles registration), the two account metas, and the target public keys, then exits without sending. A length other than 80 means the data builder does not match the struct and must not be run against the chain.</w:t>
      </w:r>
    </w:p>
    <w:p>
      <w:pPr>
        <w:pStyle w:val="ListParagraph"/>
        <w:numPr>
          <w:ilvl w:val="0"/>
          <w:numId w:val="2"/>
        </w:numPr>
        <w:spacing w:after="100" w:line="312"/>
        <w:jc w:val="left"/>
      </w:pPr>
      <w:r>
        <w:rPr>
          <w:b/>
          <w:bCs/>
          <w:i w:val="false"/>
          <w:iCs w:val="false"/>
          <w:color w:val="000000"/>
          <w:sz w:val="24"/>
          <w:szCs w:val="24"/>
          <w:rFonts w:ascii="Times New Roman" w:eastAsia="SimSun"/>
        </w:rPr>
        <w:t xml:space="preserve">Sign and send. </w:t>
      </w:r>
      <w:r>
        <w:rPr>
          <w:b w:val="false"/>
          <w:bCs w:val="false"/>
          <w:i w:val="false"/>
          <w:iCs w:val="false"/>
          <w:color w:val="000000"/>
          <w:sz w:val="24"/>
          <w:szCs w:val="24"/>
          <w:rFonts w:ascii="Times New Roman" w:eastAsia="SimSun"/>
        </w:rPr>
        <w:t xml:space="preserve">Re-run the same command without --dry-run, passing the authority keypair file via --authority. The transaction fee is on the order of 5,000 lamports and is paid by the authority signer itself; no other funding is required. On success the script prints the transaction signature and immediately re-reads the config from the chain.</w:t>
      </w:r>
    </w:p>
    <w:p>
      <w:pPr>
        <w:pStyle w:val="ListParagraph"/>
        <w:numPr>
          <w:ilvl w:val="0"/>
          <w:numId w:val="2"/>
        </w:numPr>
        <w:spacing w:after="100" w:line="312"/>
        <w:jc w:val="left"/>
      </w:pPr>
      <w:r>
        <w:rPr>
          <w:b/>
          <w:bCs/>
          <w:i w:val="false"/>
          <w:iCs w:val="false"/>
          <w:color w:val="000000"/>
          <w:sz w:val="24"/>
          <w:szCs w:val="24"/>
          <w:rFonts w:ascii="Times New Roman" w:eastAsia="SimSun"/>
        </w:rPr>
        <w:t xml:space="preserve">Assert the readback. </w:t>
      </w:r>
      <w:r>
        <w:rPr>
          <w:b w:val="false"/>
          <w:bCs w:val="false"/>
          <w:i w:val="false"/>
          <w:iCs w:val="false"/>
          <w:color w:val="000000"/>
          <w:sz w:val="24"/>
          <w:szCs w:val="24"/>
          <w:rFonts w:ascii="Times New Roman" w:eastAsia="SimSun"/>
        </w:rPr>
        <w:t xml:space="preserve">The script's final assertion re-decodes the ProtocolConfig PDA and requires both activity_oracle and launch_price_oracle to equal the newly registered public key; any mismatch exits non-zero. Follow with the protocol_admin.mjs check command from step 1 to see the full after-state, and archive both outputs (public data only) with the change record.</w:t>
      </w:r>
    </w:p>
    <w:p>
      <w:pPr>
        <w:pStyle w:val="Heading2"/>
        <w:keepNext/>
        <w:spacing w:before="240" w:after="120" w:line="312"/>
      </w:pPr>
      <w:bookmarkStart w:id="100011" w:name="_Toc100011"/>
      <w:r>
        <w:rPr>
          <w:b/>
          <w:bCs/>
          <w:color w:val="162235"/>
          <w:sz w:val="30"/>
          <w:szCs w:val="30"/>
          <w:rFonts w:ascii="Times New Roman" w:eastAsia="SimHei"/>
        </w:rPr>
        <w:t xml:space="preserve">5.2 Command sequence</w:t>
      </w:r>
      <w:bookmarkEnd w:id="100011"/>
    </w:p>
    <w:p>
      <w:pPr>
        <w:keepNext/>
        <w:spacing w:before="120" w:after="80" w:line="312"/>
        <w:jc w:val="left"/>
      </w:pPr>
      <w:r>
        <w:rPr>
          <w:b/>
          <w:bCs/>
          <w:color w:val="000000"/>
          <w:sz w:val="21"/>
          <w:szCs w:val="21"/>
          <w:rFonts w:ascii="Times New Roman" w:eastAsia="SimSun"/>
        </w:rPr>
        <w:t xml:space="preserve">Listing 2: Route A command sequence (real exit codes recorded at each step)</w:t>
      </w:r>
    </w:p>
    <w:tbl>
      <w:tblPr>
        <w:tblW w:type="pct" w:w="100%"/>
        <w:tblBorders>
          <w:top w:val="single" w:color="C8DDE2" w:sz="1"/>
          <w:left w:val="single" w:color="1B6B7A" w:sz="12"/>
          <w:bottom w:val="single" w:color="C8DDE2" w:sz="1"/>
          <w:right w:val="none" w:color="FFFFFF" w:sz="0"/>
          <w:insideH w:val="none" w:color="FFFFFF" w:sz="0"/>
          <w:insideV w:val="none" w:color="FFFFFF" w:sz="0"/>
        </w:tblBorders>
      </w:tblPr>
      <w:tblGrid>
        <w:gridCol w:w="100"/>
      </w:tblGrid>
      <w:tr>
        <w:trPr>
          <w:cantSplit/>
        </w:trPr>
        <w:tc>
          <w:tcPr>
            <w:tcW w:type="pct" w:w="100%"/>
            <w:shd w:fill="EDF3F5" w:val="clear"/>
            <w:tcMar>
              <w:top w:type="dxa" w:w="120"/>
              <w:left w:type="dxa" w:w="200"/>
              <w:bottom w:type="dxa" w:w="120"/>
              <w:right w:type="dxa" w:w="120"/>
            </w:tcMar>
          </w:tcPr>
          <w:p>
            <w:pPr>
              <w:spacing w:after="0" w:line="312"/>
              <w:jc w:val="left"/>
            </w:pPr>
            <w:r>
              <w:rPr>
                <w:color w:val="24323C"/>
                <w:sz w:val="18"/>
                <w:szCs w:val="18"/>
                <w:rFonts w:ascii="Courier New" w:eastAsia="SimSun"/>
              </w:rPr>
              <w:t xml:space="preserve">cd &lt;graveyield-protocol checkout&gt;/scripts/devnet</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1. before-state (expect authority = activity = launch_price = AsB5u...EWXa)</w:t>
            </w:r>
          </w:p>
          <w:p>
            <w:pPr>
              <w:spacing w:after="0" w:line="312"/>
              <w:jc w:val="left"/>
            </w:pPr>
            <w:r>
              <w:rPr>
                <w:color w:val="24323C"/>
                <w:sz w:val="18"/>
                <w:szCs w:val="18"/>
                <w:rFonts w:ascii="Courier New" w:eastAsia="SimSun"/>
              </w:rPr>
              <w:t xml:space="preserve">node protocol_admin.mjs check --url "$DEVNET_RPC_URL" --program scanner</w:t>
            </w:r>
          </w:p>
          <w:p>
            <w:pPr>
              <w:spacing w:after="0" w:line="312"/>
              <w:jc w:val="left"/>
            </w:pPr>
            <w:r>
              <w:rPr>
                <w:color w:val="24323C"/>
                <w:sz w:val="18"/>
                <w:szCs w:val="18"/>
                <w:rFonts w:ascii="Courier New" w:eastAsia="SimSun"/>
              </w:rPr>
              <w:t xml:space="preserve">echo "CHECK_EXIT=$?"</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2. dry-run (expect: ix data = 80 bytes; no transaction sent)</w:t>
            </w:r>
          </w:p>
          <w:p>
            <w:pPr>
              <w:spacing w:after="0" w:line="312"/>
              <w:jc w:val="left"/>
            </w:pPr>
            <w:r>
              <w:rPr>
                <w:color w:val="24323C"/>
                <w:sz w:val="18"/>
                <w:szCs w:val="18"/>
                <w:rFonts w:ascii="Courier New" w:eastAsia="SimSun"/>
              </w:rPr>
              <w:t xml:space="preserve">node register_oracle.mjs register --url "$DEVNET_RPC_URL" \</w:t>
            </w:r>
          </w:p>
          <w:p>
            <w:pPr>
              <w:spacing w:after="0" w:line="312"/>
              <w:jc w:val="left"/>
            </w:pPr>
            <w:r>
              <w:rPr>
                <w:color w:val="24323C"/>
                <w:sz w:val="18"/>
                <w:szCs w:val="18"/>
                <w:rFonts w:ascii="Courier New" w:eastAsia="SimSun"/>
              </w:rPr>
              <w:t xml:space="preserve">  --authority /home/z/my-project/keys/devnet-authority.json \</w:t>
            </w:r>
          </w:p>
          <w:p>
            <w:pPr>
              <w:spacing w:after="0" w:line="312"/>
              <w:jc w:val="left"/>
            </w:pPr>
            <w:r>
              <w:rPr>
                <w:color w:val="24323C"/>
                <w:sz w:val="18"/>
                <w:szCs w:val="18"/>
                <w:rFonts w:ascii="Courier New" w:eastAsia="SimSun"/>
              </w:rPr>
              <w:t xml:space="preserve">  --oracle &lt;NEW_ORACLE_PUBKEY&gt; --dry-run</w:t>
            </w:r>
          </w:p>
          <w:p>
            <w:pPr>
              <w:spacing w:after="0" w:line="312"/>
              <w:jc w:val="left"/>
            </w:pPr>
            <w:r>
              <w:rPr>
                <w:color w:val="24323C"/>
                <w:sz w:val="18"/>
                <w:szCs w:val="18"/>
                <w:rFonts w:ascii="Courier New" w:eastAsia="SimSun"/>
              </w:rPr>
              <w:t xml:space="preserve">echo "DRYRUN_EXIT=$?"</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3. send + 4. readback assert (expect: tx signature, then OK line; exit 0)</w:t>
            </w:r>
          </w:p>
          <w:p>
            <w:pPr>
              <w:spacing w:after="0" w:line="312"/>
              <w:jc w:val="left"/>
            </w:pPr>
            <w:r>
              <w:rPr>
                <w:color w:val="24323C"/>
                <w:sz w:val="18"/>
                <w:szCs w:val="18"/>
                <w:rFonts w:ascii="Courier New" w:eastAsia="SimSun"/>
              </w:rPr>
              <w:t xml:space="preserve">node register_oracle.mjs register --url "$DEVNET_RPC_URL" \</w:t>
            </w:r>
          </w:p>
          <w:p>
            <w:pPr>
              <w:spacing w:after="0" w:line="312"/>
              <w:jc w:val="left"/>
            </w:pPr>
            <w:r>
              <w:rPr>
                <w:color w:val="24323C"/>
                <w:sz w:val="18"/>
                <w:szCs w:val="18"/>
                <w:rFonts w:ascii="Courier New" w:eastAsia="SimSun"/>
              </w:rPr>
              <w:t xml:space="preserve">  --authority /home/z/my-project/keys/devnet-authority.json \</w:t>
            </w:r>
          </w:p>
          <w:p>
            <w:pPr>
              <w:spacing w:after="0" w:line="312"/>
              <w:jc w:val="left"/>
            </w:pPr>
            <w:r>
              <w:rPr>
                <w:color w:val="24323C"/>
                <w:sz w:val="18"/>
                <w:szCs w:val="18"/>
                <w:rFonts w:ascii="Courier New" w:eastAsia="SimSun"/>
              </w:rPr>
              <w:t xml:space="preserve">  --oracle &lt;NEW_ORACLE_PUBKEY&gt;</w:t>
            </w:r>
          </w:p>
          <w:p>
            <w:pPr>
              <w:spacing w:after="0" w:line="312"/>
              <w:jc w:val="left"/>
            </w:pPr>
            <w:r>
              <w:rPr>
                <w:color w:val="24323C"/>
                <w:sz w:val="18"/>
                <w:szCs w:val="18"/>
                <w:rFonts w:ascii="Courier New" w:eastAsia="SimSun"/>
              </w:rPr>
              <w:t xml:space="preserve">echo "REGISTER_EXIT=$?"</w:t>
            </w:r>
          </w:p>
        </w:tc>
      </w:tr>
    </w:tbl>
    <w:p>
      <w:pPr>
        <w:spacing w:after="120" w:line="312"/>
      </w:pPr>
    </w:p>
    <w:p>
      <w:pPr>
        <w:spacing w:after="120" w:line="312"/>
        <w:jc w:val="left"/>
      </w:pPr>
      <w:r>
        <w:rPr>
          <w:color w:val="000000"/>
          <w:sz w:val="24"/>
          <w:szCs w:val="24"/>
          <w:rFonts w:ascii="Times New Roman" w:eastAsia="SimSun"/>
        </w:rPr>
        <w:t xml:space="preserve">If the owner prefers to register the two oracle roles separately (two-key devnet mode), run the register command twice: first with --oracle ACTIVITY_PUBKEY --launch-price LP_PUBKEY, or in two transactions each passing --launch-price equal to --oracle for the C2-only pass. The script's single-oracle path (48-byte data) leaves launch_price_oracle untouched via its trailing None, which is exactly the no-op semantics described in Section 3.2. As a guardrail, never pass the authority's own public key as the oracle value: that would make the governance key the attestation signer and undo the separation the program documents.</w:t>
      </w:r>
    </w:p>
    <w:p>
      <w:pPr>
        <w:pStyle w:val="Heading1"/>
        <w:keepNext/>
        <w:spacing w:before="360" w:after="160" w:line="312"/>
        <w:jc w:val="center"/>
      </w:pPr>
      <w:bookmarkStart w:id="100012" w:name="_Toc100012"/>
      <w:r>
        <w:rPr>
          <w:b/>
          <w:bCs/>
          <w:color w:val="162235"/>
          <w:sz w:val="32"/>
          <w:szCs w:val="32"/>
          <w:rFonts w:ascii="Times New Roman" w:eastAsia="SimHei"/>
        </w:rPr>
        <w:t xml:space="preserve">6. Route B — Deployer Authority Key Unrecoverable</w:t>
      </w:r>
      <w:bookmarkEnd w:id="100012"/>
    </w:p>
    <w:p>
      <w:pPr>
        <w:spacing w:after="120" w:line="312"/>
        <w:jc w:val="left"/>
      </w:pPr>
      <w:r>
        <w:rPr>
          <w:color w:val="000000"/>
          <w:sz w:val="24"/>
          <w:szCs w:val="24"/>
          <w:rFonts w:ascii="Times New Roman" w:eastAsia="SimSun"/>
        </w:rPr>
        <w:t xml:space="preserve">If the AsB5u...EWXa deployer keypair cannot be recovered from owner custody, Route A is impossible and no tooling can substitute for it: the has_one authority constraint accepts exactly one signer, initialize is init-once, and the program exposes no alternative path that writes the oracle fields. The ProtocolConfig of the current deployment would remain permanently frozen at the erased deployer key, which is safe (fail-closed) but never accepts pipeline evidence. The honest decision tree is therefore: recover the key (B1), or stand up a fresh deployment whose authority is under live custody (B2). Both routes keep every security property intact; neither involves salvage or weakening of any check.</w:t>
      </w:r>
    </w:p>
    <w:p>
      <w:pPr>
        <w:pStyle w:val="ListParagraph"/>
        <w:numPr>
          <w:ilvl w:val="0"/>
          <w:numId w:val="3"/>
        </w:numPr>
        <w:spacing w:after="100" w:line="312"/>
        <w:jc w:val="left"/>
      </w:pPr>
      <w:r>
        <w:rPr>
          <w:b/>
          <w:bCs/>
          <w:i w:val="false"/>
          <w:iCs w:val="false"/>
          <w:color w:val="000000"/>
          <w:sz w:val="24"/>
          <w:szCs w:val="24"/>
          <w:rFonts w:ascii="Times New Roman" w:eastAsia="SimSun"/>
        </w:rPr>
        <w:t xml:space="preserve">B1 — recover the authority keypair. </w:t>
      </w:r>
      <w:r>
        <w:rPr>
          <w:b w:val="false"/>
          <w:bCs w:val="false"/>
          <w:i w:val="false"/>
          <w:iCs w:val="false"/>
          <w:color w:val="000000"/>
          <w:sz w:val="24"/>
          <w:szCs w:val="24"/>
          <w:rFonts w:ascii="Times New Roman" w:eastAsia="SimSun"/>
        </w:rPr>
        <w:t xml:space="preserve">Search the owner's secret stores and backups for the deployer keypair used on 2026-10-25 (the deployment script seeded it under target/deploy/, a gitignored path, and the handoff records it as erased from the workspace). If found, proceed with Section 5 unchanged, then consider rotating the authority itself through proper governance so custody no longer depends on that artifact.</w:t>
      </w:r>
    </w:p>
    <w:p>
      <w:pPr>
        <w:pStyle w:val="ListParagraph"/>
        <w:numPr>
          <w:ilvl w:val="0"/>
          <w:numId w:val="3"/>
        </w:numPr>
        <w:spacing w:after="100" w:line="312"/>
        <w:jc w:val="left"/>
      </w:pPr>
      <w:r>
        <w:rPr>
          <w:b/>
          <w:bCs/>
          <w:i w:val="false"/>
          <w:iCs w:val="false"/>
          <w:color w:val="000000"/>
          <w:sz w:val="24"/>
          <w:szCs w:val="24"/>
          <w:rFonts w:ascii="Times New Roman" w:eastAsia="SimSun"/>
        </w:rPr>
        <w:t xml:space="preserve">B2 — fresh deployment under controlled custody. </w:t>
      </w:r>
      <w:r>
        <w:rPr>
          <w:b w:val="false"/>
          <w:bCs w:val="false"/>
          <w:i w:val="false"/>
          <w:iCs w:val="false"/>
          <w:color w:val="000000"/>
          <w:sz w:val="24"/>
          <w:szCs w:val="24"/>
          <w:rFonts w:ascii="Times New Roman" w:eastAsia="SimSun"/>
        </w:rPr>
        <w:t xml:space="preserve">Deploy new scanner and vault program instances via the protocol repo's scripts/devnet/deploy_devnet.sh (fresh program keypairs imply new program ids; the existing addresses cannot be re-deployed without the deployer upgrade authority, which is the same lost key). Initialize with protocol_admin.mjs init-all --authority &lt;OPERATOR_PUBKEY&gt; where the operator keypair is under documented custody, then run the Section 5 registration against the new program id.</w:t>
      </w:r>
    </w:p>
    <w:p>
      <w:pPr>
        <w:pStyle w:val="ListParagraph"/>
        <w:numPr>
          <w:ilvl w:val="0"/>
          <w:numId w:val="3"/>
        </w:numPr>
        <w:spacing w:after="100" w:line="312"/>
        <w:jc w:val="left"/>
      </w:pPr>
      <w:r>
        <w:rPr>
          <w:b/>
          <w:bCs/>
          <w:i w:val="false"/>
          <w:iCs w:val="false"/>
          <w:color w:val="000000"/>
          <w:sz w:val="24"/>
          <w:szCs w:val="24"/>
          <w:rFonts w:ascii="Times New Roman" w:eastAsia="SimSun"/>
        </w:rPr>
        <w:t xml:space="preserve">B2 — repoint the pipeline. </w:t>
      </w:r>
      <w:r>
        <w:rPr>
          <w:b w:val="false"/>
          <w:bCs w:val="false"/>
          <w:i w:val="false"/>
          <w:iCs w:val="false"/>
          <w:color w:val="000000"/>
          <w:sz w:val="24"/>
          <w:szCs w:val="24"/>
          <w:rFonts w:ascii="Times New Roman" w:eastAsia="SimSun"/>
        </w:rPr>
        <w:t xml:space="preserve">The indexer already supports this: export SCANNER_PROGRAM_ID and VAULT_PROGRAM_ID to override the devnet defaults (src/config.ts), and rerun verify-path plus the offline battery before any evidence is issued. Updating the SDK's DEVNET_* default constants (sdk/src/client.ts) is a one-line protocol-side changeset that should ride the next graveyield-protocol commit together with the deriveLastSwapV4 hardening already queued.</w:t>
      </w:r>
    </w:p>
    <w:p>
      <w:pPr>
        <w:spacing w:after="120" w:line="312"/>
        <w:jc w:val="left"/>
      </w:pPr>
      <w:r>
        <w:rPr>
          <w:color w:val="000000"/>
          <w:sz w:val="24"/>
          <w:szCs w:val="24"/>
          <w:rFonts w:ascii="Times New Roman" w:eastAsia="SimSun"/>
        </w:rPr>
        <w:t xml:space="preserve">Anti-pattern, stated explicitly because it is tempting: do not initialize a fresh deployment with authority set to the oracle public key itself. That would make the hot signing key also the governance key, so a compromised indexer host could pause the protocol, rotate oracles, or invalidate anchors. The correct shape is always: authority under the coldest custody available, oracle keys one tier warmer, writer key warmest. The bootstrap default (authority = both oracles) exists only as a pre-registration state and should be exited via Section 5 as soon as practical.</w:t>
      </w:r>
    </w:p>
    <w:p>
      <w:pPr>
        <w:pStyle w:val="Heading1"/>
        <w:keepNext/>
        <w:spacing w:before="360" w:after="160" w:line="312"/>
        <w:jc w:val="center"/>
      </w:pPr>
      <w:bookmarkStart w:id="100013" w:name="_Toc100013"/>
      <w:r>
        <w:rPr>
          <w:b/>
          <w:bCs/>
          <w:color w:val="162235"/>
          <w:sz w:val="32"/>
          <w:szCs w:val="32"/>
          <w:rFonts w:ascii="Times New Roman" w:eastAsia="SimHei"/>
        </w:rPr>
        <w:t xml:space="preserve">7. Post-Registration Verification (What Actually Flips)</w:t>
      </w:r>
      <w:bookmarkEnd w:id="100013"/>
    </w:p>
    <w:p>
      <w:pPr>
        <w:spacing w:after="120" w:line="312"/>
        <w:jc w:val="left"/>
      </w:pPr>
      <w:r>
        <w:rPr>
          <w:color w:val="000000"/>
          <w:sz w:val="24"/>
          <w:szCs w:val="24"/>
          <w:rFonts w:ascii="Times New Roman" w:eastAsia="SimSun"/>
        </w:rPr>
        <w:t xml:space="preserve">Verification is layered so that each check independently proves a different property: the readback proves the chain state, the verify-path rerun proves the harness agrees with the new state, and the collect run proves end-to-end positive-path acceptance with a real signature from the registered key. All three outputs are secret-free by construction and can be archived directly as change evidence.</w:t>
      </w:r>
    </w:p>
    <w:p>
      <w:pPr>
        <w:pStyle w:val="Heading2"/>
        <w:keepNext/>
        <w:spacing w:before="240" w:after="120" w:line="312"/>
      </w:pPr>
      <w:bookmarkStart w:id="100014" w:name="_Toc100014"/>
      <w:r>
        <w:rPr>
          <w:b/>
          <w:bCs/>
          <w:color w:val="162235"/>
          <w:sz w:val="30"/>
          <w:szCs w:val="30"/>
          <w:rFonts w:ascii="Times New Roman" w:eastAsia="SimHei"/>
        </w:rPr>
        <w:t xml:space="preserve">7.1 Layer 1 — on-chain readback (authoritative)</w:t>
      </w:r>
      <w:bookmarkEnd w:id="100014"/>
    </w:p>
    <w:p>
      <w:pPr>
        <w:spacing w:after="120" w:line="312"/>
        <w:jc w:val="left"/>
      </w:pPr>
      <w:r>
        <w:rPr>
          <w:color w:val="000000"/>
          <w:sz w:val="24"/>
          <w:szCs w:val="24"/>
          <w:rFonts w:ascii="Times New Roman" w:eastAsia="SimSun"/>
        </w:rPr>
        <w:t xml:space="preserve">protocol_admin.mjs check decodes the ProtocolConfig account directly, with the oracle fields at byte offsets 123 and 155 after the 8-byte account discriminator. After a successful registration it must print the new public key(s) in both oracle slots and leave authority unchanged. This readback is the authoritative registration proof; every other check corroborates it.</w:t>
      </w:r>
    </w:p>
    <w:p>
      <w:pPr>
        <w:pStyle w:val="Heading2"/>
        <w:keepNext/>
        <w:spacing w:before="240" w:after="120" w:line="312"/>
      </w:pPr>
      <w:bookmarkStart w:id="100015" w:name="_Toc100015"/>
      <w:r>
        <w:rPr>
          <w:b/>
          <w:bCs/>
          <w:color w:val="162235"/>
          <w:sz w:val="30"/>
          <w:szCs w:val="30"/>
          <w:rFonts w:ascii="Times New Roman" w:eastAsia="SimHei"/>
        </w:rPr>
        <w:t xml:space="preserve">7.2 Layer 2 — verify-path rerun</w:t>
      </w:r>
      <w:bookmarkEnd w:id="100015"/>
    </w:p>
    <w:p>
      <w:pPr>
        <w:spacing w:after="120" w:line="312"/>
        <w:jc w:val="left"/>
      </w:pPr>
      <w:r>
        <w:rPr>
          <w:color w:val="000000"/>
          <w:sz w:val="24"/>
          <w:szCs w:val="24"/>
          <w:rFonts w:ascii="Times New Roman" w:eastAsia="SimSun"/>
        </w:rPr>
        <w:t xml:space="preserve">Rerun the full matrix: PAYER_KEY_FILE=/home/z/my-project/keys/devnet-payer.json verify-path. The report header now prints the new configuredActivityOracle and configuredLaunchPriceOracle values, and the matrix must remain 13/13 PASS. Note honestly what does not change: the canonical cases derive their expectations at runtime by comparing the live on-chain oracle against the key that signed the bundle, and verify-path signs with an in-process ephemeral key by design (src/evidencePath.ts falls back to generateDisposableOracleSigner when no signer is injected). The canonical cases therefore continue to expect and observe 6026/oracle-gated against the ephemeral key, which remains the correct fail-closed behavior. Also note that the ORACLE_IS_REGISTERED environment variable exists in the config surface but is not yet consumed by the harness; it is a documentation-level marker today, and nothing should be inferred from setting it.</w:t>
      </w:r>
    </w:p>
    <w:p>
      <w:pPr>
        <w:pStyle w:val="Heading2"/>
        <w:keepNext/>
        <w:spacing w:before="240" w:after="120" w:line="312"/>
      </w:pPr>
      <w:bookmarkStart w:id="100016" w:name="_Toc100016"/>
      <w:r>
        <w:rPr>
          <w:b/>
          <w:bCs/>
          <w:color w:val="162235"/>
          <w:sz w:val="30"/>
          <w:szCs w:val="30"/>
          <w:rFonts w:ascii="Times New Roman" w:eastAsia="SimHei"/>
        </w:rPr>
        <w:t xml:space="preserve">7.3 Layer 3 — positive path with the registered key (collect)</w:t>
      </w:r>
      <w:bookmarkEnd w:id="100016"/>
    </w:p>
    <w:p>
      <w:pPr>
        <w:spacing w:after="120" w:line="312"/>
        <w:jc w:val="left"/>
      </w:pPr>
      <w:r>
        <w:rPr>
          <w:color w:val="000000"/>
          <w:sz w:val="24"/>
          <w:szCs w:val="24"/>
          <w:rFonts w:ascii="Times New Roman" w:eastAsia="SimSun"/>
        </w:rPr>
        <w:t xml:space="preserve">The definitive proof is a collect run whose signer is the registered key: set ORACLE_KEY_FILE to the new key file (the same one whose public key was registered) and run collect for a real pool. The resolver loads exactly that key (file preferred over the env-var form), the bundle is signed and verified against the live ProtocolConfig, and the verification outcome flips from oracle-gated to verified, because the authorization equality now passes end to end. The bundle, journal entry, and health snapshot remain secret-free and carry only public keys and signatures.</w:t>
      </w:r>
    </w:p>
    <w:p>
      <w:pPr>
        <w:keepNext/>
        <w:spacing w:before="120" w:after="80" w:line="312"/>
        <w:jc w:val="left"/>
      </w:pPr>
      <w:r>
        <w:rPr>
          <w:b/>
          <w:bCs/>
          <w:color w:val="000000"/>
          <w:sz w:val="21"/>
          <w:szCs w:val="21"/>
          <w:rFonts w:ascii="Times New Roman" w:eastAsia="SimSun"/>
        </w:rPr>
        <w:t xml:space="preserve">Table 4: Verification matrix: before vs after registration</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Check</w:t>
            </w:r>
          </w:p>
        </w:tc>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Command</w:t>
            </w:r>
          </w:p>
        </w:tc>
        <w:tc>
          <w:tcPr>
            <w:tcW w:type="pct" w:w="2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Before (today)</w:t>
            </w:r>
          </w:p>
        </w:tc>
        <w:tc>
          <w:tcPr>
            <w:tcW w:type="pct" w:w="2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After (registered)</w:t>
            </w:r>
          </w:p>
        </w:tc>
      </w:tr>
      <w:tr>
        <w:trPr>
          <w:cantSplit/>
        </w:trPr>
        <w:tc>
          <w:tcPr>
            <w:tcW w:type="pct" w:w="22%"/>
            <w:tcMar>
              <w:top w:type="dxa" w:w="60"/>
              <w:left w:type="dxa" w:w="120"/>
              <w:bottom w:type="dxa" w:w="60"/>
              <w:right w:type="dxa" w:w="120"/>
            </w:tcMar>
          </w:tcPr>
          <w:p>
            <w:pPr>
              <w:spacing w:line="312"/>
              <w:jc w:val="left"/>
            </w:pPr>
            <w:r>
              <w:rPr>
                <w:color w:val="000000"/>
                <w:sz w:val="21"/>
                <w:szCs w:val="21"/>
                <w:rFonts w:ascii="Times New Roman" w:eastAsia="SimSun"/>
              </w:rPr>
              <w:t xml:space="preserve">On-chain readback</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protocol_admin.mjs check --program scanner</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both oracles = AsB5u...EWXa</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both oracles = new key(s)</w:t>
            </w:r>
          </w:p>
        </w:tc>
      </w:tr>
      <w:tr>
        <w:trPr>
          <w:cantSplit/>
        </w:trPr>
        <w:tc>
          <w:tcPr>
            <w:tcW w:type="pct" w:w="22%"/>
            <w:tcMar>
              <w:top w:type="dxa" w:w="60"/>
              <w:left w:type="dxa" w:w="120"/>
              <w:bottom w:type="dxa" w:w="60"/>
              <w:right w:type="dxa" w:w="120"/>
            </w:tcMar>
          </w:tcPr>
          <w:p>
            <w:pPr>
              <w:spacing w:line="312"/>
              <w:jc w:val="left"/>
            </w:pPr>
            <w:r>
              <w:rPr>
                <w:color w:val="000000"/>
                <w:sz w:val="21"/>
                <w:szCs w:val="21"/>
                <w:rFonts w:ascii="Times New Roman" w:eastAsia="SimSun"/>
              </w:rPr>
              <w:t xml:space="preserve">Report header</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PAYER_KEY_FILE=... verify-path (report JSON)</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configured oracles = AsB5u...EWXa</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configured oracles = new key(s)</w:t>
            </w:r>
          </w:p>
        </w:tc>
      </w:tr>
      <w:tr>
        <w:trPr>
          <w:cantSplit/>
        </w:trPr>
        <w:tc>
          <w:tcPr>
            <w:tcW w:type="pct" w:w="22%"/>
            <w:tcMar>
              <w:top w:type="dxa" w:w="60"/>
              <w:left w:type="dxa" w:w="120"/>
              <w:bottom w:type="dxa" w:w="60"/>
              <w:right w:type="dxa" w:w="120"/>
            </w:tcMar>
          </w:tcPr>
          <w:p>
            <w:pPr>
              <w:spacing w:line="312"/>
              <w:jc w:val="left"/>
            </w:pPr>
            <w:r>
              <w:rPr>
                <w:color w:val="000000"/>
                <w:sz w:val="21"/>
                <w:szCs w:val="21"/>
                <w:rFonts w:ascii="Times New Roman" w:eastAsia="SimSun"/>
              </w:rPr>
              <w:t xml:space="preserve">Canonical expectations</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verify-path matrix</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6026 / oracle-gated vs ephemeral signer</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unchanged by design (ephemeral signer)</w:t>
            </w:r>
          </w:p>
        </w:tc>
      </w:tr>
      <w:tr>
        <w:trPr>
          <w:cantSplit/>
        </w:trPr>
        <w:tc>
          <w:tcPr>
            <w:tcW w:type="pct" w:w="22%"/>
            <w:tcMar>
              <w:top w:type="dxa" w:w="60"/>
              <w:left w:type="dxa" w:w="120"/>
              <w:bottom w:type="dxa" w:w="60"/>
              <w:right w:type="dxa" w:w="120"/>
            </w:tcMar>
          </w:tcPr>
          <w:p>
            <w:pPr>
              <w:spacing w:line="312"/>
              <w:jc w:val="left"/>
            </w:pPr>
            <w:r>
              <w:rPr>
                <w:color w:val="000000"/>
                <w:sz w:val="21"/>
                <w:szCs w:val="21"/>
                <w:rFonts w:ascii="Times New Roman" w:eastAsia="SimSun"/>
              </w:rPr>
              <w:t xml:space="preserve">Positive path</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ORACLE_KEY_FILE=&lt;registered&gt; collect --pool &lt;addr&gt;</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bundle outcome = oracle-gated</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bundle outcome = verified</w:t>
            </w:r>
          </w:p>
        </w:tc>
      </w:tr>
      <w:tr>
        <w:trPr>
          <w:cantSplit/>
        </w:trPr>
        <w:tc>
          <w:tcPr>
            <w:tcW w:type="pct" w:w="22%"/>
            <w:tcMar>
              <w:top w:type="dxa" w:w="60"/>
              <w:left w:type="dxa" w:w="120"/>
              <w:bottom w:type="dxa" w:w="60"/>
              <w:right w:type="dxa" w:w="120"/>
            </w:tcMar>
          </w:tcPr>
          <w:p>
            <w:pPr>
              <w:spacing w:line="312"/>
              <w:jc w:val="left"/>
            </w:pPr>
            <w:r>
              <w:rPr>
                <w:color w:val="000000"/>
                <w:sz w:val="21"/>
                <w:szCs w:val="21"/>
                <w:rFonts w:ascii="Times New Roman" w:eastAsia="SimSun"/>
              </w:rPr>
              <w:t xml:space="preserve">Program-level accept</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optional harness patch, then verify-path with ORACLE_KEY_FILE</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not reachable</w:t>
            </w:r>
          </w:p>
        </w:tc>
        <w:tc>
          <w:tcPr>
            <w:tcW w:type="pct" w:w="24%"/>
            <w:tcMar>
              <w:top w:type="dxa" w:w="60"/>
              <w:left w:type="dxa" w:w="120"/>
              <w:bottom w:type="dxa" w:w="60"/>
              <w:right w:type="dxa" w:w="120"/>
            </w:tcMar>
          </w:tcPr>
          <w:p>
            <w:pPr>
              <w:spacing w:line="312"/>
              <w:jc w:val="left"/>
            </w:pPr>
            <w:r>
              <w:rPr>
                <w:color w:val="000000"/>
                <w:sz w:val="21"/>
                <w:szCs w:val="21"/>
                <w:rFonts w:ascii="Times New Roman" w:eastAsia="SimSun"/>
              </w:rPr>
              <w:t xml:space="preserve">canonical case accepts in simulation</w:t>
            </w:r>
          </w:p>
        </w:tc>
      </w:tr>
    </w:tbl>
    <w:p>
      <w:pPr>
        <w:spacing w:after="120" w:line="312"/>
      </w:pPr>
    </w:p>
    <w:p>
      <w:pPr>
        <w:pStyle w:val="Heading2"/>
        <w:keepNext/>
        <w:spacing w:before="240" w:after="120" w:line="312"/>
      </w:pPr>
      <w:bookmarkStart w:id="100017" w:name="_Toc100017"/>
      <w:r>
        <w:rPr>
          <w:b/>
          <w:bCs/>
          <w:color w:val="162235"/>
          <w:sz w:val="30"/>
          <w:szCs w:val="30"/>
          <w:rFonts w:ascii="Times New Roman" w:eastAsia="SimHei"/>
        </w:rPr>
        <w:t xml:space="preserve">7.4 Optional harness enhancement</w:t>
      </w:r>
      <w:bookmarkEnd w:id="100017"/>
    </w:p>
    <w:p>
      <w:pPr>
        <w:spacing w:after="120" w:line="312"/>
        <w:jc w:val="left"/>
      </w:pPr>
      <w:r>
        <w:rPr>
          <w:color w:val="000000"/>
          <w:sz w:val="24"/>
          <w:szCs w:val="24"/>
          <w:rFonts w:ascii="Times New Roman" w:eastAsia="SimSun"/>
        </w:rPr>
        <w:t xml:space="preserve">If the owner wants the program-level canonical case to accept in simulation (not just the collect-level verification), the smallest change is to wire the existing resolver into cmdVerifyPath: when ORACLE_KEY_FILE is set, load the signer via resolveOracleSigner(config) and pass it as opts.oracle to runEvidencePathVerification instead of always falling back to the ephemeral key. Both canonical cases then compare the registered key against itself and expect accept/verified, and the simulation persists no state (the LaunchPrice PDA is created on a synthetic pool address). Ship it as its own commit with a regression test, mirroring the discipline of the previous harness fixes; it is not required for registration to be considered complete.</w:t>
      </w:r>
    </w:p>
    <w:p>
      <w:pPr>
        <w:pStyle w:val="Heading1"/>
        <w:keepNext/>
        <w:spacing w:before="360" w:after="160" w:line="312"/>
        <w:jc w:val="center"/>
      </w:pPr>
      <w:bookmarkStart w:id="100018" w:name="_Toc100018"/>
      <w:r>
        <w:rPr>
          <w:b/>
          <w:bCs/>
          <w:color w:val="162235"/>
          <w:sz w:val="32"/>
          <w:szCs w:val="32"/>
          <w:rFonts w:ascii="Times New Roman" w:eastAsia="SimHei"/>
        </w:rPr>
        <w:t xml:space="preserve">8. Rotation, Revocation, and Incident Response</w:t>
      </w:r>
      <w:bookmarkEnd w:id="100018"/>
    </w:p>
    <w:p>
      <w:pPr>
        <w:pStyle w:val="Heading2"/>
        <w:keepNext/>
        <w:spacing w:before="240" w:after="120" w:line="312"/>
      </w:pPr>
      <w:bookmarkStart w:id="100019" w:name="_Toc100019"/>
      <w:r>
        <w:rPr>
          <w:b/>
          <w:bCs/>
          <w:color w:val="162235"/>
          <w:sz w:val="30"/>
          <w:szCs w:val="30"/>
          <w:rFonts w:ascii="Times New Roman" w:eastAsia="SimHei"/>
        </w:rPr>
        <w:t xml:space="preserve">8.1 Routine rotation</w:t>
      </w:r>
      <w:bookmarkEnd w:id="100019"/>
    </w:p>
    <w:p>
      <w:pPr>
        <w:spacing w:after="120" w:line="312"/>
        <w:jc w:val="left"/>
      </w:pPr>
      <w:r>
        <w:rPr>
          <w:color w:val="000000"/>
          <w:sz w:val="24"/>
          <w:szCs w:val="24"/>
          <w:rFonts w:ascii="Times New Roman" w:eastAsia="SimSun"/>
        </w:rPr>
        <w:t xml:space="preserve">Once registration has happened once, rotation is the same operation with a new key. The procedure below is the pipeline doc's rotation runbook (docs/ORACLE_PIPELINE.md section 6.2) made executable now that the 9.5 gate is closed. Authorization on chain is a single equality against the currently configured key, so the old key is simply no longer configured after rotation; there is no revocation list to update and no lingering grant to revoke. Launch-price rotation affects only future baselines because recorded LaunchPrice PDAs are init-once.</w:t>
      </w:r>
    </w:p>
    <w:p>
      <w:pPr>
        <w:pStyle w:val="ListParagraph"/>
        <w:numPr>
          <w:ilvl w:val="0"/>
          <w:numId w:val="4"/>
        </w:numPr>
        <w:spacing w:after="100" w:line="312"/>
        <w:jc w:val="left"/>
      </w:pPr>
      <w:r>
        <w:rPr>
          <w:b w:val="false"/>
          <w:bCs w:val="false"/>
          <w:i w:val="false"/>
          <w:iCs w:val="false"/>
          <w:color w:val="000000"/>
          <w:sz w:val="24"/>
          <w:szCs w:val="24"/>
          <w:rFonts w:ascii="Times New Roman" w:eastAsia="SimSun"/>
        </w:rPr>
        <w:t xml:space="preserve">Generate a new dedicated keypair under the Section 4 custody rules (0600, outside any repository, backed up before use).</w:t>
      </w:r>
    </w:p>
    <w:p>
      <w:pPr>
        <w:pStyle w:val="ListParagraph"/>
        <w:numPr>
          <w:ilvl w:val="0"/>
          <w:numId w:val="4"/>
        </w:numPr>
        <w:spacing w:after="100" w:line="312"/>
        <w:jc w:val="left"/>
      </w:pPr>
      <w:r>
        <w:rPr>
          <w:b w:val="false"/>
          <w:bCs w:val="false"/>
          <w:i w:val="false"/>
          <w:iCs w:val="false"/>
          <w:color w:val="000000"/>
          <w:sz w:val="24"/>
          <w:szCs w:val="24"/>
          <w:rFonts w:ascii="Times New Roman" w:eastAsia="SimSun"/>
        </w:rPr>
        <w:t xml:space="preserve">Have the authority sign update_protocol_config with Some(new key) for the role being rotated and None for everything else (48-byte single-oracle form in Appendix A).</w:t>
      </w:r>
    </w:p>
    <w:p>
      <w:pPr>
        <w:pStyle w:val="ListParagraph"/>
        <w:numPr>
          <w:ilvl w:val="0"/>
          <w:numId w:val="4"/>
        </w:numPr>
        <w:spacing w:after="100" w:line="312"/>
        <w:jc w:val="left"/>
      </w:pPr>
      <w:r>
        <w:rPr>
          <w:b w:val="false"/>
          <w:bCs w:val="false"/>
          <w:i w:val="false"/>
          <w:iCs w:val="false"/>
          <w:color w:val="000000"/>
          <w:sz w:val="24"/>
          <w:szCs w:val="24"/>
          <w:rFonts w:ascii="Times New Roman" w:eastAsia="SimSun"/>
        </w:rPr>
        <w:t xml:space="preserve">Cut the pipeline over: point ORACLE_KEY_FILE at the new key file, restart the service, and confirm the first collect run reports outcome verified.</w:t>
      </w:r>
    </w:p>
    <w:p>
      <w:pPr>
        <w:pStyle w:val="ListParagraph"/>
        <w:numPr>
          <w:ilvl w:val="0"/>
          <w:numId w:val="4"/>
        </w:numPr>
        <w:spacing w:after="100" w:line="312"/>
        <w:jc w:val="left"/>
      </w:pPr>
      <w:r>
        <w:rPr>
          <w:b w:val="false"/>
          <w:bCs w:val="false"/>
          <w:i w:val="false"/>
          <w:iCs w:val="false"/>
          <w:color w:val="000000"/>
          <w:sz w:val="24"/>
          <w:szCs w:val="24"/>
          <w:rFonts w:ascii="Times New Roman" w:eastAsia="SimSun"/>
        </w:rPr>
        <w:t xml:space="preserve">Update docs/ORACLE_PIPELINE.md section 2.4 recorded values in the same changeset so documentation and chain state never diverge.</w:t>
      </w:r>
    </w:p>
    <w:p>
      <w:pPr>
        <w:pStyle w:val="Heading2"/>
        <w:keepNext/>
        <w:spacing w:before="240" w:after="120" w:line="312"/>
      </w:pPr>
      <w:bookmarkStart w:id="100020" w:name="_Toc100020"/>
      <w:r>
        <w:rPr>
          <w:b/>
          <w:bCs/>
          <w:color w:val="162235"/>
          <w:sz w:val="30"/>
          <w:szCs w:val="30"/>
          <w:rFonts w:ascii="Times New Roman" w:eastAsia="SimHei"/>
        </w:rPr>
        <w:t xml:space="preserve">8.2 Suspected compromise</w:t>
      </w:r>
      <w:bookmarkEnd w:id="100020"/>
    </w:p>
    <w:p>
      <w:pPr>
        <w:spacing w:after="120" w:line="312"/>
        <w:jc w:val="left"/>
      </w:pPr>
      <w:r>
        <w:rPr>
          <w:color w:val="000000"/>
          <w:sz w:val="24"/>
          <w:szCs w:val="24"/>
          <w:rFonts w:ascii="Times New Roman" w:eastAsia="SimSun"/>
        </w:rPr>
        <w:t xml:space="preserve">Containment comes first and is free: the authority pauses the scanner, and every evaluate instruction reverts with 6010 ProtocolPaused until triage concludes. Then rotate the affected oracle key per Section 8.1, unpause, and rerun verify-path before any further submissions. If adversarial evidence was accepted before containment, the blast radius is already bounded by design: forged signatures die at the Ed25519 precompile, tampered bindings and timestamps die at 6027/6028, stale or replayed slots die at 6029/6030, and an anchor written from valid-but-adversarial evidence can be marked invalid by the authority via invalidate_anchor, then ages out through sweep_stale_anchor after the staleness window. Record the offending (pool, issued_slot, msg_sha256) triple in the replay journal with action verify so the pipeline refuses to re-observe it.</w:t>
      </w:r>
    </w:p>
    <w:p>
      <w:pPr>
        <w:pStyle w:val="Heading2"/>
        <w:keepNext/>
        <w:spacing w:before="240" w:after="120" w:line="312"/>
      </w:pPr>
      <w:bookmarkStart w:id="100021" w:name="_Toc100021"/>
      <w:r>
        <w:rPr>
          <w:b/>
          <w:bCs/>
          <w:color w:val="162235"/>
          <w:sz w:val="30"/>
          <w:szCs w:val="30"/>
          <w:rFonts w:ascii="Times New Roman" w:eastAsia="SimHei"/>
        </w:rPr>
        <w:t xml:space="preserve">8.3 Monitoring hooks that watch custody</w:t>
      </w:r>
      <w:bookmarkEnd w:id="100021"/>
    </w:p>
    <w:p>
      <w:pPr>
        <w:spacing w:after="120" w:line="312"/>
        <w:jc w:val="left"/>
      </w:pPr>
      <w:r>
        <w:rPr>
          <w:color w:val="000000"/>
          <w:sz w:val="24"/>
          <w:szCs w:val="24"/>
          <w:rFonts w:ascii="Times New Roman" w:eastAsia="SimSun"/>
        </w:rPr>
        <w:t xml:space="preserve">Three automated signals already exist and should be treated as custody alarms: the scheduled evidence smoke (daily 06:11 UTC) fails loud when the chain stops accepting pipeline evidence; the health snapshot flags verify-path allPass=false immediately; and the operator watch list includes ProtocolConfig.activity_oracle changes, paused flips, and GraveScanner program upgrades, any of which invalidates pipeline assumptions and must trigger a verify-path rerun before further submissions. Add the oracle-field readback to any existing config-drift monitoring so an unauthorized rotation is detected within one cycle, not at the next incident.</w:t>
      </w:r>
    </w:p>
    <w:p>
      <w:pPr>
        <w:pStyle w:val="Heading1"/>
        <w:keepNext/>
        <w:spacing w:before="360" w:after="160" w:line="312"/>
        <w:jc w:val="center"/>
      </w:pPr>
      <w:bookmarkStart w:id="100022" w:name="_Toc100022"/>
      <w:r>
        <w:rPr>
          <w:b/>
          <w:bCs/>
          <w:color w:val="162235"/>
          <w:sz w:val="32"/>
          <w:szCs w:val="32"/>
          <w:rFonts w:ascii="Times New Roman" w:eastAsia="SimHei"/>
        </w:rPr>
        <w:t xml:space="preserve">9. Mainnet Readiness Checklist (Squads Flow)</w:t>
      </w:r>
      <w:bookmarkEnd w:id="100022"/>
    </w:p>
    <w:p>
      <w:pPr>
        <w:spacing w:after="120" w:line="312"/>
        <w:jc w:val="left"/>
      </w:pPr>
      <w:r>
        <w:rPr>
          <w:color w:val="000000"/>
          <w:sz w:val="24"/>
          <w:szCs w:val="24"/>
          <w:rFonts w:ascii="Times New Roman" w:eastAsia="SimSun"/>
        </w:rPr>
        <w:t xml:space="preserve">On mainnet the ProtocolConfig.authority is a Squads v4 multisig PDA, and update_protocol_config is executed as a vault transaction: a member proposes the instruction with byte-exact parameters, the required signers approve, the Charter's 72-hour timelock elapses, and then the transaction executes on chain. The timelock is enforced by the governance flow rather than by scanner program logic (spec decision D2), which makes the proposal payload itself the critical artifact: it must carry the same 80-byte data layout verified on devnet, and the simulation in the Squads UI must show the config PDA write and no other mutations. The devnet drill in Sections 5 through 7 is the rehearsal; execute it completely and archive its outputs before drafting the mainnet proposal.</w:t>
      </w:r>
    </w:p>
    <w:p>
      <w:pPr>
        <w:spacing w:after="120" w:line="312"/>
        <w:jc w:val="left"/>
      </w:pPr>
      <w:r>
        <w:rPr>
          <w:color w:val="000000"/>
          <w:sz w:val="24"/>
          <w:szCs w:val="24"/>
          <w:rFonts w:ascii="Times New Roman" w:eastAsia="SimSun"/>
        </w:rPr>
        <w:t xml:space="preserve">Custody expectations rise accordingly. The activity oracle moves to a warm signing service or HSM-backed key on the indexer host, still file-loaded and never serialized into logs; the launch-price oracle moves to the coldest tier (offline key or HSM, used once per pool baseline); and the multisig itself should have its member set and threshold reviewed before it holds real authority. The checklist below is the minimum bar; each row names its owner and the evidence that satisfies it.</w:t>
      </w:r>
    </w:p>
    <w:p>
      <w:pPr>
        <w:keepNext/>
        <w:spacing w:before="120" w:after="80" w:line="312"/>
        <w:jc w:val="left"/>
      </w:pPr>
      <w:r>
        <w:rPr>
          <w:b/>
          <w:bCs/>
          <w:color w:val="000000"/>
          <w:sz w:val="21"/>
          <w:szCs w:val="21"/>
          <w:rFonts w:ascii="Times New Roman" w:eastAsia="SimSun"/>
        </w:rPr>
        <w:t xml:space="preserve">Table 5: Mainnet registration checklist</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6%"/>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w:t>
            </w:r>
          </w:p>
        </w:tc>
        <w:tc>
          <w:tcPr>
            <w:tcW w:type="pct" w:w="4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Item</w:t>
            </w:r>
          </w:p>
        </w:tc>
        <w:tc>
          <w:tcPr>
            <w:tcW w:type="pct" w:w="18%"/>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Owner</w:t>
            </w:r>
          </w:p>
        </w:tc>
        <w:tc>
          <w:tcPr>
            <w:tcW w:type="pct" w:w="32%"/>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Evidence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1</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Devnet drill complete (Sections 5-7, exit codes archived)</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Owner + indexer eng</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readback + verify-path + collect outputs</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2</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Two dedicated keys generated (D9 separation) under HSM/KMS or equivalent</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Owner</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custody record; public keys only</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3</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Backups and recovery procedure documented for both keys</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Owner</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restoration drill note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4</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80-byte proposal payload built and simulated against mainnet program id</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Owner</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Squads draft + simulation link</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5</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72h timelock window scheduled and communicated</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Owner</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governance calendar entry</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6</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Post-execution readback scheduled (offsets 123/155)</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Indexer eng</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protocol_admin.mjs check output</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7</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verify-path + collect positive-path rerun scheduled post-execution</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Indexer eng</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archived reports (secret-free)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8</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docs/ORACLE_PIPELINE.md section 2.4 update queued in the same changeset</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Indexer eng</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PR reference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9</w:t>
            </w:r>
          </w:p>
        </w:tc>
        <w:tc>
          <w:tcPr>
            <w:tcW w:type="pct" w:w="44%"/>
            <w:tcMar>
              <w:top w:type="dxa" w:w="60"/>
              <w:left w:type="dxa" w:w="120"/>
              <w:bottom w:type="dxa" w:w="60"/>
              <w:right w:type="dxa" w:w="120"/>
            </w:tcMar>
          </w:tcPr>
          <w:p>
            <w:pPr>
              <w:spacing w:line="312"/>
              <w:jc w:val="left"/>
            </w:pPr>
            <w:r>
              <w:rPr>
                <w:color w:val="000000"/>
                <w:sz w:val="21"/>
                <w:szCs w:val="21"/>
                <w:rFonts w:ascii="Times New Roman" w:eastAsia="SimSun"/>
              </w:rPr>
              <w:t xml:space="preserve">Config-drift monitoring covers oracle fields and paused flag</w:t>
            </w:r>
          </w:p>
        </w:tc>
        <w:tc>
          <w:tcPr>
            <w:tcW w:type="pct" w:w="18%"/>
            <w:tcMar>
              <w:top w:type="dxa" w:w="60"/>
              <w:left w:type="dxa" w:w="120"/>
              <w:bottom w:type="dxa" w:w="60"/>
              <w:right w:type="dxa" w:w="120"/>
            </w:tcMar>
          </w:tcPr>
          <w:p>
            <w:pPr>
              <w:spacing w:line="312"/>
              <w:jc w:val="left"/>
            </w:pPr>
            <w:r>
              <w:rPr>
                <w:color w:val="000000"/>
                <w:sz w:val="21"/>
                <w:szCs w:val="21"/>
                <w:rFonts w:ascii="Times New Roman" w:eastAsia="SimSun"/>
              </w:rPr>
              <w:t xml:space="preserve">Indexer eng</w:t>
            </w:r>
          </w:p>
        </w:tc>
        <w:tc>
          <w:tcPr>
            <w:tcW w:type="pct" w:w="32%"/>
            <w:tcMar>
              <w:top w:type="dxa" w:w="60"/>
              <w:left w:type="dxa" w:w="120"/>
              <w:bottom w:type="dxa" w:w="60"/>
              <w:right w:type="dxa" w:w="120"/>
            </w:tcMar>
          </w:tcPr>
          <w:p>
            <w:pPr>
              <w:spacing w:line="312"/>
              <w:jc w:val="left"/>
            </w:pPr>
            <w:r>
              <w:rPr>
                <w:color w:val="000000"/>
                <w:sz w:val="21"/>
                <w:szCs w:val="21"/>
                <w:rFonts w:ascii="Times New Roman" w:eastAsia="SimSun"/>
              </w:rPr>
              <w:t xml:space="preserve">alert rule id</w:t>
            </w:r>
          </w:p>
        </w:tc>
      </w:tr>
    </w:tbl>
    <w:p>
      <w:pPr>
        <w:spacing w:after="120" w:line="312"/>
      </w:pPr>
    </w:p>
    <w:p>
      <w:pPr>
        <w:pStyle w:val="Heading1"/>
        <w:keepNext/>
        <w:spacing w:before="360" w:after="160" w:line="312"/>
        <w:jc w:val="center"/>
      </w:pPr>
      <w:bookmarkStart w:id="100023" w:name="_Toc100023"/>
      <w:r>
        <w:rPr>
          <w:b/>
          <w:bCs/>
          <w:color w:val="162235"/>
          <w:sz w:val="32"/>
          <w:szCs w:val="32"/>
          <w:rFonts w:ascii="Times New Roman" w:eastAsia="SimHei"/>
        </w:rPr>
        <w:t xml:space="preserve">10. Troubleshooting</w:t>
      </w:r>
      <w:bookmarkEnd w:id="100023"/>
    </w:p>
    <w:p>
      <w:pPr>
        <w:spacing w:after="120" w:line="312"/>
        <w:jc w:val="left"/>
      </w:pPr>
      <w:r>
        <w:rPr>
          <w:color w:val="000000"/>
          <w:sz w:val="24"/>
          <w:szCs w:val="24"/>
          <w:rFonts w:ascii="Times New Roman" w:eastAsia="SimSun"/>
        </w:rPr>
        <w:t xml:space="preserve">The failure modes below cover everything the registration path can realistically surface, each with its observable signature and the corrective action. The guiding principle is the one the project has used throughout: read the real exit code and the real error, decode it against the program's source of truth, and never retry blindly against a failing constraint.</w:t>
      </w:r>
    </w:p>
    <w:p>
      <w:pPr>
        <w:keepNext/>
        <w:spacing w:before="120" w:after="80" w:line="312"/>
        <w:jc w:val="left"/>
      </w:pPr>
      <w:r>
        <w:rPr>
          <w:b/>
          <w:bCs/>
          <w:color w:val="000000"/>
          <w:sz w:val="21"/>
          <w:szCs w:val="21"/>
          <w:rFonts w:ascii="Times New Roman" w:eastAsia="SimSun"/>
        </w:rPr>
        <w:t xml:space="preserve">Table 6: Symptoms, causes, and fixes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Symptom</w:t>
            </w:r>
          </w:p>
        </w:tc>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Cause</w:t>
            </w:r>
          </w:p>
        </w:tc>
        <w:tc>
          <w:tcPr>
            <w:tcW w:type="pct" w:w="4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Fix</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custom program error: 0x1770 (6000 Unauthorized)</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signer is not ProtocolConfig.authority</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sign with the authority keypair; on mainnet execute via the Squads vault transaction</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Transaction lands, readback unchanged</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all-None parameters (Option encoding bug) or wrong field order</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verify the 80-byte layout in Appendix A; every untouched field must be exactly 0x00</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Anchor decode failure / unknown instruction discriminator</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wrong discriminator or truncated data</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recompute sha256("global:update_protocol_config")[0..8]; confirm data length 80 (both) or 48 (single)</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AccountNotFound on protocol_config</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wrong cluster or wrong program id</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derive the PDA from the deployed program id you target; check SCANNER_PROGRAM_ID overrides</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Evaluate instructions revert 6010 after registration</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scanner paused by governance (unrelated to registration)</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authority unpauses via emergency_pause false, then rerun verify-path</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Canonical case still 6026/oracle-gated after registration</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verify-path signs with an ephemeral key by design</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expected; prove the positive path via collect with ORACLE_KEY_FILE (Section 7.3)</w:t>
            </w:r>
          </w:p>
        </w:tc>
      </w:tr>
      <w:tr>
        <w:trPr>
          <w:cantSplit/>
        </w:trPr>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Devnet RPC 429 / timeouts during checks</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public endpoint rate limiting</w:t>
            </w:r>
          </w:p>
        </w:tc>
        <w:tc>
          <w:tcPr>
            <w:tcW w:type="pct" w:w="40%"/>
            <w:tcMar>
              <w:top w:type="dxa" w:w="60"/>
              <w:left w:type="dxa" w:w="120"/>
              <w:bottom w:type="dxa" w:w="60"/>
              <w:right w:type="dxa" w:w="120"/>
            </w:tcMar>
          </w:tcPr>
          <w:p>
            <w:pPr>
              <w:spacing w:line="312"/>
              <w:jc w:val="left"/>
            </w:pPr>
            <w:r>
              <w:rPr>
                <w:color w:val="000000"/>
                <w:sz w:val="21"/>
                <w:szCs w:val="21"/>
                <w:rFonts w:ascii="Times New Roman" w:eastAsia="SimSun"/>
              </w:rPr>
              <w:t xml:space="preserve">retry with backoff (built into the harness) or use a private RPC endpoint</w:t>
            </w:r>
          </w:p>
        </w:tc>
      </w:tr>
    </w:tbl>
    <w:p>
      <w:pPr>
        <w:spacing w:after="120" w:line="312"/>
      </w:pPr>
    </w:p>
    <w:p>
      <w:pPr>
        <w:pStyle w:val="Heading1"/>
        <w:keepNext/>
        <w:spacing w:before="360" w:after="160" w:line="312"/>
        <w:jc w:val="center"/>
      </w:pPr>
      <w:bookmarkStart w:id="100024" w:name="_Toc100024"/>
      <w:r>
        <w:rPr>
          <w:b/>
          <w:bCs/>
          <w:color w:val="162235"/>
          <w:sz w:val="32"/>
          <w:szCs w:val="32"/>
          <w:rFonts w:ascii="Times New Roman" w:eastAsia="SimHei"/>
        </w:rPr>
        <w:t xml:space="preserve">Appendix A. register_oracle.mjs Reference Implementation</w:t>
      </w:r>
      <w:bookmarkEnd w:id="100024"/>
    </w:p>
    <w:p>
      <w:pPr>
        <w:spacing w:after="120" w:line="312"/>
        <w:jc w:val="left"/>
      </w:pPr>
      <w:r>
        <w:rPr>
          <w:color w:val="000000"/>
          <w:sz w:val="24"/>
          <w:szCs w:val="24"/>
          <w:rFonts w:ascii="Times New Roman" w:eastAsia="SimSun"/>
        </w:rPr>
        <w:t xml:space="preserve">The listing below is the complete registration tool referenced by Section 5. It imports the PDA helper, the readback decoder, and the devnet program id from the protocol repo's own protocol_admin.mjs so that instruction construction and readback share one source of byte-level truth. Output carries public keys, byte counts, and signatures only; key files are read from disk and never printed, echoed, or copied. The field order in buildUpdateData mirrors UpdateProtocolConfigParams exactly and is marked normative; if the struct ever changes upstream, this is the function that must be re-diffed first.</w:t>
      </w:r>
    </w:p>
    <w:p>
      <w:pPr>
        <w:keepNext/>
        <w:spacing w:before="120" w:after="80" w:line="312"/>
        <w:jc w:val="left"/>
      </w:pPr>
      <w:r>
        <w:rPr>
          <w:b/>
          <w:bCs/>
          <w:color w:val="000000"/>
          <w:sz w:val="21"/>
          <w:szCs w:val="21"/>
          <w:rFonts w:ascii="Times New Roman" w:eastAsia="SimSun"/>
        </w:rPr>
        <w:t xml:space="preserve">Listing 3: register_oracle.mjs — place next to protocol_admin.mjs in a graveyield-protocol checkout</w:t>
      </w:r>
    </w:p>
    <w:tbl>
      <w:tblPr>
        <w:tblW w:type="pct" w:w="100%"/>
        <w:tblBorders>
          <w:top w:val="single" w:color="C8DDE2" w:sz="1"/>
          <w:left w:val="single" w:color="1B6B7A" w:sz="12"/>
          <w:bottom w:val="single" w:color="C8DDE2" w:sz="1"/>
          <w:right w:val="none" w:color="FFFFFF" w:sz="0"/>
          <w:insideH w:val="none" w:color="FFFFFF" w:sz="0"/>
          <w:insideV w:val="none" w:color="FFFFFF" w:sz="0"/>
        </w:tblBorders>
      </w:tblPr>
      <w:tblGrid>
        <w:gridCol w:w="100"/>
      </w:tblGrid>
      <w:tr>
        <w:trPr>
          <w:cantSplit/>
        </w:trPr>
        <w:tc>
          <w:tcPr>
            <w:tcW w:type="pct" w:w="100%"/>
            <w:shd w:fill="EDF3F5" w:val="clear"/>
            <w:tcMar>
              <w:top w:type="dxa" w:w="120"/>
              <w:left w:type="dxa" w:w="200"/>
              <w:bottom w:type="dxa" w:w="20"/>
              <w:right w:type="dxa" w:w="120"/>
            </w:tcMar>
          </w:tcPr>
          <w:p>
            <w:pPr>
              <w:spacing w:after="0" w:line="312"/>
              <w:jc w:val="left"/>
            </w:pPr>
            <w:r>
              <w:rPr>
                <w:color w:val="24323C"/>
                <w:sz w:val="18"/>
                <w:szCs w:val="18"/>
                <w:rFonts w:ascii="Courier New" w:eastAsia="SimSun"/>
              </w:rPr>
              <w:t xml:space="preserve">// register_oracle.mjs — GraveScanner oracle-custody registration (item 9.5).</w:t>
            </w:r>
          </w:p>
          <w:p>
            <w:pPr>
              <w:spacing w:after="0" w:line="312"/>
              <w:jc w:val="left"/>
            </w:pPr>
            <w:r>
              <w:rPr>
                <w:color w:val="24323C"/>
                <w:sz w:val="18"/>
                <w:szCs w:val="18"/>
                <w:rFonts w:ascii="Courier New" w:eastAsia="SimSun"/>
              </w:rPr>
              <w:t xml:space="preserve">// Place next to protocol_admin.mjs in a checkout of GraveYield/graveyield-protocol</w:t>
            </w:r>
          </w:p>
          <w:p>
            <w:pPr>
              <w:spacing w:after="0" w:line="312"/>
              <w:jc w:val="left"/>
            </w:pPr>
            <w:r>
              <w:rPr>
                <w:color w:val="24323C"/>
                <w:sz w:val="18"/>
                <w:szCs w:val="18"/>
                <w:rFonts w:ascii="Courier New" w:eastAsia="SimSun"/>
              </w:rPr>
              <w:t xml:space="preserve">// (&gt;= 5b84440) and run with node &gt;= 18. Output carries public keys only; key</w:t>
            </w:r>
          </w:p>
          <w:p>
            <w:pPr>
              <w:spacing w:after="0" w:line="312"/>
              <w:jc w:val="left"/>
            </w:pPr>
            <w:r>
              <w:rPr>
                <w:color w:val="24323C"/>
                <w:sz w:val="18"/>
                <w:szCs w:val="18"/>
                <w:rFonts w:ascii="Courier New" w:eastAsia="SimSun"/>
              </w:rPr>
              <w:t xml:space="preserve">// files are read from disk, never printed, never copied anywhere.</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Usage:</w:t>
            </w:r>
          </w:p>
          <w:p>
            <w:pPr>
              <w:spacing w:after="0" w:line="312"/>
              <w:jc w:val="left"/>
            </w:pPr>
            <w:r>
              <w:rPr>
                <w:color w:val="24323C"/>
                <w:sz w:val="18"/>
                <w:szCs w:val="18"/>
                <w:rFonts w:ascii="Courier New" w:eastAsia="SimSun"/>
              </w:rPr>
              <w:t xml:space="preserve">//   node register_oracle.mjs register --url &lt;RPC_URL&gt; --authority &lt;KP_FILE&gt;</w:t>
            </w:r>
          </w:p>
          <w:p>
            <w:pPr>
              <w:spacing w:after="0" w:line="312"/>
              <w:jc w:val="left"/>
            </w:pPr>
            <w:r>
              <w:rPr>
                <w:color w:val="24323C"/>
                <w:sz w:val="18"/>
                <w:szCs w:val="18"/>
                <w:rFonts w:ascii="Courier New" w:eastAsia="SimSun"/>
              </w:rPr>
              <w:t xml:space="preserve">//        --oracle &lt;PUBKEY&gt; [--launch-price &lt;PUBKEY&gt;] [--dry-run]</w:t>
            </w:r>
          </w:p>
          <w:p>
            <w:pPr>
              <w:spacing w:after="0" w:line="312"/>
              <w:jc w:val="left"/>
            </w:pPr>
            <w:r>
              <w:rPr>
                <w:color w:val="24323C"/>
                <w:sz w:val="18"/>
                <w:szCs w:val="18"/>
                <w:rFonts w:ascii="Courier New" w:eastAsia="SimSun"/>
              </w:rPr>
              <w:t xml:space="preserve">//   node register_oracle.mjs check --url &lt;RPC_URL&gt;</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Byte-layout source (normative, do not drift):</w:t>
            </w:r>
          </w:p>
          <w:p>
            <w:pPr>
              <w:spacing w:after="0" w:line="312"/>
              <w:jc w:val="left"/>
            </w:pPr>
            <w:r>
              <w:rPr>
                <w:color w:val="24323C"/>
                <w:sz w:val="18"/>
                <w:szCs w:val="18"/>
                <w:rFonts w:ascii="Courier New" w:eastAsia="SimSun"/>
              </w:rPr>
              <w:t xml:space="preserve">//   programs/grave-scanner/src/instructions/update_protocol_config.rs</w:t>
            </w:r>
          </w:p>
          <w:p>
            <w:pPr>
              <w:spacing w:after="0" w:line="312"/>
              <w:jc w:val="left"/>
            </w:pPr>
            <w:r>
              <w:rPr>
                <w:color w:val="24323C"/>
                <w:sz w:val="18"/>
                <w:szCs w:val="18"/>
                <w:rFonts w:ascii="Courier New" w:eastAsia="SimSun"/>
              </w:rPr>
              <w:t xml:space="preserve">// Readback layout source:</w:t>
            </w:r>
          </w:p>
          <w:p>
            <w:pPr>
              <w:spacing w:after="0" w:line="312"/>
              <w:jc w:val="left"/>
            </w:pPr>
            <w:r>
              <w:rPr>
                <w:color w:val="24323C"/>
                <w:sz w:val="18"/>
                <w:szCs w:val="18"/>
                <w:rFonts w:ascii="Courier New" w:eastAsia="SimSun"/>
              </w:rPr>
              <w:t xml:space="preserve">//   scripts/devnet/protocol_admin.mjs (decodeProtocolConfig, offsets 123/155)</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import { createHash } from "node:crypto";</w:t>
            </w:r>
          </w:p>
          <w:p>
            <w:pPr>
              <w:spacing w:after="0" w:line="312"/>
              <w:jc w:val="left"/>
            </w:pPr>
            <w:r>
              <w:rPr>
                <w:color w:val="24323C"/>
                <w:sz w:val="18"/>
                <w:szCs w:val="18"/>
                <w:rFonts w:ascii="Courier New" w:eastAsia="SimSun"/>
              </w:rPr>
              <w:t xml:space="preserve">import { readFileSync } from "node:fs";</w:t>
            </w:r>
          </w:p>
          <w:p>
            <w:pPr>
              <w:spacing w:after="0" w:line="312"/>
              <w:jc w:val="left"/>
            </w:pPr>
            <w:r>
              <w:rPr>
                <w:color w:val="24323C"/>
                <w:sz w:val="18"/>
                <w:szCs w:val="18"/>
                <w:rFonts w:ascii="Courier New" w:eastAsia="SimSun"/>
              </w:rPr>
              <w:t xml:space="preserve">import {</w:t>
            </w:r>
          </w:p>
          <w:p>
            <w:pPr>
              <w:spacing w:after="0" w:line="312"/>
              <w:jc w:val="left"/>
            </w:pPr>
            <w:r>
              <w:rPr>
                <w:color w:val="24323C"/>
                <w:sz w:val="18"/>
                <w:szCs w:val="18"/>
                <w:rFonts w:ascii="Courier New" w:eastAsia="SimSun"/>
              </w:rPr>
              <w:t xml:space="preserve">  Connection, Keypair, PublicKey, Transaction,</w:t>
            </w:r>
          </w:p>
          <w:p>
            <w:pPr>
              <w:spacing w:after="0" w:line="312"/>
              <w:jc w:val="left"/>
            </w:pPr>
            <w:r>
              <w:rPr>
                <w:color w:val="24323C"/>
                <w:sz w:val="18"/>
                <w:szCs w:val="18"/>
                <w:rFonts w:ascii="Courier New" w:eastAsia="SimSun"/>
              </w:rPr>
              <w:t xml:space="preserve">  TransactionInstruction, sendAndConfirmTransaction,</w:t>
            </w:r>
          </w:p>
          <w:p>
            <w:pPr>
              <w:spacing w:after="0" w:line="312"/>
              <w:jc w:val="left"/>
            </w:pPr>
            <w:r>
              <w:rPr>
                <w:color w:val="24323C"/>
                <w:sz w:val="18"/>
                <w:szCs w:val="18"/>
                <w:rFonts w:ascii="Courier New" w:eastAsia="SimSun"/>
              </w:rPr>
              <w:t xml:space="preserve">} from "@solana/web3.js";</w:t>
            </w:r>
          </w:p>
          <w:p>
            <w:pPr>
              <w:spacing w:after="0" w:line="312"/>
              <w:jc w:val="left"/>
            </w:pPr>
            <w:r>
              <w:rPr>
                <w:color w:val="24323C"/>
                <w:sz w:val="18"/>
                <w:szCs w:val="18"/>
                <w:rFonts w:ascii="Courier New" w:eastAsia="SimSun"/>
              </w:rPr>
              <w:t xml:space="preserve">import { SCANNER_PROGRAM_ID, configPda, decodeProtocolConfig }</w:t>
            </w:r>
          </w:p>
          <w:p>
            <w:pPr>
              <w:spacing w:after="0" w:line="312"/>
              <w:jc w:val="left"/>
            </w:pPr>
            <w:r>
              <w:rPr>
                <w:color w:val="24323C"/>
                <w:sz w:val="18"/>
                <w:szCs w:val="18"/>
                <w:rFonts w:ascii="Courier New" w:eastAsia="SimSun"/>
              </w:rPr>
              <w:t xml:space="preserve">  from "./protocol_admin.mjs";</w:t>
            </w:r>
          </w:p>
          <w:p>
            <w:pPr>
              <w:spacing w:after="0" w:line="312"/>
              <w:jc w:val="left"/>
            </w:pPr>
            <w:r>
              <w:rPr>
                <w:color w:val="24323C"/>
                <w:sz w:val="18"/>
                <w:szCs w:val="18"/>
                <w:rFonts w:ascii="Courier New" w:eastAsia="SimSun"/>
              </w:rPr>
              <w:t xml:space="preserve"> </w:t>
            </w:r>
          </w:p>
        </w:tc>
      </w:tr>
      <w:tr>
        <w:trPr>
          <w:cantSplit/>
        </w:trPr>
        <w:tc>
          <w:tcPr>
            <w:tcW w:type="pct" w:w="100%"/>
            <w:shd w:fill="EDF3F5" w:val="clear"/>
            <w:tcMar>
              <w:top w:type="dxa" w:w="20"/>
              <w:left w:type="dxa" w:w="200"/>
              <w:bottom w:type="dxa" w:w="20"/>
              <w:right w:type="dxa" w:w="120"/>
            </w:tcMar>
          </w:tcPr>
          <w:p>
            <w:pPr>
              <w:spacing w:after="0" w:line="312"/>
              <w:jc w:val="left"/>
            </w:pPr>
            <w:r>
              <w:rPr>
                <w:color w:val="24323C"/>
                <w:sz w:val="18"/>
                <w:szCs w:val="18"/>
                <w:rFonts w:ascii="Courier New" w:eastAsia="SimSun"/>
              </w:rPr>
              <w:t xml:space="preserve">/** Anchor discriminator = first 8 bytes of sha256("global:&lt;snake_name&gt;"). */</w:t>
            </w:r>
          </w:p>
          <w:p>
            <w:pPr>
              <w:spacing w:after="0" w:line="312"/>
              <w:jc w:val="left"/>
            </w:pPr>
            <w:r>
              <w:rPr>
                <w:color w:val="24323C"/>
                <w:sz w:val="18"/>
                <w:szCs w:val="18"/>
                <w:rFonts w:ascii="Courier New" w:eastAsia="SimSun"/>
              </w:rPr>
              <w:t xml:space="preserve">const DISCRIMINATOR = createHash("sha256")</w:t>
            </w:r>
          </w:p>
          <w:p>
            <w:pPr>
              <w:spacing w:after="0" w:line="312"/>
              <w:jc w:val="left"/>
            </w:pPr>
            <w:r>
              <w:rPr>
                <w:color w:val="24323C"/>
                <w:sz w:val="18"/>
                <w:szCs w:val="18"/>
                <w:rFonts w:ascii="Courier New" w:eastAsia="SimSun"/>
              </w:rPr>
              <w:t xml:space="preserve">  .update("global:update_protocol_config").digest().subarray(0, 8);</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const NONE = Buffer.from([0x00]); // Option::None — field left untouched</w:t>
            </w:r>
          </w:p>
          <w:p>
            <w:pPr>
              <w:spacing w:after="0" w:line="312"/>
              <w:jc w:val="left"/>
            </w:pPr>
            <w:r>
              <w:rPr>
                <w:color w:val="24323C"/>
                <w:sz w:val="18"/>
                <w:szCs w:val="18"/>
                <w:rFonts w:ascii="Courier New" w:eastAsia="SimSun"/>
              </w:rPr>
              <w:t xml:space="preserve">const SOME = Buffer.from([0x01]); // Option::Some — followed by the value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 Build update_protocol_config instruction data. Field order MUST mirror</w:t>
            </w:r>
          </w:p>
          <w:p>
            <w:pPr>
              <w:spacing w:after="0" w:line="312"/>
              <w:jc w:val="left"/>
            </w:pPr>
            <w:r>
              <w:rPr>
                <w:color w:val="24323C"/>
                <w:sz w:val="18"/>
                <w:szCs w:val="18"/>
                <w:rFonts w:ascii="Courier New" w:eastAsia="SimSun"/>
              </w:rPr>
              <w:t xml:space="preserve"> * UpdateProtocolConfigParams (borsh): six None options (1 byte each), then</w:t>
            </w:r>
          </w:p>
          <w:p>
            <w:pPr>
              <w:spacing w:after="0" w:line="312"/>
              <w:jc w:val="left"/>
            </w:pPr>
            <w:r>
              <w:rPr>
                <w:color w:val="24323C"/>
                <w:sz w:val="18"/>
                <w:szCs w:val="18"/>
                <w:rFonts w:ascii="Courier New" w:eastAsia="SimSun"/>
              </w:rPr>
              <w:t xml:space="preserve"> * activity_oracle / launch_price_oracle as Some(32-byte pubkey).</w:t>
            </w:r>
          </w:p>
          <w:p>
            <w:pPr>
              <w:spacing w:after="0" w:line="312"/>
              <w:jc w:val="left"/>
            </w:pPr>
            <w:r>
              <w:rPr>
                <w:color w:val="24323C"/>
                <w:sz w:val="18"/>
                <w:szCs w:val="18"/>
                <w:rFonts w:ascii="Courier New" w:eastAsia="SimSun"/>
              </w:rPr>
              <w:t xml:space="preserve"> * Both oracles Some =&gt; 8 (disc) + 6 + 33 + 33 = 80 bytes.</w:t>
            </w:r>
          </w:p>
          <w:p>
            <w:pPr>
              <w:spacing w:after="0" w:line="312"/>
              <w:jc w:val="left"/>
            </w:pPr>
            <w:r>
              <w:rPr>
                <w:color w:val="24323C"/>
                <w:sz w:val="18"/>
                <w:szCs w:val="18"/>
                <w:rFonts w:ascii="Courier New" w:eastAsia="SimSun"/>
              </w:rPr>
              <w:t xml:space="preserve"> * Single oracle   =&gt; 8 + 6 + 33 + 1  = 48 bytes (other field untouched).</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function buildUpdateData({ activityOracle, launchPriceOracle }) {</w:t>
            </w:r>
          </w:p>
          <w:p>
            <w:pPr>
              <w:spacing w:after="0" w:line="312"/>
              <w:jc w:val="left"/>
            </w:pPr>
            <w:r>
              <w:rPr>
                <w:color w:val="24323C"/>
                <w:sz w:val="18"/>
                <w:szCs w:val="18"/>
                <w:rFonts w:ascii="Courier New" w:eastAsia="SimSun"/>
              </w:rPr>
              <w:t xml:space="preserve">  const pk = (p) =&gt; Buffer.from(new PublicKey(p).toBytes());</w:t>
            </w:r>
          </w:p>
          <w:p>
            <w:pPr>
              <w:spacing w:after="0" w:line="312"/>
              <w:jc w:val="left"/>
            </w:pPr>
            <w:r>
              <w:rPr>
                <w:color w:val="24323C"/>
                <w:sz w:val="18"/>
                <w:szCs w:val="18"/>
                <w:rFonts w:ascii="Courier New" w:eastAsia="SimSun"/>
              </w:rPr>
              <w:t xml:space="preserve">  if (launchPriceOracle) {</w:t>
            </w:r>
          </w:p>
          <w:p>
            <w:pPr>
              <w:spacing w:after="0" w:line="312"/>
              <w:jc w:val="left"/>
            </w:pPr>
            <w:r>
              <w:rPr>
                <w:color w:val="24323C"/>
                <w:sz w:val="18"/>
                <w:szCs w:val="18"/>
                <w:rFonts w:ascii="Courier New" w:eastAsia="SimSun"/>
              </w:rPr>
              <w:t xml:space="preserve">    return Buffer.concat([</w:t>
            </w:r>
          </w:p>
          <w:p>
            <w:pPr>
              <w:spacing w:after="0" w:line="312"/>
              <w:jc w:val="left"/>
            </w:pPr>
            <w:r>
              <w:rPr>
                <w:color w:val="24323C"/>
                <w:sz w:val="18"/>
                <w:szCs w:val="18"/>
                <w:rFonts w:ascii="Courier New" w:eastAsia="SimSun"/>
              </w:rPr>
              <w:t xml:space="preserve">      DISCRIMINATOR,</w:t>
            </w:r>
          </w:p>
          <w:p>
            <w:pPr>
              <w:spacing w:after="0" w:line="312"/>
              <w:jc w:val="left"/>
            </w:pPr>
            <w:r>
              <w:rPr>
                <w:color w:val="24323C"/>
                <w:sz w:val="18"/>
                <w:szCs w:val="18"/>
                <w:rFonts w:ascii="Courier New" w:eastAsia="SimSun"/>
              </w:rPr>
              <w:t xml:space="preserve">      NONE, NONE, NONE, NONE, NONE, NONE,  // fields 1-6: untouched</w:t>
            </w:r>
          </w:p>
          <w:p>
            <w:pPr>
              <w:spacing w:after="0" w:line="312"/>
              <w:jc w:val="left"/>
            </w:pPr>
            <w:r>
              <w:rPr>
                <w:color w:val="24323C"/>
                <w:sz w:val="18"/>
                <w:szCs w:val="18"/>
                <w:rFonts w:ascii="Courier New" w:eastAsia="SimSun"/>
              </w:rPr>
              <w:t xml:space="preserve">      SOME, pk(activityOracle),            // field 7: activity_oracle</w:t>
            </w:r>
          </w:p>
          <w:p>
            <w:pPr>
              <w:spacing w:after="0" w:line="312"/>
              <w:jc w:val="left"/>
            </w:pPr>
            <w:r>
              <w:rPr>
                <w:color w:val="24323C"/>
                <w:sz w:val="18"/>
                <w:szCs w:val="18"/>
                <w:rFonts w:ascii="Courier New" w:eastAsia="SimSun"/>
              </w:rPr>
              <w:t xml:space="preserve">      SOME, pk(launchPriceOracle),         // field 8: launch_price_oracle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w:t>
            </w:r>
          </w:p>
        </w:tc>
      </w:tr>
      <w:tr>
        <w:trPr>
          <w:cantSplit/>
        </w:trPr>
        <w:tc>
          <w:tcPr>
            <w:tcW w:type="pct" w:w="100%"/>
            <w:shd w:fill="EDF3F5" w:val="clear"/>
            <w:tcMar>
              <w:top w:type="dxa" w:w="20"/>
              <w:left w:type="dxa" w:w="200"/>
              <w:bottom w:type="dxa" w:w="20"/>
              <w:right w:type="dxa" w:w="120"/>
            </w:tcMar>
          </w:tcPr>
          <w:p>
            <w:pPr>
              <w:spacing w:after="0" w:line="312"/>
              <w:jc w:val="left"/>
            </w:pPr>
            <w:r>
              <w:rPr>
                <w:color w:val="24323C"/>
                <w:sz w:val="18"/>
                <w:szCs w:val="18"/>
                <w:rFonts w:ascii="Courier New" w:eastAsia="SimSun"/>
              </w:rPr>
              <w:t xml:space="preserve">  return Buffer.concat([</w:t>
            </w:r>
          </w:p>
          <w:p>
            <w:pPr>
              <w:spacing w:after="0" w:line="312"/>
              <w:jc w:val="left"/>
            </w:pPr>
            <w:r>
              <w:rPr>
                <w:color w:val="24323C"/>
                <w:sz w:val="18"/>
                <w:szCs w:val="18"/>
                <w:rFonts w:ascii="Courier New" w:eastAsia="SimSun"/>
              </w:rPr>
              <w:t xml:space="preserve">    DISCRIMINATOR,</w:t>
            </w:r>
          </w:p>
          <w:p>
            <w:pPr>
              <w:spacing w:after="0" w:line="312"/>
              <w:jc w:val="left"/>
            </w:pPr>
            <w:r>
              <w:rPr>
                <w:color w:val="24323C"/>
                <w:sz w:val="18"/>
                <w:szCs w:val="18"/>
                <w:rFonts w:ascii="Courier New" w:eastAsia="SimSun"/>
              </w:rPr>
              <w:t xml:space="preserve">    NONE, NONE, NONE, NONE, NONE, NONE,    // fields 1-6: untouched</w:t>
            </w:r>
          </w:p>
          <w:p>
            <w:pPr>
              <w:spacing w:after="0" w:line="312"/>
              <w:jc w:val="left"/>
            </w:pPr>
            <w:r>
              <w:rPr>
                <w:color w:val="24323C"/>
                <w:sz w:val="18"/>
                <w:szCs w:val="18"/>
                <w:rFonts w:ascii="Courier New" w:eastAsia="SimSun"/>
              </w:rPr>
              <w:t xml:space="preserve">    SOME, pk(activityOracle),              // field 7: activity_oracle</w:t>
            </w:r>
          </w:p>
          <w:p>
            <w:pPr>
              <w:spacing w:after="0" w:line="312"/>
              <w:jc w:val="left"/>
            </w:pPr>
            <w:r>
              <w:rPr>
                <w:color w:val="24323C"/>
                <w:sz w:val="18"/>
                <w:szCs w:val="18"/>
                <w:rFonts w:ascii="Courier New" w:eastAsia="SimSun"/>
              </w:rPr>
              <w:t xml:space="preserve">    NONE,                                  // field 8: untouched</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function parseArgs(argv) {</w:t>
            </w:r>
          </w:p>
          <w:p>
            <w:pPr>
              <w:spacing w:after="0" w:line="312"/>
              <w:jc w:val="left"/>
            </w:pPr>
            <w:r>
              <w:rPr>
                <w:color w:val="24323C"/>
                <w:sz w:val="18"/>
                <w:szCs w:val="18"/>
                <w:rFonts w:ascii="Courier New" w:eastAsia="SimSun"/>
              </w:rPr>
              <w:t xml:space="preserve">  const out = { _: [] };</w:t>
            </w:r>
          </w:p>
          <w:p>
            <w:pPr>
              <w:spacing w:after="0" w:line="312"/>
              <w:jc w:val="left"/>
            </w:pPr>
            <w:r>
              <w:rPr>
                <w:color w:val="24323C"/>
                <w:sz w:val="18"/>
                <w:szCs w:val="18"/>
                <w:rFonts w:ascii="Courier New" w:eastAsia="SimSun"/>
              </w:rPr>
              <w:t xml:space="preserve">  for (let i = 0; i &lt; argv.length; i++) {</w:t>
            </w:r>
          </w:p>
          <w:p>
            <w:pPr>
              <w:spacing w:after="0" w:line="312"/>
              <w:jc w:val="left"/>
            </w:pPr>
            <w:r>
              <w:rPr>
                <w:color w:val="24323C"/>
                <w:sz w:val="18"/>
                <w:szCs w:val="18"/>
                <w:rFonts w:ascii="Courier New" w:eastAsia="SimSun"/>
              </w:rPr>
              <w:t xml:space="preserve">    if (!argv[i].startsWith("--")) { out._.push(argv[i]); continue; }</w:t>
            </w:r>
          </w:p>
          <w:p>
            <w:pPr>
              <w:spacing w:after="0" w:line="312"/>
              <w:jc w:val="left"/>
            </w:pPr>
            <w:r>
              <w:rPr>
                <w:color w:val="24323C"/>
                <w:sz w:val="18"/>
                <w:szCs w:val="18"/>
                <w:rFonts w:ascii="Courier New" w:eastAsia="SimSun"/>
              </w:rPr>
              <w:t xml:space="preserve">    const [k, v] = argv[i].slice(2).split("=", 2);</w:t>
            </w:r>
          </w:p>
          <w:p>
            <w:pPr>
              <w:spacing w:after="0" w:line="312"/>
              <w:jc w:val="left"/>
            </w:pPr>
            <w:r>
              <w:rPr>
                <w:color w:val="24323C"/>
                <w:sz w:val="18"/>
                <w:szCs w:val="18"/>
                <w:rFonts w:ascii="Courier New" w:eastAsia="SimSun"/>
              </w:rPr>
              <w:t xml:space="preserve">    if (v !== undefined) out[k] = v;</w:t>
            </w:r>
          </w:p>
          <w:p>
            <w:pPr>
              <w:spacing w:after="0" w:line="312"/>
              <w:jc w:val="left"/>
            </w:pPr>
            <w:r>
              <w:rPr>
                <w:color w:val="24323C"/>
                <w:sz w:val="18"/>
                <w:szCs w:val="18"/>
                <w:rFonts w:ascii="Courier New" w:eastAsia="SimSun"/>
              </w:rPr>
              <w:t xml:space="preserve">    else if (argv[i + 1] !== undefined &amp;&amp; !argv[i + 1].startsWith("--")) {</w:t>
            </w:r>
          </w:p>
          <w:p>
            <w:pPr>
              <w:spacing w:after="0" w:line="312"/>
              <w:jc w:val="left"/>
            </w:pPr>
            <w:r>
              <w:rPr>
                <w:color w:val="24323C"/>
                <w:sz w:val="18"/>
                <w:szCs w:val="18"/>
                <w:rFonts w:ascii="Courier New" w:eastAsia="SimSun"/>
              </w:rPr>
              <w:t xml:space="preserve">      out[k] = argv[++i];</w:t>
            </w:r>
          </w:p>
          <w:p>
            <w:pPr>
              <w:spacing w:after="0" w:line="312"/>
              <w:jc w:val="left"/>
            </w:pPr>
            <w:r>
              <w:rPr>
                <w:color w:val="24323C"/>
                <w:sz w:val="18"/>
                <w:szCs w:val="18"/>
                <w:rFonts w:ascii="Courier New" w:eastAsia="SimSun"/>
              </w:rPr>
              <w:t xml:space="preserve">    } else out[k] = true;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return out;</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function requireOpt(args, name) {</w:t>
            </w:r>
          </w:p>
          <w:p>
            <w:pPr>
              <w:spacing w:after="0" w:line="312"/>
              <w:jc w:val="left"/>
            </w:pPr>
            <w:r>
              <w:rPr>
                <w:color w:val="24323C"/>
                <w:sz w:val="18"/>
                <w:szCs w:val="18"/>
                <w:rFonts w:ascii="Courier New" w:eastAsia="SimSun"/>
              </w:rPr>
              <w:t xml:space="preserve">  const v = args[name];</w:t>
            </w:r>
          </w:p>
          <w:p>
            <w:pPr>
              <w:spacing w:after="0" w:line="312"/>
              <w:jc w:val="left"/>
            </w:pPr>
            <w:r>
              <w:rPr>
                <w:color w:val="24323C"/>
                <w:sz w:val="18"/>
                <w:szCs w:val="18"/>
                <w:rFonts w:ascii="Courier New" w:eastAsia="SimSun"/>
              </w:rPr>
              <w:t xml:space="preserve">  if (typeof v !== "string" || v.length === 0) {</w:t>
            </w:r>
          </w:p>
        </w:tc>
      </w:tr>
      <w:tr>
        <w:trPr>
          <w:cantSplit/>
        </w:trPr>
        <w:tc>
          <w:tcPr>
            <w:tcW w:type="pct" w:w="100%"/>
            <w:shd w:fill="EDF3F5" w:val="clear"/>
            <w:tcMar>
              <w:top w:type="dxa" w:w="20"/>
              <w:left w:type="dxa" w:w="200"/>
              <w:bottom w:type="dxa" w:w="20"/>
              <w:right w:type="dxa" w:w="120"/>
            </w:tcMar>
          </w:tcPr>
          <w:p>
            <w:pPr>
              <w:spacing w:after="0" w:line="312"/>
              <w:jc w:val="left"/>
            </w:pPr>
            <w:r>
              <w:rPr>
                <w:color w:val="24323C"/>
                <w:sz w:val="18"/>
                <w:szCs w:val="18"/>
                <w:rFonts w:ascii="Courier New" w:eastAsia="SimSun"/>
              </w:rPr>
              <w:t xml:space="preserve">    throw new Error("missing required --" + name);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return v;</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async function readConfig(connection) {</w:t>
            </w:r>
          </w:p>
          <w:p>
            <w:pPr>
              <w:spacing w:after="0" w:line="312"/>
              <w:jc w:val="left"/>
            </w:pPr>
            <w:r>
              <w:rPr>
                <w:color w:val="24323C"/>
                <w:sz w:val="18"/>
                <w:szCs w:val="18"/>
                <w:rFonts w:ascii="Courier New" w:eastAsia="SimSun"/>
              </w:rPr>
              <w:t xml:space="preserve">  const info = await connection.getAccountInfo(configPda(SCANNER_PROGRAM_ID));</w:t>
            </w:r>
          </w:p>
          <w:p>
            <w:pPr>
              <w:spacing w:after="0" w:line="312"/>
              <w:jc w:val="left"/>
            </w:pPr>
            <w:r>
              <w:rPr>
                <w:color w:val="24323C"/>
                <w:sz w:val="18"/>
                <w:szCs w:val="18"/>
                <w:rFonts w:ascii="Courier New" w:eastAsia="SimSun"/>
              </w:rPr>
              <w:t xml:space="preserve">  if (!info) {</w:t>
            </w:r>
          </w:p>
          <w:p>
            <w:pPr>
              <w:spacing w:after="0" w:line="312"/>
              <w:jc w:val="left"/>
            </w:pPr>
            <w:r>
              <w:rPr>
                <w:color w:val="24323C"/>
                <w:sz w:val="18"/>
                <w:szCs w:val="18"/>
                <w:rFonts w:ascii="Courier New" w:eastAsia="SimSun"/>
              </w:rPr>
              <w:t xml:space="preserve">    throw new Error("ProtocolConfig PDA not found — wrong cluster/program id?");</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return decodeProtocolConfig("scanner", Buffer.from(info.data));</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async function main() {</w:t>
            </w:r>
          </w:p>
          <w:p>
            <w:pPr>
              <w:spacing w:after="0" w:line="312"/>
              <w:jc w:val="left"/>
            </w:pPr>
            <w:r>
              <w:rPr>
                <w:color w:val="24323C"/>
                <w:sz w:val="18"/>
                <w:szCs w:val="18"/>
                <w:rFonts w:ascii="Courier New" w:eastAsia="SimSun"/>
              </w:rPr>
              <w:t xml:space="preserve">  const [cmd, ...rest] = process.argv.slice(2);</w:t>
            </w:r>
          </w:p>
          <w:p>
            <w:pPr>
              <w:spacing w:after="0" w:line="312"/>
              <w:jc w:val="left"/>
            </w:pPr>
            <w:r>
              <w:rPr>
                <w:color w:val="24323C"/>
                <w:sz w:val="18"/>
                <w:szCs w:val="18"/>
                <w:rFonts w:ascii="Courier New" w:eastAsia="SimSun"/>
              </w:rPr>
              <w:t xml:space="preserve">  const args = parseArgs(rest);</w:t>
            </w:r>
          </w:p>
          <w:p>
            <w:pPr>
              <w:spacing w:after="0" w:line="312"/>
              <w:jc w:val="left"/>
            </w:pPr>
            <w:r>
              <w:rPr>
                <w:color w:val="24323C"/>
                <w:sz w:val="18"/>
                <w:szCs w:val="18"/>
                <w:rFonts w:ascii="Courier New" w:eastAsia="SimSun"/>
              </w:rPr>
              <w:t xml:space="preserve">  const connection = new Connection(requireOpt(args, "url"), "confirmed");</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if (cmd === "check") {</w:t>
            </w:r>
          </w:p>
          <w:p>
            <w:pPr>
              <w:spacing w:after="0" w:line="312"/>
              <w:jc w:val="left"/>
            </w:pPr>
            <w:r>
              <w:rPr>
                <w:color w:val="24323C"/>
                <w:sz w:val="18"/>
                <w:szCs w:val="18"/>
                <w:rFonts w:ascii="Courier New" w:eastAsia="SimSun"/>
              </w:rPr>
              <w:t xml:space="preserve">    const cfg = await readConfig(connection);</w:t>
            </w:r>
          </w:p>
          <w:p>
            <w:pPr>
              <w:spacing w:after="0" w:line="312"/>
              <w:jc w:val="left"/>
            </w:pPr>
            <w:r>
              <w:rPr>
                <w:color w:val="24323C"/>
                <w:sz w:val="18"/>
                <w:szCs w:val="18"/>
                <w:rFonts w:ascii="Courier New" w:eastAsia="SimSun"/>
              </w:rPr>
              <w:t xml:space="preserve">    console.log("authority           = " + cfg.authority.toBase58());</w:t>
            </w:r>
          </w:p>
          <w:p>
            <w:pPr>
              <w:spacing w:after="0" w:line="312"/>
              <w:jc w:val="left"/>
            </w:pPr>
            <w:r>
              <w:rPr>
                <w:color w:val="24323C"/>
                <w:sz w:val="18"/>
                <w:szCs w:val="18"/>
                <w:rFonts w:ascii="Courier New" w:eastAsia="SimSun"/>
              </w:rPr>
              <w:t xml:space="preserve">    console.log("activity_oracle     = " + cfg.activityOracle.toBase58());</w:t>
            </w:r>
          </w:p>
          <w:p>
            <w:pPr>
              <w:spacing w:after="0" w:line="312"/>
              <w:jc w:val="left"/>
            </w:pPr>
            <w:r>
              <w:rPr>
                <w:color w:val="24323C"/>
                <w:sz w:val="18"/>
                <w:szCs w:val="18"/>
                <w:rFonts w:ascii="Courier New" w:eastAsia="SimSun"/>
              </w:rPr>
              <w:t xml:space="preserve">    console.log("launch_price_oracle = " + cfg.launchPriceOracle.toBase58());</w:t>
            </w:r>
          </w:p>
          <w:p>
            <w:pPr>
              <w:spacing w:after="0" w:line="312"/>
              <w:jc w:val="left"/>
            </w:pPr>
            <w:r>
              <w:rPr>
                <w:color w:val="24323C"/>
                <w:sz w:val="18"/>
                <w:szCs w:val="18"/>
                <w:rFonts w:ascii="Courier New" w:eastAsia="SimSun"/>
              </w:rPr>
              <w:t xml:space="preserve">    console.log("paused              = " + cfg.paused);</w:t>
            </w:r>
          </w:p>
        </w:tc>
      </w:tr>
      <w:tr>
        <w:trPr>
          <w:cantSplit/>
        </w:trPr>
        <w:tc>
          <w:tcPr>
            <w:tcW w:type="pct" w:w="100%"/>
            <w:shd w:fill="EDF3F5" w:val="clear"/>
            <w:tcMar>
              <w:top w:type="dxa" w:w="20"/>
              <w:left w:type="dxa" w:w="200"/>
              <w:bottom w:type="dxa" w:w="20"/>
              <w:right w:type="dxa" w:w="120"/>
            </w:tcMar>
          </w:tcPr>
          <w:p>
            <w:pPr>
              <w:spacing w:after="0" w:line="312"/>
              <w:jc w:val="left"/>
            </w:pPr>
            <w:r>
              <w:rPr>
                <w:color w:val="24323C"/>
                <w:sz w:val="18"/>
                <w:szCs w:val="18"/>
                <w:rFonts w:ascii="Courier New" w:eastAsia="SimSun"/>
              </w:rPr>
              <w:t xml:space="preserve">    return;</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if (cmd !== "register") {</w:t>
            </w:r>
          </w:p>
          <w:p>
            <w:pPr>
              <w:spacing w:after="0" w:line="312"/>
              <w:jc w:val="left"/>
            </w:pPr>
            <w:r>
              <w:rPr>
                <w:color w:val="24323C"/>
                <w:sz w:val="18"/>
                <w:szCs w:val="18"/>
                <w:rFonts w:ascii="Courier New" w:eastAsia="SimSun"/>
              </w:rPr>
              <w:t xml:space="preserve">    console.error("usage: register_oracle.mjs &lt;register|check&gt; --url &lt;U&gt; ...");</w:t>
            </w:r>
          </w:p>
          <w:p>
            <w:pPr>
              <w:spacing w:after="0" w:line="312"/>
              <w:jc w:val="left"/>
            </w:pPr>
            <w:r>
              <w:rPr>
                <w:color w:val="24323C"/>
                <w:sz w:val="18"/>
                <w:szCs w:val="18"/>
                <w:rFonts w:ascii="Courier New" w:eastAsia="SimSun"/>
              </w:rPr>
              <w:t xml:space="preserve">    process.exitCode = 2;</w:t>
            </w:r>
          </w:p>
          <w:p>
            <w:pPr>
              <w:spacing w:after="0" w:line="312"/>
              <w:jc w:val="left"/>
            </w:pPr>
            <w:r>
              <w:rPr>
                <w:color w:val="24323C"/>
                <w:sz w:val="18"/>
                <w:szCs w:val="18"/>
                <w:rFonts w:ascii="Courier New" w:eastAsia="SimSun"/>
              </w:rPr>
              <w:t xml:space="preserve">    return;</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const authority = Keypair.fromSecretKey(new Uint8Array(</w:t>
            </w:r>
          </w:p>
          <w:p>
            <w:pPr>
              <w:spacing w:after="0" w:line="312"/>
              <w:jc w:val="left"/>
            </w:pPr>
            <w:r>
              <w:rPr>
                <w:color w:val="24323C"/>
                <w:sz w:val="18"/>
                <w:szCs w:val="18"/>
                <w:rFonts w:ascii="Courier New" w:eastAsia="SimSun"/>
              </w:rPr>
              <w:t xml:space="preserve">    JSON.parse(readFileSync(requireOpt(args, "authority"), "utf8"))));</w:t>
            </w:r>
          </w:p>
          <w:p>
            <w:pPr>
              <w:spacing w:after="0" w:line="312"/>
              <w:jc w:val="left"/>
            </w:pPr>
            <w:r>
              <w:rPr>
                <w:color w:val="24323C"/>
                <w:sz w:val="18"/>
                <w:szCs w:val="18"/>
                <w:rFonts w:ascii="Courier New" w:eastAsia="SimSun"/>
              </w:rPr>
              <w:t xml:space="preserve">  const oracle = requireOpt(args, "oracle");</w:t>
            </w:r>
          </w:p>
          <w:p>
            <w:pPr>
              <w:spacing w:after="0" w:line="312"/>
              <w:jc w:val="left"/>
            </w:pPr>
            <w:r>
              <w:rPr>
                <w:color w:val="24323C"/>
                <w:sz w:val="18"/>
                <w:szCs w:val="18"/>
                <w:rFonts w:ascii="Courier New" w:eastAsia="SimSun"/>
              </w:rPr>
              <w:t xml:space="preserve">  const launchPrice =</w:t>
            </w:r>
          </w:p>
          <w:p>
            <w:pPr>
              <w:spacing w:after="0" w:line="312"/>
              <w:jc w:val="left"/>
            </w:pPr>
            <w:r>
              <w:rPr>
                <w:color w:val="24323C"/>
                <w:sz w:val="18"/>
                <w:szCs w:val="18"/>
                <w:rFonts w:ascii="Courier New" w:eastAsia="SimSun"/>
              </w:rPr>
              <w:t xml:space="preserve">    typeof args["launch-price"] === "string" ? args["launch-price"] : oracle;</w:t>
            </w:r>
          </w:p>
          <w:p>
            <w:pPr>
              <w:spacing w:after="0" w:line="312"/>
              <w:jc w:val="left"/>
            </w:pPr>
            <w:r>
              <w:rPr>
                <w:color w:val="24323C"/>
                <w:sz w:val="18"/>
                <w:szCs w:val="18"/>
                <w:rFonts w:ascii="Courier New" w:eastAsia="SimSun"/>
              </w:rPr>
              <w:t xml:space="preserve">  const data = buildUpdateData({</w:t>
            </w:r>
          </w:p>
          <w:p>
            <w:pPr>
              <w:spacing w:after="0" w:line="312"/>
              <w:jc w:val="left"/>
            </w:pPr>
            <w:r>
              <w:rPr>
                <w:color w:val="24323C"/>
                <w:sz w:val="18"/>
                <w:szCs w:val="18"/>
                <w:rFonts w:ascii="Courier New" w:eastAsia="SimSun"/>
              </w:rPr>
              <w:t xml:space="preserve">    activityOracle: oracle, launchPriceOracle: launchPrice });</w:t>
            </w:r>
          </w:p>
          <w:p>
            <w:pPr>
              <w:spacing w:after="0" w:line="312"/>
              <w:jc w:val="left"/>
            </w:pPr>
            <w:r>
              <w:rPr>
                <w:color w:val="24323C"/>
                <w:sz w:val="18"/>
                <w:szCs w:val="18"/>
                <w:rFonts w:ascii="Courier New" w:eastAsia="SimSun"/>
              </w:rPr>
              <w:t xml:space="preserve">  const ix = new TransactionInstruction({</w:t>
            </w:r>
          </w:p>
          <w:p>
            <w:pPr>
              <w:spacing w:after="0" w:line="312"/>
              <w:jc w:val="left"/>
            </w:pPr>
            <w:r>
              <w:rPr>
                <w:color w:val="24323C"/>
                <w:sz w:val="18"/>
                <w:szCs w:val="18"/>
                <w:rFonts w:ascii="Courier New" w:eastAsia="SimSun"/>
              </w:rPr>
              <w:t xml:space="preserve">    programId: SCANNER_PROGRAM_ID,</w:t>
            </w:r>
          </w:p>
          <w:p>
            <w:pPr>
              <w:spacing w:after="0" w:line="312"/>
              <w:jc w:val="left"/>
            </w:pPr>
            <w:r>
              <w:rPr>
                <w:color w:val="24323C"/>
                <w:sz w:val="18"/>
                <w:szCs w:val="18"/>
                <w:rFonts w:ascii="Courier New" w:eastAsia="SimSun"/>
              </w:rPr>
              <w:t xml:space="preserve">    keys: [</w:t>
            </w:r>
          </w:p>
          <w:p>
            <w:pPr>
              <w:spacing w:after="0" w:line="312"/>
              <w:jc w:val="left"/>
            </w:pPr>
            <w:r>
              <w:rPr>
                <w:color w:val="24323C"/>
                <w:sz w:val="18"/>
                <w:szCs w:val="18"/>
                <w:rFonts w:ascii="Courier New" w:eastAsia="SimSun"/>
              </w:rPr>
              <w:t xml:space="preserve">      { pubkey: configPda(SCANNER_PROGRAM_ID), isSigner: false, isWritable: true },</w:t>
            </w:r>
          </w:p>
          <w:p>
            <w:pPr>
              <w:spacing w:after="0" w:line="312"/>
              <w:jc w:val="left"/>
            </w:pPr>
            <w:r>
              <w:rPr>
                <w:color w:val="24323C"/>
                <w:sz w:val="18"/>
                <w:szCs w:val="18"/>
                <w:rFonts w:ascii="Courier New" w:eastAsia="SimSun"/>
              </w:rPr>
              <w:t xml:space="preserve">      { pubkey: authority.publicKey, isSigner: true, isWritable: false },</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data,</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w:t>
            </w:r>
          </w:p>
        </w:tc>
      </w:tr>
      <w:tr>
        <w:trPr>
          <w:cantSplit/>
        </w:trPr>
        <w:tc>
          <w:tcPr>
            <w:tcW w:type="pct" w:w="100%"/>
            <w:shd w:fill="EDF3F5" w:val="clear"/>
            <w:tcMar>
              <w:top w:type="dxa" w:w="20"/>
              <w:left w:type="dxa" w:w="200"/>
              <w:bottom w:type="dxa" w:w="20"/>
              <w:right w:type="dxa" w:w="120"/>
            </w:tcMar>
          </w:tcPr>
          <w:p>
            <w:pPr>
              <w:spacing w:after="0" w:line="312"/>
              <w:jc w:val="left"/>
            </w:pPr>
            <w:r>
              <w:rPr>
                <w:color w:val="24323C"/>
                <w:sz w:val="18"/>
                <w:szCs w:val="18"/>
                <w:rFonts w:ascii="Courier New" w:eastAsia="SimSun"/>
              </w:rPr>
              <w:t xml:space="preserve">  console.log("authority (signer)  = " + authority.publicKey.toBase58());</w:t>
            </w:r>
          </w:p>
          <w:p>
            <w:pPr>
              <w:spacing w:after="0" w:line="312"/>
              <w:jc w:val="left"/>
            </w:pPr>
            <w:r>
              <w:rPr>
                <w:color w:val="24323C"/>
                <w:sz w:val="18"/>
                <w:szCs w:val="18"/>
                <w:rFonts w:ascii="Courier New" w:eastAsia="SimSun"/>
              </w:rPr>
              <w:t xml:space="preserve">  console.log("activity_oracle  -&gt; " + new PublicKey(oracle).toBase58());</w:t>
            </w:r>
          </w:p>
          <w:p>
            <w:pPr>
              <w:spacing w:after="0" w:line="312"/>
              <w:jc w:val="left"/>
            </w:pPr>
            <w:r>
              <w:rPr>
                <w:color w:val="24323C"/>
                <w:sz w:val="18"/>
                <w:szCs w:val="18"/>
                <w:rFonts w:ascii="Courier New" w:eastAsia="SimSun"/>
              </w:rPr>
              <w:t xml:space="preserve">  console.log("launch_price_oracle -&gt; " + new PublicKey(launchPrice).toBase58());</w:t>
            </w:r>
          </w:p>
          <w:p>
            <w:pPr>
              <w:spacing w:after="0" w:line="312"/>
              <w:jc w:val="left"/>
            </w:pPr>
            <w:r>
              <w:rPr>
                <w:color w:val="24323C"/>
                <w:sz w:val="18"/>
                <w:szCs w:val="18"/>
                <w:rFonts w:ascii="Courier New" w:eastAsia="SimSun"/>
              </w:rPr>
              <w:t xml:space="preserve">  console.log("ix data             = " + data.length + " bytes (expect 80/48)");</w:t>
            </w:r>
          </w:p>
          <w:p>
            <w:pPr>
              <w:spacing w:after="0" w:line="312"/>
              <w:jc w:val="left"/>
            </w:pPr>
            <w:r>
              <w:rPr>
                <w:color w:val="24323C"/>
                <w:sz w:val="18"/>
                <w:szCs w:val="18"/>
                <w:rFonts w:ascii="Courier New" w:eastAsia="SimSun"/>
              </w:rPr>
              <w:t xml:space="preserve">  if (args["dry-run"]) {</w:t>
            </w:r>
          </w:p>
          <w:p>
            <w:pPr>
              <w:spacing w:after="0" w:line="312"/>
              <w:jc w:val="left"/>
            </w:pPr>
            <w:r>
              <w:rPr>
                <w:color w:val="24323C"/>
                <w:sz w:val="18"/>
                <w:szCs w:val="18"/>
                <w:rFonts w:ascii="Courier New" w:eastAsia="SimSun"/>
              </w:rPr>
              <w:t xml:space="preserve">    console.log("dry-run: no transaction sent");</w:t>
            </w:r>
          </w:p>
          <w:p>
            <w:pPr>
              <w:spacing w:after="0" w:line="312"/>
              <w:jc w:val="left"/>
            </w:pPr>
            <w:r>
              <w:rPr>
                <w:color w:val="24323C"/>
                <w:sz w:val="18"/>
                <w:szCs w:val="18"/>
                <w:rFonts w:ascii="Courier New" w:eastAsia="SimSun"/>
              </w:rPr>
              <w:t xml:space="preserve">    return;</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const sig = await sendAndConfirmTransaction(</w:t>
            </w:r>
          </w:p>
          <w:p>
            <w:pPr>
              <w:spacing w:after="0" w:line="312"/>
              <w:jc w:val="left"/>
            </w:pPr>
            <w:r>
              <w:rPr>
                <w:color w:val="24323C"/>
                <w:sz w:val="18"/>
                <w:szCs w:val="18"/>
                <w:rFonts w:ascii="Courier New" w:eastAsia="SimSun"/>
              </w:rPr>
              <w:t xml:space="preserve">    connection, new Transaction().add(ix), [authority]);</w:t>
            </w:r>
          </w:p>
          <w:p>
            <w:pPr>
              <w:spacing w:after="0" w:line="312"/>
              <w:jc w:val="left"/>
            </w:pPr>
            <w:r>
              <w:rPr>
                <w:color w:val="24323C"/>
                <w:sz w:val="18"/>
                <w:szCs w:val="18"/>
                <w:rFonts w:ascii="Courier New" w:eastAsia="SimSun"/>
              </w:rPr>
              <w:t xml:space="preserve">  console.log("tx                  = " + sig);</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const cfg = await readConfig(connection);</w:t>
            </w:r>
          </w:p>
          <w:p>
            <w:pPr>
              <w:spacing w:after="0" w:line="312"/>
              <w:jc w:val="left"/>
            </w:pPr>
            <w:r>
              <w:rPr>
                <w:color w:val="24323C"/>
                <w:sz w:val="18"/>
                <w:szCs w:val="18"/>
                <w:rFonts w:ascii="Courier New" w:eastAsia="SimSun"/>
              </w:rPr>
              <w:t xml:space="preserve">  const wantA = new PublicKey(oracle);</w:t>
            </w:r>
          </w:p>
          <w:p>
            <w:pPr>
              <w:spacing w:after="0" w:line="312"/>
              <w:jc w:val="left"/>
            </w:pPr>
            <w:r>
              <w:rPr>
                <w:color w:val="24323C"/>
                <w:sz w:val="18"/>
                <w:szCs w:val="18"/>
                <w:rFonts w:ascii="Courier New" w:eastAsia="SimSun"/>
              </w:rPr>
              <w:t xml:space="preserve">  const wantL = new PublicKey(launchPrice);</w:t>
            </w:r>
          </w:p>
          <w:p>
            <w:pPr>
              <w:spacing w:after="0" w:line="312"/>
              <w:jc w:val="left"/>
            </w:pPr>
            <w:r>
              <w:rPr>
                <w:color w:val="24323C"/>
                <w:sz w:val="18"/>
                <w:szCs w:val="18"/>
                <w:rFonts w:ascii="Courier New" w:eastAsia="SimSun"/>
              </w:rPr>
              <w:t xml:space="preserve">  if (!cfg.activityOracle.equals(wantA) || !cfg.launchPriceOracle.equals(wantL)) {</w:t>
            </w:r>
          </w:p>
          <w:p>
            <w:pPr>
              <w:spacing w:after="0" w:line="312"/>
              <w:jc w:val="left"/>
            </w:pPr>
            <w:r>
              <w:rPr>
                <w:color w:val="24323C"/>
                <w:sz w:val="18"/>
                <w:szCs w:val="18"/>
                <w:rFonts w:ascii="Courier New" w:eastAsia="SimSun"/>
              </w:rPr>
              <w:t xml:space="preserve">    throw new Error("readback mismatch — registration did not land as expected");</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  console.log("OK: oracle fields registered (readback verified)");</w:t>
            </w:r>
          </w:p>
          <w:p>
            <w:pPr>
              <w:spacing w:after="0" w:line="312"/>
              <w:jc w:val="left"/>
            </w:pPr>
            <w:r>
              <w:rPr>
                <w:color w:val="24323C"/>
                <w:sz w:val="18"/>
                <w:szCs w:val="18"/>
                <w:rFonts w:ascii="Courier New" w:eastAsia="SimSun"/>
              </w:rPr>
              <w:t xml:space="preserve">}</w:t>
            </w:r>
          </w:p>
          <w:p>
            <w:pPr>
              <w:spacing w:after="0" w:line="312"/>
              <w:jc w:val="left"/>
            </w:pPr>
            <w:r>
              <w:rPr>
                <w:color w:val="24323C"/>
                <w:sz w:val="18"/>
                <w:szCs w:val="18"/>
                <w:rFonts w:ascii="Courier New" w:eastAsia="SimSun"/>
              </w:rPr>
              <w:t xml:space="preserve"> </w:t>
            </w:r>
          </w:p>
          <w:p>
            <w:pPr>
              <w:spacing w:after="0" w:line="312"/>
              <w:jc w:val="left"/>
            </w:pPr>
            <w:r>
              <w:rPr>
                <w:color w:val="24323C"/>
                <w:sz w:val="18"/>
                <w:szCs w:val="18"/>
                <w:rFonts w:ascii="Courier New" w:eastAsia="SimSun"/>
              </w:rPr>
              <w:t xml:space="preserve">main().catch((err) =&gt; {</w:t>
            </w:r>
          </w:p>
          <w:p>
            <w:pPr>
              <w:spacing w:after="0" w:line="312"/>
              <w:jc w:val="left"/>
            </w:pPr>
            <w:r>
              <w:rPr>
                <w:color w:val="24323C"/>
                <w:sz w:val="18"/>
                <w:szCs w:val="18"/>
                <w:rFonts w:ascii="Courier New" w:eastAsia="SimSun"/>
              </w:rPr>
              <w:t xml:space="preserve">  console.error(String((err &amp;&amp; err.message) || err));</w:t>
            </w:r>
          </w:p>
        </w:tc>
      </w:tr>
      <w:tr>
        <w:trPr>
          <w:cantSplit/>
        </w:trPr>
        <w:tc>
          <w:tcPr>
            <w:tcW w:type="pct" w:w="100%"/>
            <w:shd w:fill="EDF3F5" w:val="clear"/>
            <w:tcMar>
              <w:top w:type="dxa" w:w="20"/>
              <w:left w:type="dxa" w:w="200"/>
              <w:bottom w:type="dxa" w:w="120"/>
              <w:right w:type="dxa" w:w="120"/>
            </w:tcMar>
          </w:tcPr>
          <w:p>
            <w:pPr>
              <w:spacing w:after="0" w:line="312"/>
              <w:jc w:val="left"/>
            </w:pPr>
            <w:r>
              <w:rPr>
                <w:color w:val="24323C"/>
                <w:sz w:val="18"/>
                <w:szCs w:val="18"/>
                <w:rFonts w:ascii="Courier New" w:eastAsia="SimSun"/>
              </w:rPr>
              <w:t xml:space="preserve">  process.exit(1);</w:t>
            </w:r>
          </w:p>
          <w:p>
            <w:pPr>
              <w:spacing w:after="0" w:line="312"/>
              <w:jc w:val="left"/>
            </w:pPr>
            <w:r>
              <w:rPr>
                <w:color w:val="24323C"/>
                <w:sz w:val="18"/>
                <w:szCs w:val="18"/>
                <w:rFonts w:ascii="Courier New" w:eastAsia="SimSun"/>
              </w:rPr>
              <w:t xml:space="preserve">});</w:t>
            </w:r>
          </w:p>
        </w:tc>
      </w:tr>
    </w:tbl>
    <w:p>
      <w:pPr>
        <w:spacing w:after="120" w:line="312"/>
      </w:pPr>
    </w:p>
    <w:p>
      <w:pPr>
        <w:spacing w:after="120" w:line="312"/>
        <w:jc w:val="left"/>
      </w:pPr>
      <w:r>
        <w:rPr>
          <w:color w:val="000000"/>
          <w:sz w:val="24"/>
          <w:szCs w:val="24"/>
          <w:rFonts w:ascii="Times New Roman" w:eastAsia="SimSun"/>
        </w:rPr>
        <w:t xml:space="preserve">Exit codes follow the org convention: 0 on success (including check and dry-run), 1 on any failure with the decoded reason on stderr, 2 on usage errors. The readback assertion at the end of register is intentionally strict: it re-decodes the account from the chain and compares both oracle fields to the requested values, so a partially-landed or mis-encoded transaction cannot be reported as success.</w:t>
      </w:r>
    </w:p>
    <w:p>
      <w:pPr>
        <w:pStyle w:val="Heading1"/>
        <w:keepNext/>
        <w:spacing w:before="360" w:after="160" w:line="312"/>
        <w:jc w:val="center"/>
      </w:pPr>
      <w:bookmarkStart w:id="100025" w:name="_Toc100025"/>
      <w:r>
        <w:rPr>
          <w:b/>
          <w:bCs/>
          <w:color w:val="162235"/>
          <w:sz w:val="32"/>
          <w:szCs w:val="32"/>
          <w:rFonts w:ascii="Times New Roman" w:eastAsia="SimHei"/>
        </w:rPr>
        <w:t xml:space="preserve">Appendix B. Pre-Flight Checklist</w:t>
      </w:r>
      <w:bookmarkEnd w:id="100025"/>
    </w:p>
    <w:p>
      <w:pPr>
        <w:spacing w:after="120" w:line="312"/>
        <w:jc w:val="left"/>
      </w:pPr>
      <w:r>
        <w:rPr>
          <w:color w:val="000000"/>
          <w:sz w:val="24"/>
          <w:szCs w:val="24"/>
          <w:rFonts w:ascii="Times New Roman" w:eastAsia="SimSun"/>
        </w:rPr>
        <w:t xml:space="preserve">Run this checklist before executing Section 5 and record each row's evidence alongside the change record. Every item is binary and observable; if any row cannot be satisfied, stop and resolve it rather than improvising during the live step.</w:t>
      </w:r>
    </w:p>
    <w:p>
      <w:pPr>
        <w:keepNext/>
        <w:spacing w:before="120" w:after="80" w:line="312"/>
        <w:jc w:val="left"/>
      </w:pPr>
      <w:r>
        <w:rPr>
          <w:b/>
          <w:bCs/>
          <w:color w:val="000000"/>
          <w:sz w:val="21"/>
          <w:szCs w:val="21"/>
          <w:rFonts w:ascii="Times New Roman" w:eastAsia="SimSun"/>
        </w:rPr>
        <w:t xml:space="preserve">Table 7: Pre-flight checklist (all rows required before signing)</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6%"/>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w:t>
            </w:r>
          </w:p>
        </w:tc>
        <w:tc>
          <w:tcPr>
            <w:tcW w:type="pct" w:w="64%"/>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Item</w:t>
            </w:r>
          </w:p>
        </w:tc>
        <w:tc>
          <w:tcPr>
            <w:tcW w:type="pct" w:w="30%"/>
            <w:shd w:fill="1B6B7A" w:val="clear"/>
            <w:tcMar>
              <w:top w:type="dxa" w:w="60"/>
              <w:left w:type="dxa" w:w="120"/>
              <w:bottom w:type="dxa" w:w="60"/>
              <w:right w:type="dxa" w:w="120"/>
            </w:tcMar>
          </w:tcPr>
          <w:p>
            <w:pPr>
              <w:spacing w:line="312"/>
              <w:jc w:val="left"/>
            </w:pPr>
            <w:r>
              <w:rPr>
                <w:b/>
                <w:bCs/>
                <w:color w:val="FFFFFF"/>
                <w:sz w:val="21"/>
                <w:szCs w:val="21"/>
                <w:rFonts w:ascii="Times New Roman" w:eastAsia="SimSun"/>
              </w:rPr>
              <w:t xml:space="preserve">Evidence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1</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DEVNET_RPC_URL reachable; protocol_admin.mjs check prints the expected before-state</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command output</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2</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Authority keypair file present at 0600 and confirmed to be the config authority</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readback authority line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3</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New oracle keypair generated, mode 0600, outside any repository, backed up</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stat output; custody record</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4</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Public key of the new oracle recorded (and double-checked) from solana-keygen pubkey</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recorded pubkey string</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5</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register_oracle.mjs dry-run prints ix data = 80 bytes and the two expected accounts</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dry-run output</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6</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Decision recorded: one key for both fields (default) or two-key mode (Section 4.1)</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change-record note</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7</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verify-path baseline is 13/13 PASS on commit 5a6aa0f before the change</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data/verify-path-report.json</w:t>
            </w:r>
          </w:p>
        </w:tc>
      </w:tr>
      <w:tr>
        <w:trPr>
          <w:cantSplit/>
        </w:trPr>
        <w:tc>
          <w:tcPr>
            <w:tcW w:type="pct" w:w="6%"/>
            <w:tcMar>
              <w:top w:type="dxa" w:w="60"/>
              <w:left w:type="dxa" w:w="120"/>
              <w:bottom w:type="dxa" w:w="60"/>
              <w:right w:type="dxa" w:w="120"/>
            </w:tcMar>
          </w:tcPr>
          <w:p>
            <w:pPr>
              <w:spacing w:line="312"/>
              <w:jc w:val="left"/>
            </w:pPr>
            <w:r>
              <w:rPr>
                <w:color w:val="000000"/>
                <w:sz w:val="21"/>
                <w:szCs w:val="21"/>
                <w:rFonts w:ascii="Times New Roman" w:eastAsia="SimSun"/>
              </w:rPr>
              <w:t xml:space="preserve">8</w:t>
            </w:r>
          </w:p>
        </w:tc>
        <w:tc>
          <w:tcPr>
            <w:tcW w:type="pct" w:w="64%"/>
            <w:tcMar>
              <w:top w:type="dxa" w:w="60"/>
              <w:left w:type="dxa" w:w="120"/>
              <w:bottom w:type="dxa" w:w="60"/>
              <w:right w:type="dxa" w:w="120"/>
            </w:tcMar>
          </w:tcPr>
          <w:p>
            <w:pPr>
              <w:spacing w:line="312"/>
              <w:jc w:val="left"/>
            </w:pPr>
            <w:r>
              <w:rPr>
                <w:color w:val="000000"/>
                <w:sz w:val="21"/>
                <w:szCs w:val="21"/>
                <w:rFonts w:ascii="Times New Roman" w:eastAsia="SimSun"/>
              </w:rPr>
              <w:t xml:space="preserve">Post-change verification plan agreed (Section 7 layers 1-3)</w:t>
            </w:r>
          </w:p>
        </w:tc>
        <w:tc>
          <w:tcPr>
            <w:tcW w:type="pct" w:w="30%"/>
            <w:tcMar>
              <w:top w:type="dxa" w:w="60"/>
              <w:left w:type="dxa" w:w="120"/>
              <w:bottom w:type="dxa" w:w="60"/>
              <w:right w:type="dxa" w:w="120"/>
            </w:tcMar>
          </w:tcPr>
          <w:p>
            <w:pPr>
              <w:spacing w:line="312"/>
              <w:jc w:val="left"/>
            </w:pPr>
            <w:r>
              <w:rPr>
                <w:color w:val="000000"/>
                <w:sz w:val="21"/>
                <w:szCs w:val="21"/>
                <w:rFonts w:ascii="Times New Roman" w:eastAsia="SimSun"/>
              </w:rPr>
              <w:t xml:space="preserve">calendar or ticket entry</w:t>
            </w:r>
          </w:p>
        </w:tc>
      </w:tr>
    </w:tbl>
    <w:p>
      <w:pPr>
        <w:spacing w:after="120" w:line="312"/>
      </w:pP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color w:val="808080"/>
        <w:sz w:val="18"/>
        <w:szCs w:val="18"/>
        <w:rFonts w:ascii="Times New Roman" w:eastAsia="SimSun"/>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color w:val="808080"/>
        <w:sz w:val="18"/>
        <w:szCs w:val="18"/>
        <w:rFonts w:ascii="Times New Roman" w:eastAsia="SimSun"/>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center"/>
    </w:pPr>
    <w:r>
      <w:rPr>
        <w:color w:val="888888"/>
        <w:sz w:val="18"/>
        <w:szCs w:val="18"/>
        <w:rFonts w:ascii="Times New Roman" w:eastAsia="SimSun"/>
      </w:rPr>
      <w:t xml:space="preserve">Oracle-Custody Registration Guide — GraveYield/grave-indexer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line="312"/>
      <w:outlineLvl w:val="0"/>
    </w:pPr>
    <w:rPr>
      <w:b/>
      <w:bCs/>
      <w:color w:val="162235"/>
      <w:sz w:val="32"/>
      <w:szCs w:val="32"/>
      <w:rFonts w:ascii="Times New Roman" w:eastAsia="SimHei"/>
    </w:rPr>
  </w:style>
  <w:style w:type="paragraph" w:styleId="Heading2">
    <w:name w:val="Heading 2"/>
    <w:basedOn w:val="Normal"/>
    <w:next w:val="Normal"/>
    <w:qFormat/>
    <w:pPr>
      <w:spacing w:before="240" w:after="120" w:line="312"/>
      <w:outlineLvl w:val="1"/>
    </w:pPr>
    <w:rPr>
      <w:b/>
      <w:bCs/>
      <w:color w:val="162235"/>
      <w:sz w:val="30"/>
      <w:szCs w:val="30"/>
      <w:rFonts w:ascii="Times New Roman" w:eastAsia="SimHei"/>
    </w:rPr>
  </w:style>
  <w:style w:type="paragraph" w:styleId="Heading3">
    <w:name w:val="Heading 3"/>
    <w:basedOn w:val="Normal"/>
    <w:next w:val="Normal"/>
    <w:qFormat/>
    <w:pPr>
      <w:spacing w:before="200" w:after="100" w:line="312"/>
      <w:outlineLvl w:val="2"/>
    </w:pPr>
    <w:rPr>
      <w:b/>
      <w:bCs/>
      <w:color w:val="162235"/>
      <w:sz w:val="28"/>
      <w:szCs w:val="28"/>
      <w:rFonts w:ascii="Times New Roman" w:eastAsia="SimHei"/>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Oracle-Custody Registration Guide</dc:title>
  <dc:creator>GraveYield engineering</dc:creator>
  <dc:description>GraveScanner oracle-custody registration runbook (open item 9.5)</dc:description>
  <cp:lastModifiedBy>Un-named</cp:lastModifiedBy>
  <cp:revision>1</cp:revision>
  <dcterms:created xsi:type="dcterms:W3CDTF">2026-10-26T05:15:11.121Z</dcterms:created>
  <dcterms:modified xsi:type="dcterms:W3CDTF">2026-10-26T05:15:11.121Z</dcterms:modified>
</cp:coreProperties>
</file>

<file path=docProps/custom.xml><?xml version="1.0" encoding="utf-8"?>
<Properties xmlns="http://schemas.openxmlformats.org/officeDocument/2006/custom-properties" xmlns:vt="http://schemas.openxmlformats.org/officeDocument/2006/docPropsVTypes"/>
</file>