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440"/>
            </w:pPr>
          </w:p>
          <w:p>
            <w:pPr>
              <w:pBdr>
                <w:bottom w:val="single" w:color="37DCF2" w:sz="6" w:space="8"/>
              </w:pBdr>
              <w:spacing w:after="500"/>
              <w:ind w:left="1200" w:right="800"/>
            </w:pPr>
            <w:r>
              <w:rPr>
                <w:rFonts w:ascii="Calibri" w:eastAsia="SimHei"/>
                <w:color w:val="37DCF2"/>
                <w:spacing w:val="40"/>
                <w:sz w:val="18"/>
                <w:szCs w:val="18"/>
              </w:rPr>
              <w:t xml:space="preserve">G  R  A  V  E  Y  I  E  L  D     E  N  G  I  N  E  E  R  I  N  G     H  A  N  D  O  F  F</w:t>
            </w:r>
          </w:p>
          <w:p>
            <w:pPr>
              <w:spacing w:after="100" w:line="920" w:lineRule="atLeast"/>
              <w:ind w:left="1200"/>
            </w:pPr>
            <w:r>
              <w:rPr>
                <w:rFonts w:ascii="Arial" w:eastAsia="SimHei"/>
                <w:b/>
                <w:bCs/>
                <w:color w:val="FFFFFF"/>
                <w:sz w:val="80"/>
                <w:szCs w:val="80"/>
              </w:rPr>
              <w:t xml:space="preserve">Phase 2: Raydium V4</w:t>
            </w:r>
          </w:p>
          <w:p>
            <w:pPr>
              <w:spacing w:after="100" w:line="920" w:lineRule="atLeast"/>
              <w:ind w:left="1200"/>
            </w:pPr>
            <w:r>
              <w:rPr>
                <w:rFonts w:ascii="Arial" w:eastAsia="SimHei"/>
                <w:b/>
                <w:bCs/>
                <w:color w:val="FFFFFF"/>
                <w:sz w:val="80"/>
                <w:szCs w:val="80"/>
              </w:rPr>
              <w:t xml:space="preserve">Discovery &amp; Evidence</w:t>
            </w:r>
          </w:p>
          <w:p>
            <w:pPr>
              <w:spacing w:after="300" w:line="920" w:lineRule="atLeast"/>
              <w:ind w:left="1200"/>
            </w:pPr>
            <w:r>
              <w:rPr>
                <w:rFonts w:ascii="Arial" w:eastAsia="SimHei"/>
                <w:b/>
                <w:bCs/>
                <w:color w:val="FFFFFF"/>
                <w:sz w:val="80"/>
                <w:szCs w:val="80"/>
              </w:rPr>
              <w:t xml:space="preserve">Pipeline</w:t>
            </w:r>
          </w:p>
          <w:p>
            <w:pPr>
              <w:spacing w:after="800"/>
              <w:ind w:left="1200"/>
            </w:pPr>
            <w:r>
              <w:rPr>
                <w:rFonts w:ascii="Arial" w:eastAsia="Microsoft YaHei"/>
                <w:color w:val="B0B8C0"/>
                <w:sz w:val="24"/>
                <w:szCs w:val="24"/>
              </w:rPr>
              <w:t xml:space="preserve">Pool discovery, provenance-preserving ingestion, and oracle evidence-path verification for GraveScanner</w:t>
            </w:r>
          </w:p>
          <w:p>
            <w:pPr>
              <w:pBdr>
                <w:left w:val="single" w:color="37DCF2" w:sz="8" w:space="12"/>
              </w:pBdr>
              <w:spacing w:after="80"/>
              <w:ind w:left="1400"/>
            </w:pPr>
            <w:r>
              <w:rPr>
                <w:rFonts w:ascii="Arial" w:eastAsia="Microsoft YaHei"/>
                <w:color w:val="90989F"/>
                <w:sz w:val="24"/>
                <w:szCs w:val="24"/>
              </w:rPr>
              <w:t xml:space="preserve">Scope: grave-indexer (new) · graveyield-protocol @ 5b84440 (pinned submodule)</w:t>
            </w:r>
          </w:p>
          <w:p>
            <w:pPr>
              <w:pBdr>
                <w:left w:val="single" w:color="37DCF2" w:sz="8" w:space="12"/>
              </w:pBdr>
              <w:spacing w:after="80"/>
              <w:ind w:left="1400"/>
            </w:pPr>
            <w:r>
              <w:rPr>
                <w:rFonts w:ascii="Arial" w:eastAsia="Microsoft YaHei"/>
                <w:color w:val="90989F"/>
                <w:sz w:val="24"/>
                <w:szCs w:val="24"/>
              </w:rPr>
              <w:t xml:space="preserve">Prepared by: sethoshi.eth — engagement lead</w:t>
            </w:r>
          </w:p>
          <w:p>
            <w:pPr>
              <w:pBdr>
                <w:left w:val="single" w:color="37DCF2" w:sz="8" w:space="12"/>
              </w:pBdr>
              <w:spacing w:after="80"/>
              <w:ind w:left="1400"/>
            </w:pPr>
            <w:r>
              <w:rPr>
                <w:rFonts w:ascii="Arial" w:eastAsia="Microsoft YaHei"/>
                <w:color w:val="90989F"/>
                <w:sz w:val="24"/>
                <w:szCs w:val="24"/>
              </w:rPr>
              <w:t xml:space="preserve">Prepared for: the protocol owner (sethoshi18)</w:t>
            </w:r>
          </w:p>
          <w:p>
            <w:pPr>
              <w:pBdr>
                <w:left w:val="single" w:color="37DCF2" w:sz="8" w:space="12"/>
              </w:pBdr>
              <w:spacing w:after="80"/>
              <w:ind w:left="1400"/>
            </w:pPr>
            <w:r>
              <w:rPr>
                <w:rFonts w:ascii="Arial" w:eastAsia="Microsoft YaHei"/>
                <w:color w:val="90989F"/>
                <w:sz w:val="24"/>
                <w:szCs w:val="24"/>
              </w:rPr>
              <w:t xml:space="preserve">Date: 2026-10-26 · All coordinates are devnet/mainnet public data</w:t>
            </w:r>
          </w:p>
          <w:p>
            <w:pPr>
              <w:pBdr>
                <w:left w:val="single" w:color="37DCF2" w:sz="8" w:space="12"/>
              </w:pBdr>
              <w:spacing w:after="80"/>
              <w:ind w:left="1400"/>
            </w:pPr>
            <w:r>
              <w:rPr>
                <w:rFonts w:ascii="Arial" w:eastAsia="Microsoft YaHei"/>
                <w:color w:val="90989F"/>
                <w:sz w:val="24"/>
                <w:szCs w:val="24"/>
              </w:rPr>
              <w:t xml:space="preserve">Classification: internal engineering · secret-free by construction</w:t>
            </w:r>
          </w:p>
          <w:p>
            <w:pPr>
              <w:spacing w:before="3440"/>
            </w:pPr>
          </w:p>
          <w:p>
            <w:pPr>
              <w:pBdr>
                <w:top w:val="single" w:color="37DCF2" w:sz="2" w:space="8"/>
              </w:pBdr>
              <w:spacing w:before="200"/>
              <w:ind w:left="1200" w:right="800"/>
            </w:pPr>
            <w:r>
              <w:rPr>
                <w:rFonts w:ascii="Arial"/>
                <w:color w:val="687078"/>
                <w:sz w:val="16"/>
                <w:szCs w:val="16"/>
              </w:rPr>
              <w:t xml:space="preserve">GraveYield Org — Internal Engineering</w:t>
            </w:r>
            <w:r>
              <w:t xml:space="preserve">                                        </w:t>
            </w:r>
            <w:r>
              <w:rPr>
                <w:rFonts w:ascii="Arial"/>
                <w:color w:val="687078"/>
                <w:sz w:val="16"/>
                <w:szCs w:val="16"/>
              </w:rPr>
              <w:t xml:space="preserve">October 2026 · Volume III</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1. Executive Summary</w:t>
          </w:r>
          <w:r>
            <w:tab/>
          </w:r>
          <w:r>
            <w:t>1</w:t>
          </w:r>
        </w:p>
        <w:p>
          <w:pPr>
            <w:pStyle w:val="TOC1"/>
            <w:tabs>
              <w:tab w:val="right" w:leader="dot" w:pos="9026"/>
            </w:tabs>
            <w:spacing w:before="120" w:after="60"/>
          </w:pPr>
          <w:r>
            <w:t>2. Continuity, Charter and Working Agreements</w:t>
          </w:r>
          <w:r>
            <w:tab/>
          </w:r>
          <w:r>
            <w:t>1</w:t>
          </w:r>
        </w:p>
        <w:p>
          <w:pPr>
            <w:pStyle w:val="TOC1"/>
            <w:tabs>
              <w:tab w:val="right" w:leader="dot" w:pos="9026"/>
            </w:tabs>
            <w:spacing w:before="120" w:after="60"/>
          </w:pPr>
          <w:r>
            <w:t>3. Ground Truth, Inspection Findings and the Actual Oracle Interface</w:t>
          </w:r>
          <w:r>
            <w:tab/>
          </w:r>
          <w:r>
            <w:t>2</w:t>
          </w:r>
        </w:p>
        <w:p>
          <w:pPr>
            <w:pStyle w:val="TOC2"/>
            <w:ind w:left="360"/>
            <w:tabs>
              <w:tab w:val="right" w:leader="dot" w:pos="9026"/>
            </w:tabs>
            <w:spacing w:before="120" w:after="60"/>
          </w:pPr>
          <w:r>
            <w:t>3.1 Repository state at session open</w:t>
          </w:r>
          <w:r>
            <w:tab/>
          </w:r>
          <w:r>
            <w:t>2</w:t>
          </w:r>
        </w:p>
        <w:p>
          <w:pPr>
            <w:pStyle w:val="TOC2"/>
            <w:ind w:left="360"/>
            <w:tabs>
              <w:tab w:val="right" w:leader="dot" w:pos="9026"/>
            </w:tabs>
            <w:spacing w:before="120" w:after="60"/>
          </w:pPr>
          <w:r>
            <w:t>3.2 The on-chain oracle contract as implemented</w:t>
          </w:r>
          <w:r>
            <w:tab/>
          </w:r>
          <w:r>
            <w:t>2</w:t>
          </w:r>
        </w:p>
        <w:p>
          <w:pPr>
            <w:pStyle w:val="TOC2"/>
            <w:ind w:left="360"/>
            <w:tabs>
              <w:tab w:val="right" w:leader="dot" w:pos="9026"/>
            </w:tabs>
            <w:spacing w:before="120" w:after="60"/>
          </w:pPr>
          <w:r>
            <w:t>3.3 Configured oracles on the live devnet deployment</w:t>
          </w:r>
          <w:r>
            <w:tab/>
          </w:r>
          <w:r>
            <w:t>2</w:t>
          </w:r>
        </w:p>
        <w:p>
          <w:pPr>
            <w:pStyle w:val="TOC1"/>
            <w:tabs>
              <w:tab w:val="right" w:leader="dot" w:pos="9026"/>
            </w:tabs>
            <w:spacing w:before="120" w:after="60"/>
          </w:pPr>
          <w:r>
            <w:t>4. Architecture of the Phase 2 Pipeline</w:t>
          </w:r>
          <w:r>
            <w:tab/>
          </w:r>
          <w:r>
            <w:t>3</w:t>
          </w:r>
        </w:p>
        <w:p>
          <w:pPr>
            <w:pStyle w:val="TOC1"/>
            <w:tabs>
              <w:tab w:val="right" w:leader="dot" w:pos="9026"/>
            </w:tabs>
            <w:spacing w:before="120" w:after="60"/>
          </w:pPr>
          <w:r>
            <w:t>5. Live Verification Evidence</w:t>
          </w:r>
          <w:r>
            <w:tab/>
          </w:r>
          <w:r>
            <w:t>3</w:t>
          </w:r>
        </w:p>
        <w:p>
          <w:pPr>
            <w:pStyle w:val="TOC2"/>
            <w:ind w:left="360"/>
            <w:tabs>
              <w:tab w:val="right" w:leader="dot" w:pos="9026"/>
            </w:tabs>
            <w:spacing w:before="120" w:after="60"/>
          </w:pPr>
          <w:r>
            <w:t>5.1 Mainnet discovery and duplicate ingestion</w:t>
          </w:r>
          <w:r>
            <w:tab/>
          </w:r>
          <w:r>
            <w:t>3</w:t>
          </w:r>
        </w:p>
        <w:p>
          <w:pPr>
            <w:pStyle w:val="TOC2"/>
            <w:ind w:left="360"/>
            <w:tabs>
              <w:tab w:val="right" w:leader="dot" w:pos="9026"/>
            </w:tabs>
            <w:spacing w:before="120" w:after="60"/>
          </w:pPr>
          <w:r>
            <w:t>5.2 The evidence-path matrix against the deployed devnet scanner</w:t>
          </w:r>
          <w:r>
            <w:tab/>
          </w:r>
          <w:r>
            <w:t>4</w:t>
          </w:r>
        </w:p>
        <w:p>
          <w:pPr>
            <w:pStyle w:val="TOC2"/>
            <w:ind w:left="360"/>
            <w:tabs>
              <w:tab w:val="right" w:leader="dot" w:pos="9026"/>
            </w:tabs>
            <w:spacing w:before="120" w:after="60"/>
          </w:pPr>
          <w:r>
            <w:t>5.3 Live evidence collection</w:t>
          </w:r>
          <w:r>
            <w:tab/>
          </w:r>
          <w:r>
            <w:t>4</w:t>
          </w:r>
        </w:p>
        <w:p>
          <w:pPr>
            <w:pStyle w:val="TOC1"/>
            <w:tabs>
              <w:tab w:val="right" w:leader="dot" w:pos="9026"/>
            </w:tabs>
            <w:spacing w:before="120" w:after="60"/>
          </w:pPr>
          <w:r>
            <w:t>6. Automated Test Results</w:t>
          </w:r>
          <w:r>
            <w:tab/>
          </w:r>
          <w:r>
            <w:t>4</w:t>
          </w:r>
        </w:p>
        <w:p>
          <w:pPr>
            <w:pStyle w:val="TOC1"/>
            <w:tabs>
              <w:tab w:val="right" w:leader="dot" w:pos="9026"/>
            </w:tabs>
            <w:spacing w:before="120" w:after="60"/>
          </w:pPr>
          <w:r>
            <w:t>7. Key Custody, Rotation, Revocation, Monitoring and Downtime</w:t>
          </w:r>
          <w:r>
            <w:tab/>
          </w:r>
          <w:r>
            <w:t>4</w:t>
          </w:r>
        </w:p>
        <w:p>
          <w:pPr>
            <w:pStyle w:val="TOC1"/>
            <w:tabs>
              <w:tab w:val="right" w:leader="dot" w:pos="9026"/>
            </w:tabs>
            <w:spacing w:before="120" w:after="60"/>
          </w:pPr>
          <w:r>
            <w:t>8. Changed Files and Commit Ledger</w:t>
          </w:r>
          <w:r>
            <w:tab/>
          </w:r>
          <w:r>
            <w:t>5</w:t>
          </w:r>
        </w:p>
        <w:p>
          <w:pPr>
            <w:pStyle w:val="TOC1"/>
            <w:tabs>
              <w:tab w:val="right" w:leader="dot" w:pos="9026"/>
            </w:tabs>
            <w:spacing w:before="120" w:after="60"/>
          </w:pPr>
          <w:r>
            <w:t>9. Remaining Blockers and Open Items</w:t>
          </w:r>
          <w:r>
            <w:tab/>
          </w:r>
          <w:r>
            <w:t>5</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SimHei"/>
          <w:b/>
          <w:bCs/>
          <w:color w:val="162235"/>
          <w:sz w:val="32"/>
          <w:szCs w:val="32"/>
        </w:rPr>
        <w:t xml:space="preserve">1. Executive Summary</w:t>
      </w:r>
      <w:bookmarkEnd w:id="1"/>
    </w:p>
    <w:p>
      <w:pPr>
        <w:spacing w:after="120" w:line="312"/>
        <w:jc w:val="both"/>
      </w:pPr>
      <w:r>
        <w:rPr>
          <w:rFonts w:ascii="Times New Roman" w:eastAsia="SimSun"/>
          <w:color w:val="000000"/>
          <w:sz w:val="24"/>
          <w:szCs w:val="24"/>
        </w:rPr>
        <w:t xml:space="preserve">This document is the third volume of the GraveYield engineering handoff series and records the Phase 2 thread executed on 2026-10-26: the Raydium V4 pool discovery and evidence pipeline required by GraveScanner, delivered as a new dedicated repository, GraveYield/grave-indexer. The thread began from the volume-2 ground truth (graveyield-protocol @ b67a4c9) and, per the handoff opening sequence, first re-verified the remote state through the authenticated GitHub API; the protocol repository had advanced to 5b84440 with queue items 9.1 (Dependabot triage) and 9.3 (scheduled devnet smoke) already completed by an intervening thread, and 5b84440 was adopted as the state of record. All engineering decisions in this volume were pinned with the owner before implementation: discovery on mainnet-beta read-only with devnet reserved for the evidence path, a new repository with its own CI, a fresh disposable devnet oracle key for verification runs, a full test battery, a scheduled smoke shipped now, small reviewable commits, and owner-side items recorded as blockers.</w:t>
      </w:r>
    </w:p>
    <w:p>
      <w:pPr>
        <w:spacing w:after="120" w:line="312"/>
        <w:jc w:val="both"/>
      </w:pPr>
      <w:r>
        <w:rPr>
          <w:rFonts w:ascii="Times New Roman" w:eastAsia="SimSun"/>
          <w:color w:val="000000"/>
          <w:sz w:val="24"/>
          <w:szCs w:val="24"/>
        </w:rPr>
        <w:t xml:space="preserve">The delivered pipeline enumerates the live Raydium V4 corpus (706,002 AmmInfo accounts observed on mainnet-beta), preserves provenance and timestamps on every record, handles duplicate ingestion idempotently, detects stale and conflicting data, exposes operational health, and produces oracle evidence whose serialization is aligned exactly with the on-chain attestation contract by consuming the protocol SDK rather than re-implementing any wire format. The evidence path was verified against the live devnet deployment: all six verifier-level cases passed, including the canonical case that is gated precisely at the on-chain oracle-authorization equality, and five rejection cases (tampered binding, future timestamp, stale slot, wrong slot hash, replayed evidence) were each rejected at their expected on-chain analogue. Three real evidence bundles were collected from live mainnet pools and verified. The program-level simulation batch was skipped honestly because the devnet faucet remained rate-limited; the positive-path acceptance on devnet is owner-gated by open item 9.5, because both configured oracles are the deployer authority key erased in the workspace reset. No salvage was attempted, per the standing directive.</w:t>
      </w:r>
    </w:p>
    <w:p>
      <w:pPr>
        <w:pStyle w:val="Heading1"/>
        <w:spacing w:after="160" w:before="360" w:line="312"/>
      </w:pPr>
      <w:bookmarkStart w:name="_Toc2" w:id="2"/>
      <w:r>
        <w:rPr>
          <w:rFonts w:ascii="Times New Roman" w:eastAsia="SimHei"/>
          <w:b/>
          <w:bCs/>
          <w:color w:val="162235"/>
          <w:sz w:val="32"/>
          <w:szCs w:val="32"/>
        </w:rPr>
        <w:t xml:space="preserve">2. Continuity, Charter and Working Agreements</w:t>
      </w:r>
      <w:bookmarkEnd w:id="2"/>
    </w:p>
    <w:p>
      <w:pPr>
        <w:spacing w:after="120" w:line="312"/>
        <w:jc w:val="both"/>
      </w:pPr>
      <w:r>
        <w:rPr>
          <w:rFonts w:ascii="Times New Roman" w:eastAsia="SimSun"/>
          <w:color w:val="000000"/>
          <w:sz w:val="24"/>
          <w:szCs w:val="24"/>
        </w:rPr>
        <w:t xml:space="preserve">This volume is a continuation of the two prior handoffs, not a replacement, and it inherits their working agreements unchanged. Every commit in this thread is authored as sethoshi.eth (55265644+sethoshi18@users.noreply.github.com), and identity verification after each push reads the remote head through the authenticated commits API rather than trusting local git state. The fine-grained personal access token provided by the owner existed only as the GH_TOKEN environment variable inside single short-lived shell invocations, was never written to a file, a commit, or any generated output, and was unset immediately after each use; the same discipline governed every authenticated API call in the session. The engagement red lines were restated at session open and held throughout: wire formats and protocol economics were never edited, security controls were never weakened, no failing test was hidden, unrelated refactoring stayed out of scope, and every command reported here actually ran with its real exit code.</w:t>
      </w:r>
    </w:p>
    <w:p>
      <w:pPr>
        <w:spacing w:after="120" w:line="312"/>
        <w:jc w:val="both"/>
      </w:pPr>
      <w:r>
        <w:rPr>
          <w:rFonts w:ascii="Times New Roman" w:eastAsia="SimSun"/>
          <w:color w:val="000000"/>
          <w:sz w:val="24"/>
          <w:szCs w:val="24"/>
        </w:rPr>
        <w:t xml:space="preserve">The shared worklog protocol was re-established at /home/z/my-project/worklog.md on session open and was appended after each completed task with the standardized block format. The workspace of this session is subject to the same recycling property the second volume documented: nothing local survives between sessions, so durable engineering state lives in two places only, the GitHub history and this document, plus the git bundle and source-tree archive deposited in the owner-facing download directory as part of the delivery. The key-custody question from queue item 9.5 remains unresolved by the owner and is carried forward unchanged in Section 9.</w:t>
      </w:r>
    </w:p>
    <w:p>
      <w:pPr>
        <w:pStyle w:val="Heading1"/>
        <w:spacing w:after="160" w:before="360" w:line="312"/>
      </w:pPr>
      <w:bookmarkStart w:name="_Toc3" w:id="3"/>
      <w:r>
        <w:rPr>
          <w:rFonts w:ascii="Times New Roman" w:eastAsia="SimHei"/>
          <w:b/>
          <w:bCs/>
          <w:color w:val="162235"/>
          <w:sz w:val="32"/>
          <w:szCs w:val="32"/>
        </w:rPr>
        <w:t xml:space="preserve">3. Ground Truth, Inspection Findings and the Actual Oracle Interface</w:t>
      </w:r>
      <w:bookmarkEnd w:id="3"/>
    </w:p>
    <w:p>
      <w:pPr>
        <w:pStyle w:val="Heading2"/>
        <w:spacing w:after="120" w:before="240" w:line="312"/>
      </w:pPr>
      <w:bookmarkStart w:name="_Toc4" w:id="4"/>
      <w:r>
        <w:rPr>
          <w:rFonts w:ascii="Times New Roman" w:eastAsia="SimHei"/>
          <w:b/>
          <w:bCs/>
          <w:color w:val="162235"/>
          <w:sz w:val="28"/>
          <w:szCs w:val="28"/>
        </w:rPr>
        <w:t xml:space="preserve">3.1 Repository state at session open</w:t>
      </w:r>
      <w:bookmarkEnd w:id="4"/>
    </w:p>
    <w:p>
      <w:pPr>
        <w:spacing w:after="120" w:line="312"/>
        <w:jc w:val="both"/>
      </w:pPr>
      <w:r>
        <w:rPr>
          <w:rFonts w:ascii="Times New Roman" w:eastAsia="SimSun"/>
          <w:color w:val="000000"/>
          <w:sz w:val="24"/>
          <w:szCs w:val="24"/>
        </w:rPr>
        <w:t xml:space="preserve">The three repositories were cloned and verified through the authenticated API. graveyield-protocol stood at 5b84440, three commits past the volume-2 ground truth b67a4c9: a scheduled devnet smoke workflow with lockfile-refresh (5eaf547), version-qualified cargo-tree evidence (d0af5a5), and the Dependabot triage record for all eight open alerts (5b84440). salvor-bots stood at cefbed0, unchanged and still subject to the byte-equal SDK mirror constraint. The console repository was located as GraveYield/graveyield-console and stood at cd0e6c8. No Phase 2 work modified any of the three existing repositories; by design, the wire formats, the SDK and the programs are consumers, not targets, of this phase.</w:t>
      </w:r>
    </w:p>
    <w:p>
      <w:pPr>
        <w:pStyle w:val="Heading2"/>
        <w:spacing w:after="120" w:before="240" w:line="312"/>
      </w:pPr>
      <w:bookmarkStart w:name="_Toc5" w:id="5"/>
      <w:r>
        <w:rPr>
          <w:rFonts w:ascii="Times New Roman" w:eastAsia="SimHei"/>
          <w:b/>
          <w:bCs/>
          <w:color w:val="162235"/>
          <w:sz w:val="28"/>
          <w:szCs w:val="28"/>
        </w:rPr>
        <w:t xml:space="preserve">3.2 The on-chain oracle contract as implemented</w:t>
      </w:r>
      <w:bookmarkEnd w:id="5"/>
    </w:p>
    <w:p>
      <w:pPr>
        <w:spacing w:after="120" w:line="312"/>
        <w:jc w:val="both"/>
      </w:pPr>
      <w:r>
        <w:rPr>
          <w:rFonts w:ascii="Times New Roman" w:eastAsia="SimSun"/>
          <w:color w:val="000000"/>
          <w:sz w:val="24"/>
          <w:szCs w:val="24"/>
        </w:rPr>
        <w:t xml:space="preserve">Per the standing instruction to inspect and document the actual interface before implementing anything, the attestation contract was read from programs/grave-scanner/src/attestation.rs, the evaluate_pool_phase_1 and record_launch_price instructions, and the ProtocolConfig layout, and was cross-checked against the SDK mirrors in sdk/src/lastSwapAttestation.ts and launchPriceAttestation.ts. The Criterion 1 last-swap attestation is a fixed 112-byte message signed with Ed25519 by the protocol activity oracle: amm_program_id (32 bytes), pool_address (32), last_swap_unix_ts (i64 little-endian), issued_slot (u64 little-endian), and slot_hash (32 bytes binding the attestation to a real slot). The message is embedded at offset 72 of the phase-1 instruction data, and the transaction must carry an ed25519_program verify instruction immediately before the scanner instruction whose signature covers exactly those bytes with the configured oracle as public key. The program pins every precompile offset fail-closed and requires issued_slot to still resolve in SlotHashes with a byte-exact hash, which makes replay of a stale attestation structurally impossible inside the roughly 512-slot freshness window. The Criterion 2 launch-price attestation is a 168-byte message embedded at offset 152 of record_launch_price instruction data, signed by a separate dedicated oracle key; it deliberately carries no SlotHashes check because the value is a time-invariant historical fact and the LaunchPrice PDA is init-once.</w:t>
      </w:r>
    </w:p>
    <w:p>
      <w:pPr>
        <w:spacing w:after="120" w:line="312"/>
        <w:jc w:val="both"/>
      </w:pPr>
      <w:r>
        <w:rPr>
          <w:rFonts w:ascii="Times New Roman" w:eastAsia="SimSun"/>
          <w:color w:val="000000"/>
          <w:sz w:val="24"/>
          <w:szCs w:val="24"/>
        </w:rPr>
        <w:t xml:space="preserve">The on-chain check order is strict and every failure mode is a revert: missing precompile instruction (6024), malformed precompile offsets (6025), covered key not equal to the configured oracle (6026), attestation binding disagreeing with instruction params (6027), non-positive or future last-swap timestamp (6028), zero or future issued slot (6031), issued slot absent from SlotHashes (6029), and slot-hash mismatch (6030). Steps two and three of this order are shared code between the phase-1 and launch-price paths, a fact the verification strategy in Section 5 relies on. A second structural fact matters for any end-to-end plan: evaluate_pool_phase_1 requires an already-recorded LaunchPrice PDA for the target pool, so record_launch_price necessarily precedes phase 1, and both attestation paths gate on oracle keys.</w:t>
      </w:r>
    </w:p>
    <w:p>
      <w:pPr>
        <w:pStyle w:val="Heading2"/>
        <w:spacing w:after="120" w:before="240" w:line="312"/>
      </w:pPr>
      <w:bookmarkStart w:name="_Toc6" w:id="6"/>
      <w:r>
        <w:rPr>
          <w:rFonts w:ascii="Times New Roman" w:eastAsia="SimHei"/>
          <w:b/>
          <w:bCs/>
          <w:color w:val="162235"/>
          <w:sz w:val="28"/>
          <w:szCs w:val="28"/>
        </w:rPr>
        <w:t xml:space="preserve">3.3 Configured oracles on the live devnet deployment</w:t>
      </w:r>
      <w:bookmarkEnd w:id="6"/>
    </w:p>
    <w:p>
      <w:pPr>
        <w:spacing w:after="120" w:line="312"/>
        <w:jc w:val="both"/>
      </w:pPr>
      <w:r>
        <w:rPr>
          <w:rFonts w:ascii="Times New Roman" w:eastAsia="SimSun"/>
          <w:color w:val="000000"/>
          <w:sz w:val="24"/>
          <w:szCs w:val="24"/>
        </w:rPr>
        <w:t xml:space="preserve">The deployed devnet GraveScanner (CuQZesHk8eHvaoNTFiTr1hUjfVKGCqDZHTTe8HkJAo54) carries its ProtocolConfig at the pre-derived PDA Fb6uvYyRAKFRCuab44imZ6YAVAEfGLoAPDxFpwVXQdiD with the canonical bump 255 recorded in the volume-2 handoff. Live decoding on 2026-10-26 confirmed both activity_oracle and launch_price_oracle are set to AsB5uPtT7S6FB9G7nGp58nWA8iPFaH3bDuj49ss1EWXa, the deployer authority, exactly as the initialize instruction's code implies (it copies params.authority into both fields). Because the deployer keypair was erased in the workspace reset and its export is unverified (queue item 9.5), every valid attestation from any other key reverts 6026 on chain today. This is the single remaining gate on the devnet evidence path, and Section 5 shows it is the only one.</w:t>
      </w:r>
    </w:p>
    <w:p>
      <w:pPr>
        <w:pStyle w:val="Heading1"/>
        <w:spacing w:after="160" w:before="360" w:line="312"/>
      </w:pPr>
      <w:bookmarkStart w:name="_Toc7" w:id="7"/>
      <w:r>
        <w:rPr>
          <w:rFonts w:ascii="Times New Roman" w:eastAsia="SimHei"/>
          <w:b/>
          <w:bCs/>
          <w:color w:val="162235"/>
          <w:sz w:val="32"/>
          <w:szCs w:val="32"/>
        </w:rPr>
        <w:t xml:space="preserve">4. Architecture of the Phase 2 Pipeline</w:t>
      </w:r>
      <w:bookmarkEnd w:id="7"/>
    </w:p>
    <w:p>
      <w:pPr>
        <w:spacing w:after="120" w:line="312"/>
        <w:jc w:val="both"/>
      </w:pPr>
      <w:r>
        <w:rPr>
          <w:rFonts w:ascii="Times New Roman" w:eastAsia="SimSun"/>
          <w:color w:val="000000"/>
          <w:sz w:val="24"/>
          <w:szCs w:val="24"/>
        </w:rPr>
        <w:t xml:space="preserve">GraveYield/grave-indexer is a standalone repository with its own continuous integration, consuming @graveyield/sdk as a pnpm workspace package exposed from a git submodule pinned to graveyield-protocol @ 5b84440. The submodule is the load-bearing design decision for alignment: the SDK remains the single source of truth for every wire format, so the pipeline cannot drift from the on-chain implementation without the vendored source visibly changing. The pipeline runs in two clusters with one code path: discovery and last-swap derivation execute against mainnet-beta, where the Raydium V4 corpus actually lives, while evidence issuance executes against devnet, because issued_slot must resolve in the destination cluster's SlotHashes for the on-chain freshness check to bind; each evidence bundle records both contexts explicitly.</w:t>
      </w:r>
    </w:p>
    <w:p>
      <w:pPr>
        <w:spacing w:after="120" w:line="312"/>
        <w:jc w:val="both"/>
      </w:pPr>
      <w:r>
        <w:rPr>
          <w:rFonts w:ascii="Times New Roman" w:eastAsia="SimSun"/>
          <w:color w:val="000000"/>
          <w:sz w:val="24"/>
          <w:szCs w:val="24"/>
        </w:rPr>
        <w:t xml:space="preserve">Discovery enumerates AmmInfo accounts through a raw JSON-RPC client rather than the web3.js connection wrapper. This decision was forced by live evidence: the mainnet corpus is 706,002 accounts, a full unfiltered response exceeds the maximum string length Node.js can allocate, and even the sliced response crashes the web3.js 3.x decoder with a range error while the identical request succeeds over plain JSON-RPC. The client fetches only the 160-byte identity window (bytes 336 through 496, the SDK-pinned offsets holding the two vaults, the two mints and the LP mint), tolerates both response shapes observed in the wild, and is unit-tested against both. Records carry full provenance: slot bracketing around the enumeration call, wall-clock capture, an endpoint kind rather than a URL so no API key can leak into evidence files, and a sha256 fingerprint over the pool address and fetched payload. Output is deterministically ordered by ascending base58 pool address, so two runs over identical chain state produce byte-identical ledgers.</w:t>
      </w:r>
    </w:p>
    <w:p>
      <w:pPr>
        <w:spacing w:after="120" w:line="312"/>
        <w:jc w:val="both"/>
      </w:pPr>
      <w:r>
        <w:rPr>
          <w:rFonts w:ascii="Times New Roman" w:eastAsia="SimSun"/>
          <w:color w:val="000000"/>
          <w:sz w:val="24"/>
          <w:szCs w:val="24"/>
        </w:rPr>
        <w:t xml:space="preserve">Downstream, a durable JSONL ingest ledger provides cross-cycle idempotence (re-ingesting identical bytes only bumps counters), change tracking with a bounded fingerprint history, same-slot byte-divergence detection that flags an entry conflicted and excludes it from evidence issuance until a fresh unambiguous observation supersedes it, and a staleness policy of 400 slots for discovery snapshots against 450 slots for evidence freshness, both safely inside the 512-slot SlotHashes window. Activity derivation wraps the SDK's deriveLastSwapV4 with a one-hour TTL cache and a regression rule: a re-derivation that returns an older last-swap than the cached record is reported and the cached record stays authoritative, which protects attestations from pruned or untrusted history. The evidence module builds secret-free bundles (message hex, signature hex and the oracle public key only), the issuance module binds them to a recent devnet slot, the signing module enforces the custody rules (key material in memory only, public-key fingerprints in logs), the verifier mirrors the on-chain check order against live chain data, and an append-only replay journal records every signed or observed message hash so re-observation of identical evidence is caught even before RPC disagreement could be. A per-stage health registry underlies every command, and the CLI exposes four operations: discover, collect, verify-path and health.</w:t>
      </w:r>
    </w:p>
    <w:p>
      <w:pPr>
        <w:pStyle w:val="Heading1"/>
        <w:spacing w:after="160" w:before="360" w:line="312"/>
      </w:pPr>
      <w:bookmarkStart w:name="_Toc8" w:id="8"/>
      <w:r>
        <w:rPr>
          <w:rFonts w:ascii="Times New Roman" w:eastAsia="SimHei"/>
          <w:b/>
          <w:bCs/>
          <w:color w:val="162235"/>
          <w:sz w:val="32"/>
          <w:szCs w:val="32"/>
        </w:rPr>
        <w:t xml:space="preserve">5. Live Verification Evidence</w:t>
      </w:r>
      <w:bookmarkEnd w:id="8"/>
    </w:p>
    <w:p>
      <w:pPr>
        <w:pStyle w:val="Heading2"/>
        <w:spacing w:after="120" w:before="240" w:line="312"/>
      </w:pPr>
      <w:bookmarkStart w:name="_Toc9" w:id="9"/>
      <w:r>
        <w:rPr>
          <w:rFonts w:ascii="Times New Roman" w:eastAsia="SimHei"/>
          <w:b/>
          <w:bCs/>
          <w:color w:val="162235"/>
          <w:sz w:val="28"/>
          <w:szCs w:val="28"/>
        </w:rPr>
        <w:t xml:space="preserve">5.1 Mainnet discovery and duplicate ingestion</w:t>
      </w:r>
      <w:bookmarkEnd w:id="9"/>
    </w:p>
    <w:p>
      <w:pPr>
        <w:spacing w:after="120" w:line="312"/>
        <w:jc w:val="both"/>
      </w:pPr>
      <w:r>
        <w:rPr>
          <w:rFonts w:ascii="Times New Roman" w:eastAsia="SimSun"/>
          <w:color w:val="000000"/>
          <w:sz w:val="24"/>
          <w:szCs w:val="24"/>
        </w:rPr>
        <w:t xml:space="preserve">The discovery cycle ran twice against the public mainnet-beta endpoint with a 400-pool processing cap. The first run observed 706,002 raw AmmInfo accounts server-side, parsed 400 pools with zero malformed entries, recorded 8 pools that fail the WSOL-side guard (7019) as unsupported-but-visible, and completed its bracketed enumeration between slots 461366519 and 461366611 in about 20 seconds. The second run re-ingested the same corpus and reported every one of the 400 pools as duplicate-unchanged, with zero new, changed or conflicting entries, demonstrating the idempotence property live rather than by assertion. The ledger, summary and health snapshot were persisted as JSON and JSONL artifacts, three of which ship in the repository's examples directory.</w:t>
      </w:r>
    </w:p>
    <w:p>
      <w:pPr>
        <w:pStyle w:val="Heading2"/>
        <w:spacing w:after="120" w:before="240" w:line="312"/>
      </w:pPr>
      <w:bookmarkStart w:name="_Toc10" w:id="10"/>
      <w:r>
        <w:rPr>
          <w:rFonts w:ascii="Times New Roman" w:eastAsia="SimHei"/>
          <w:b/>
          <w:bCs/>
          <w:color w:val="162235"/>
          <w:sz w:val="28"/>
          <w:szCs w:val="28"/>
        </w:rPr>
        <w:t xml:space="preserve">5.2 The evidence-path matrix against the deployed devnet scanner</w:t>
      </w:r>
      <w:bookmarkEnd w:id="10"/>
    </w:p>
    <w:p>
      <w:pPr>
        <w:keepNext/>
        <w:spacing w:after="100" w:before="200" w:line="312"/>
        <w:jc w:val="left"/>
      </w:pPr>
      <w:r>
        <w:rPr>
          <w:rFonts w:ascii="Times New Roman"/>
          <w:b/>
          <w:bCs/>
          <w:color w:val="162235"/>
          <w:sz w:val="21"/>
          <w:szCs w:val="21"/>
        </w:rPr>
        <w:t xml:space="preserve">Table 1 — Evidence-path verification matrix, live run of 2026-10-26</w:t>
      </w:r>
    </w:p>
    <w:tbl>
      <w:tblPr>
        <w:tblW w:type="pct" w:w="5000"/>
        <w:tblBorders>
          <w:top w:val="single" w:color="1B6B7A" w:sz="2"/>
          <w:left w:val="none"/>
          <w:bottom w:val="single" w:color="1B6B7A" w:sz="2"/>
          <w:right w:val="none"/>
          <w:insideH w:val="single" w:color="C8DDE2" w:sz="1"/>
          <w:insideV w:val="none"/>
        </w:tblBorders>
      </w:tblPr>
      <w:tblGrid>
        <w:gridCol w:w="2109"/>
        <w:gridCol w:w="1406"/>
        <w:gridCol w:w="2109"/>
        <w:gridCol w:w="2285"/>
        <w:gridCol w:w="879"/>
      </w:tblGrid>
      <w:tr>
        <w:trPr>
          <w:cantSplit/>
          <w:tblHeader/>
        </w:trPr>
        <w:tc>
          <w:tcPr>
            <w:tcW w:type="pct" w:w="12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Case</w:t>
            </w:r>
          </w:p>
        </w:tc>
        <w:tc>
          <w:tcPr>
            <w:tcW w:type="pct" w:w="8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Layer</w:t>
            </w:r>
          </w:p>
        </w:tc>
        <w:tc>
          <w:tcPr>
            <w:tcW w:type="pct" w:w="12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Expected outcome</w:t>
            </w:r>
          </w:p>
        </w:tc>
        <w:tc>
          <w:tcPr>
            <w:tcW w:type="pct" w:w="13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Observed outcome</w:t>
            </w:r>
          </w:p>
        </w:tc>
        <w:tc>
          <w:tcPr>
            <w:tcW w:type="pct" w:w="5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Result</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canonical-bundle-verifier</w:t>
            </w:r>
          </w:p>
        </w:tc>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Verifier, live chain</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Oracle-gated at 6026 under the real configured oracle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ATTESTATION_ORACLE: signer differs from AsB5u…EWXa; all other checks pass</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PASS</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tampered-binding</w:t>
            </w:r>
          </w:p>
        </w:tc>
        <w:tc>
          <w:tcPr>
            <w:tcW w:type="pct" w:w="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Verifier</w:t>
            </w:r>
          </w:p>
        </w:tc>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Rejection at the 6027 analogue</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Rejected at the parse-time binding-echo rule</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PASS</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future-timestamp</w:t>
            </w:r>
          </w:p>
        </w:tc>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Verifier</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Rejection at the 6028 analogue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ATTESTATION_TIMESTAMP</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PASS</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stale-slot</w:t>
            </w:r>
          </w:p>
        </w:tc>
        <w:tc>
          <w:tcPr>
            <w:tcW w:type="pct" w:w="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Verifier</w:t>
            </w:r>
          </w:p>
        </w:tc>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Rejection at the 6029 analogue</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ATTESTATION_STALE, issued slot 10,000 back</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PASS</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slot-hash-mismatch</w:t>
            </w:r>
          </w:p>
        </w:tc>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Verifier</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Rejection at the 6030 analogue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ATTESTATION_SLOT_HASH</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PASS</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replayed-evidence</w:t>
            </w:r>
          </w:p>
        </w:tc>
        <w:tc>
          <w:tcPr>
            <w:tcW w:type="pct" w:w="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Journal</w:t>
            </w:r>
          </w:p>
        </w:tc>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Rejection on second observation</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ATTESTATION_REPLAY on re-verification</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PASS</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missing-precompile</w:t>
            </w:r>
          </w:p>
        </w:tc>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Program, simulation</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6024 AttestationMissing</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 — unfunded payer (faucet 429)</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tampered-signature</w:t>
            </w:r>
          </w:p>
        </w:tc>
        <w:tc>
          <w:tcPr>
            <w:tcW w:type="pct" w:w="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Program, simulation</w:t>
            </w:r>
          </w:p>
        </w:tc>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Precompile-level rejection</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 — unfunded payer</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non-canonical-offsets</w:t>
            </w:r>
          </w:p>
        </w:tc>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Program, simulation</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6025 InvalidAttestationOffsets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 — unfunded payer</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unauthorized-signer</w:t>
            </w:r>
          </w:p>
        </w:tc>
        <w:tc>
          <w:tcPr>
            <w:tcW w:type="pct" w:w="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Program, simulation</w:t>
            </w:r>
          </w:p>
        </w:tc>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6026 AttestationOracleMismatch</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 — unfunded payer</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malformed-msg-length</w:t>
            </w:r>
          </w:p>
        </w:tc>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Program, simulation</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Anchor decode failure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 — unfunded payer</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canonical-bundle-program</w:t>
            </w:r>
          </w:p>
        </w:tc>
        <w:tc>
          <w:tcPr>
            <w:tcW w:type="pct" w:w="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Program, simulation</w:t>
            </w:r>
          </w:p>
        </w:tc>
        <w:tc>
          <w:tcPr>
            <w:tcW w:type="pct" w:w="1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6026, or acceptance once oracle registered</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 — unfunded payer</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phase1-precondition</w:t>
            </w:r>
          </w:p>
        </w:tc>
        <w:tc>
          <w:tcPr>
            <w:tcW w:type="pct" w:w="8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Program, simulation</w:t>
            </w:r>
          </w:p>
        </w:tc>
        <w:tc>
          <w:tcPr>
            <w:tcW w:type="pct" w:w="1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Account-validation failure without LaunchPrice PDA</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 — unfunded payer</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SKIPPED</w:t>
            </w:r>
          </w:p>
        </w:tc>
      </w:tr>
    </w:tbl>
    <w:p>
      <w:pPr>
        <w:spacing w:after="120" w:line="312"/>
        <w:jc w:val="both"/>
      </w:pPr>
      <w:r>
        <w:rPr>
          <w:rFonts w:ascii="Times New Roman" w:eastAsia="SimSun"/>
          <w:color w:val="000000"/>
          <w:sz w:val="24"/>
          <w:szCs w:val="24"/>
        </w:rPr>
        <w:t xml:space="preserve">The matrix design isolates each on-chain check honestly. The canonical case verifies against the live configured oracle and therefore reports the deployment's real gate, the authorization equality at 6026; the five mutation cases run with the run's own oracle substituted as the configured one, because the on-chain check order gates everything at that equality first and without the substitution every case would merely re-demonstrate the same gate. Every mutation was signed correctly by the run's disposable key, so each rejection isolates exactly the property under test. The seven program-level cases execute the shared attestation prologue (6024, 6025, 6026 are the same code phase 1 uses) through record_launch_price, whose init constraint requires the payer to hold real lamports even in simulation; with the devnet faucet returning 429 for the session, these cases are reported as skipped rather than faked, and they are the first thing a funded rerun exercises. The full JSON report ships as examples/verify-path-report.live.json.</w:t>
      </w:r>
    </w:p>
    <w:p>
      <w:pPr>
        <w:pStyle w:val="Heading2"/>
        <w:spacing w:after="120" w:before="240" w:line="312"/>
      </w:pPr>
      <w:bookmarkStart w:name="_Toc11" w:id="11"/>
      <w:r>
        <w:rPr>
          <w:rFonts w:ascii="Times New Roman" w:eastAsia="SimHei"/>
          <w:b/>
          <w:bCs/>
          <w:color w:val="162235"/>
          <w:sz w:val="28"/>
          <w:szCs w:val="28"/>
        </w:rPr>
        <w:t xml:space="preserve">5.3 Live evidence collection</w:t>
      </w:r>
      <w:bookmarkEnd w:id="11"/>
    </w:p>
    <w:p>
      <w:pPr>
        <w:spacing w:after="120" w:line="312"/>
        <w:jc w:val="both"/>
      </w:pPr>
      <w:r>
        <w:rPr>
          <w:rFonts w:ascii="Times New Roman" w:eastAsia="SimSun"/>
          <w:color w:val="000000"/>
          <w:sz w:val="24"/>
          <w:szCs w:val="24"/>
        </w:rPr>
        <w:t xml:space="preserve">The collect command issued three evidence bundles for real mainnet pools with real last-swap derivations and verified each against live devnet state. The reference bundle in examples/evidence-bundle.live-mainnet-pool.json attests pool 1736ptDt7UAQbcPbVkSkLZBppScurDGo9o8BePHuTeP with a last swap at 2025-04-19T10:26:46Z on slot 334477560 (transaction signature 5zUBtKNkbMiZ…), issued on devnet at slot 515069575 and signed by the run's ephemeral devnet oracle 35BJmFBmSpCa9pwWNWWhWEoLLdXinGzpfG5nWuCNyqLi; verification returned outcome oracle-gated with exactly one failing check, ATTESTATION_ORACLE, against the configured oracle AsB5uPtT7S6FB9G7nGp58nWA8iPFaH3bDuj49ss1EWXa. Bundles contain no secret material by construction: the signature and the oracle public key are public data, and a repository-wide scan confirmed no token or key material anywhere in the tree. RPC-confounded derivation candidates (transactions with unresolved address-table lookups, blocks containing version-1 transactions) were skipped with health records rather than guessed, an honest-yield behavior documented in Section 9 as a protocol-side hardening follow-up.</w:t>
      </w:r>
    </w:p>
    <w:p>
      <w:pPr>
        <w:pStyle w:val="Heading1"/>
        <w:spacing w:after="160" w:before="360" w:line="312"/>
      </w:pPr>
      <w:bookmarkStart w:name="_Toc12" w:id="12"/>
      <w:r>
        <w:rPr>
          <w:rFonts w:ascii="Times New Roman" w:eastAsia="SimHei"/>
          <w:b/>
          <w:bCs/>
          <w:color w:val="162235"/>
          <w:sz w:val="32"/>
          <w:szCs w:val="32"/>
        </w:rPr>
        <w:t xml:space="preserve">6. Automated Test Results</w:t>
      </w:r>
      <w:bookmarkEnd w:id="12"/>
    </w:p>
    <w:p>
      <w:pPr>
        <w:spacing w:after="120" w:line="312"/>
        <w:jc w:val="both"/>
      </w:pPr>
      <w:r>
        <w:rPr>
          <w:rFonts w:ascii="Times New Roman" w:eastAsia="SimSun"/>
          <w:color w:val="000000"/>
          <w:sz w:val="24"/>
          <w:szCs w:val="24"/>
        </w:rPr>
        <w:t xml:space="preserve">The offline battery comprises 49 tests across 9 suites and completed green in about 3.3 seconds using the organization's node:test and tsx conventions. Coverage spans every module: evidence-bundle round-trips and the malformed-input rejection matrix (length, hex, zero timestamp, zero slot, binding-echo divergence, invalid pubkeys, unknown schema versions); signing determinism, tamper detection, unauthorized-key rejection and key-file parsing; the verifier's acceptance path and full rejection matrix against a mocked RPC with each expected failure naming its on-chain analogue; the ingest ledger's dedupe, change, conflict, staleness and JSONL persistence behavior including torn trailing lines; discovery in both identity-slice and full modes against both RPC response shapes; health-registry transitions including silence-based degradation; and provenance redaction. The typecheck is clean under the protocol repository's strict tsconfig.base, including exactOptionalPropertyTypes. A DEVNET_RPC_URL-gated live smoke decodes the deployed ProtocolConfig, asserts the bump-255 invariant, and reruns the evidence-path matrix; it self-skips offline so the battery stays green on fresh clones.</w:t>
      </w:r>
    </w:p>
    <w:p>
      <w:pPr>
        <w:pStyle w:val="Heading1"/>
        <w:spacing w:after="160" w:before="360" w:line="312"/>
      </w:pPr>
      <w:bookmarkStart w:name="_Toc13" w:id="13"/>
      <w:r>
        <w:rPr>
          <w:rFonts w:ascii="Times New Roman" w:eastAsia="SimHei"/>
          <w:b/>
          <w:bCs/>
          <w:color w:val="162235"/>
          <w:sz w:val="32"/>
          <w:szCs w:val="32"/>
        </w:rPr>
        <w:t xml:space="preserve">7. Key Custody, Rotation, Revocation, Monitoring and Downtime</w:t>
      </w:r>
      <w:bookmarkEnd w:id="13"/>
    </w:p>
    <w:p>
      <w:pPr>
        <w:spacing w:after="120" w:line="312"/>
        <w:jc w:val="both"/>
      </w:pPr>
      <w:r>
        <w:rPr>
          <w:rFonts w:ascii="Times New Roman" w:eastAsia="SimSun"/>
          <w:color w:val="000000"/>
          <w:sz w:val="24"/>
          <w:szCs w:val="24"/>
        </w:rPr>
        <w:t xml:space="preserve">The custody model separates four key roles with explicit never-rules, all enforced in code and tested. The activity oracle and the launch-price oracle are Ed25519 seeds loaded from a key file under restrictive permissions stored outside any repository; the environment-variable form exists but is discouraged. The writer is an operator-funded Solana keypair that pays rent and submits transactions and holds no authority. Disposable devnet verification keys are generated in memory per run and die with the process. Key material is never logged, echoed, committed or serialized: logs and health snapshots carry only short public-key fingerprints, and the repository's CI and postcheck scans confirm the property continuously.</w:t>
      </w:r>
    </w:p>
    <w:p>
      <w:pPr>
        <w:spacing w:after="120" w:line="312"/>
        <w:jc w:val="both"/>
      </w:pPr>
      <w:r>
        <w:rPr>
          <w:rFonts w:ascii="Times New Roman" w:eastAsia="SimSun"/>
          <w:color w:val="000000"/>
          <w:sz w:val="24"/>
          <w:szCs w:val="24"/>
        </w:rPr>
        <w:t xml:space="preserve">Rotation is a single on-chain equality swap: a new dedicated oracle key is generated, the GraveScanner authority signs update_protocol_config to point activity_oracle at it, the pipeline's ORACLE_KEY_FILE is cut over, and verify-path with ORACLE_IS_REGISTERED=true must show the canonical case fully accepted before real submissions resume. Revocation needs no on-chain list because authorization is one equality: the compromised key simply stops being the configured one, and until the rotation lands, pausing the scanner is the fast containment lever since a paused program reverts every evaluation. Aforged or hostile-but-structurally-valid anchor is contained on chain by invalidate_anchor and the 14-day sweep_stale_anchor window. Downtime behavior is fail-closed by construction: a stale pipeline cannot produce fresh evidence, and the chain rejects stale evidence, so outage risk is bounded by design rather than by operator vigilance.</w:t>
      </w:r>
    </w:p>
    <w:p>
      <w:pPr>
        <w:spacing w:after="120" w:line="312"/>
        <w:jc w:val="both"/>
      </w:pPr>
      <w:r>
        <w:rPr>
          <w:rFonts w:ascii="Times New Roman" w:eastAsia="SimSun"/>
          <w:color w:val="000000"/>
          <w:sz w:val="24"/>
          <w:szCs w:val="24"/>
        </w:rPr>
        <w:t xml:space="preserve">Monitoring ships in two layers. The scheduled evidence-smoke workflow runs daily at 06:11 UTC, no-ops cleanly where the DEVNET_RPC_URL or MAINNET_RPC_URL secrets are absent, fails loudly on real failures, and publishes the full JSON report to the job summary. Every pipeline cycle writes a per-stage health snapshot whose alerts are specified in docs/ORACLE_PIPELINE.md: overall status worse than ok for two consecutive cycles, any verify-path allPass false, discovery conflicts greater than zero, stale-entry growth across cycles, and activity-regression events. Operators additionally watch the three on-chain assumptions that can invalidate the interface record: activity_oracle changes, paused flips, and GraveScanner upgrades, each of which must trigger a verify-path rerun before further submissions.</w:t>
      </w:r>
    </w:p>
    <w:p>
      <w:pPr>
        <w:pStyle w:val="Heading1"/>
        <w:spacing w:after="160" w:before="360" w:line="312"/>
      </w:pPr>
      <w:bookmarkStart w:name="_Toc14" w:id="14"/>
      <w:r>
        <w:rPr>
          <w:rFonts w:ascii="Times New Roman" w:eastAsia="SimHei"/>
          <w:b/>
          <w:bCs/>
          <w:color w:val="162235"/>
          <w:sz w:val="32"/>
          <w:szCs w:val="32"/>
        </w:rPr>
        <w:t xml:space="preserve">8. Changed Files and Commit Ledger</w:t>
      </w:r>
      <w:bookmarkEnd w:id="14"/>
    </w:p>
    <w:p>
      <w:pPr>
        <w:spacing w:after="120" w:line="312"/>
        <w:jc w:val="both"/>
      </w:pPr>
      <w:r>
        <w:rPr>
          <w:rFonts w:ascii="Times New Roman" w:eastAsia="SimSun"/>
          <w:color w:val="000000"/>
          <w:sz w:val="24"/>
          <w:szCs w:val="24"/>
        </w:rPr>
        <w:t xml:space="preserve">The entire Phase 2 delta lives in the new repository; the three existing repositories are untouched. The repository history consists of six small reviewable commits, each authored as sethoshi.eth, covering the workspace scaffold with the pinned submodule, the pipeline core, the evidence layer, the test battery, the CI workflows, and the documentation with live examples. Table 2 records the ledger as it stands locally; the push status is the subject of Section 9.</w:t>
      </w:r>
    </w:p>
    <w:p>
      <w:pPr>
        <w:keepNext/>
        <w:spacing w:after="100" w:before="200" w:line="312"/>
        <w:jc w:val="left"/>
      </w:pPr>
      <w:r>
        <w:rPr>
          <w:rFonts w:ascii="Times New Roman"/>
          <w:b/>
          <w:bCs/>
          <w:color w:val="162235"/>
          <w:sz w:val="21"/>
          <w:szCs w:val="21"/>
        </w:rPr>
        <w:t xml:space="preserve">Table 2 — Commit ledger for GraveYield/grave-indexer (local main)</w:t>
      </w:r>
    </w:p>
    <w:tbl>
      <w:tblPr>
        <w:tblW w:type="pct" w:w="5000"/>
        <w:tblBorders>
          <w:top w:val="single" w:color="1B6B7A" w:sz="2"/>
          <w:left w:val="none"/>
          <w:bottom w:val="single" w:color="1B6B7A" w:sz="2"/>
          <w:right w:val="none"/>
          <w:insideH w:val="single" w:color="C8DDE2" w:sz="1"/>
          <w:insideV w:val="none"/>
        </w:tblBorders>
      </w:tblPr>
      <w:tblGrid>
        <w:gridCol w:w="1055"/>
        <w:gridCol w:w="3867"/>
        <w:gridCol w:w="3867"/>
      </w:tblGrid>
      <w:tr>
        <w:trPr>
          <w:cantSplit/>
          <w:tblHeader/>
        </w:trPr>
        <w:tc>
          <w:tcPr>
            <w:tcW w:type="pct" w:w="6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Commit</w:t>
            </w:r>
          </w:p>
        </w:tc>
        <w:tc>
          <w:tcPr>
            <w:tcW w:type="pct" w:w="22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Subject</w:t>
            </w:r>
          </w:p>
        </w:tc>
        <w:tc>
          <w:tcPr>
            <w:tcW w:type="pct" w:w="2200"/>
            <w:shd w:fill="1B6B7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Verification evidence</w:t>
            </w:r>
          </w:p>
        </w:tc>
      </w:tr>
      <w:tr>
        <w:trPr>
          <w:cantSplit/>
        </w:trPr>
        <w:tc>
          <w:tcPr>
            <w:tcW w:type="pct" w:w="6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b21fece</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Scaffold workspace pinned to graveyield-protocol @ 5b84440</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pnpm workspace resolves @graveyield/sdk from the submodule; strict typecheck clean</w:t>
            </w:r>
          </w:p>
        </w:tc>
      </w:tr>
      <w:tr>
        <w:trPr>
          <w:cantSplit/>
        </w:trPr>
        <w:tc>
          <w:tcPr>
            <w:tcW w:type="pct" w:w="6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66cadc4</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Pipeline core: provenance, discovery, ingest ledger, health</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Live 706,002-account enumeration; duplicate-unchanged 400/400 on rerun</w:t>
            </w:r>
          </w:p>
        </w:tc>
      </w:tr>
      <w:tr>
        <w:trPr>
          <w:cantSplit/>
        </w:trPr>
        <w:tc>
          <w:tcPr>
            <w:tcW w:type="pct" w:w="6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4d0596e</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Evidence layer: bundles, signing, verifier, devnet matrix, CLI</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Live matrix 6/6 verifier cases; 3 live bundles verified</w:t>
            </w:r>
          </w:p>
        </w:tc>
      </w:tr>
      <w:tr>
        <w:trPr>
          <w:cantSplit/>
        </w:trPr>
        <w:tc>
          <w:tcPr>
            <w:tcW w:type="pct" w:w="6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a7c8881</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49-test offline battery + gated live smoke</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49/49 pass in ~3.3 s; smoke self-skips offline</w:t>
            </w:r>
          </w:p>
        </w:tc>
      </w:tr>
      <w:tr>
        <w:trPr>
          <w:cantSplit/>
        </w:trPr>
        <w:tc>
          <w:tcPr>
            <w:tcW w:type="pct" w:w="6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8c9a042</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CI: push CI + scheduled evidence smoke (item 9.3 shape)</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Secret-gated no-op jobs; fail-loud; job summaries</w:t>
            </w:r>
          </w:p>
        </w:tc>
      </w:tr>
      <w:tr>
        <w:trPr>
          <w:cantSplit/>
        </w:trPr>
        <w:tc>
          <w:tcPr>
            <w:tcW w:type="pct" w:w="6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edb0a5b</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ORACLE_PIPELINE.md + README + live examples</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0"/>
                <w:szCs w:val="20"/>
              </w:rPr>
              <w:t xml:space="preserve">As-implemented interface record; custody runbook; secret-free artifacts</w:t>
            </w:r>
          </w:p>
        </w:tc>
      </w:tr>
    </w:tbl>
    <w:p>
      <w:pPr>
        <w:spacing w:after="120" w:line="312"/>
        <w:jc w:val="both"/>
      </w:pPr>
      <w:r>
        <w:rPr>
          <w:rFonts w:ascii="Times New Roman" w:eastAsia="SimSun"/>
          <w:color w:val="000000"/>
          <w:sz w:val="24"/>
          <w:szCs w:val="24"/>
        </w:rPr>
        <w:t xml:space="preserve">The delivered artifacts also include a git bundle and a source-tree archive in the owner-facing download directory, so the full six-commit history survives the workspace reset independently of the push. Key source files, for orientation: src/discovery.ts (raw JSON-RPC enumeration with the 160-byte identity slice), src/ingest.ts (durable ledger), src/evidence.ts and src/issue.ts (bundle build and destination-cluster issuance), src/verify.ts (the off-chain mirror of the on-chain check order), src/evidencePath.ts (the live matrix), src/journal.ts (replay guard), src/health.ts, and src/cli.ts (discover, collect, verify-path, health).</w:t>
      </w:r>
    </w:p>
    <w:p>
      <w:pPr>
        <w:pStyle w:val="Heading1"/>
        <w:spacing w:after="160" w:before="360" w:line="312"/>
      </w:pPr>
      <w:bookmarkStart w:name="_Toc15" w:id="15"/>
      <w:r>
        <w:rPr>
          <w:rFonts w:ascii="Times New Roman" w:eastAsia="SimHei"/>
          <w:b/>
          <w:bCs/>
          <w:color w:val="162235"/>
          <w:sz w:val="32"/>
          <w:szCs w:val="32"/>
        </w:rPr>
        <w:t xml:space="preserve">9. Remaining Blockers and Open Items</w:t>
      </w:r>
      <w:bookmarkEnd w:id="15"/>
    </w:p>
    <w:p>
      <w:pPr>
        <w:spacing w:after="120" w:line="312"/>
        <w:jc w:val="both"/>
      </w:pPr>
      <w:r>
        <w:rPr>
          <w:rFonts w:ascii="Times New Roman" w:eastAsia="SimSun"/>
          <w:color w:val="000000"/>
          <w:sz w:val="24"/>
          <w:szCs w:val="24"/>
        </w:rPr>
        <w:t xml:space="preserve">Push authorization is the immediate operational blocker. The repository GraveYield/grave-indexer was created successfully through the authenticated API (HTTP 201) with its description set, but the first push attempt was rejected with HTTP 403, and a contents-API write probe returned the same verdict: the fine-grained token's selected-repository scope predates the new repository. The token's org-level administration permission allowed creating the repository, but content writes require the repository inside the token's selection. Per the charter's discipline, no blind retries were attempted after the verdict was confirmed. The owner-side resolution is one of two actions: add GraveYield/grave-indexer to the token's repository selection, or issue a fresh token with organization-wide repository access including contents write; either way, the prepared history lands with a single runbook-command push followed by the usual API verification of head hash and author identity.</w:t>
      </w:r>
    </w:p>
    <w:p>
      <w:pPr>
        <w:spacing w:after="120" w:line="312"/>
        <w:jc w:val="both"/>
      </w:pPr>
      <w:r>
        <w:rPr>
          <w:rFonts w:ascii="Times New Roman" w:eastAsia="SimSun"/>
          <w:color w:val="000000"/>
          <w:sz w:val="24"/>
          <w:szCs w:val="24"/>
        </w:rPr>
        <w:t xml:space="preserve">The devnet evidence path has one remaining owner-gated link. Both configured oracles equal the deployer authority whose keypair was erased (queue item 9.5), so a fully valid attestation from any pipeline-controlled key reverts 6026 today. Resolution is either confirmation that an export of the deployer key exists (enabling update_protocol_config to register a dedicated oracle key, which is the recommended end state because the activity oracle should not be the program authority), or a DR-001-style fresh deployment under new keys. The pipeline is already prepared for both outcomes: setting ORACLE_IS_REGISTERED=true with a matching key file flips the canonical verification cases to full acceptance. The seven skipped program-level simulation cases need only a funded payer, 0.01 SOL is sufficient, because the devnet faucet remained rate-limited for the session; they run automatically in the next verify-path execution once funding exists. Finally, one protocol-side hardening follow-up is recommended for a future thread: raising the SDK's deriveLastSwapV4 yield for transactions with unresolved address-table lookups and version-1 transactions, coordinated with the salvor-bots byte-equal mirror in the same changeset, since live runs showed roughly four of five candidates skipped for these reasons. No live salvage has been attempted, in accordance with the standing directive that the evidence path be verified first; the verification achieved is everything except the owner-gated key equality.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ROMAN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arabic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GraveYield Engineering Handoff · Phase 2 ·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GraveYield Engineering Handoff · Phase 2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235"/>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62235"/>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2026-10-25T19:11:31.689Z</dcterms:created>
  <dcterms:modified xsi:type="dcterms:W3CDTF">2026-10-25T19:11:31.689Z</dcterms:modified>
</cp:coreProperties>
</file>

<file path=docProps/custom.xml><?xml version="1.0" encoding="utf-8"?>
<Properties xmlns="http://schemas.openxmlformats.org/officeDocument/2006/custom-properties" xmlns:vt="http://schemas.openxmlformats.org/officeDocument/2006/docPropsVTypes"/>
</file>