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80E84" w14:textId="77777777" w:rsidR="00C747E7" w:rsidRPr="00C747E7" w:rsidRDefault="00C747E7" w:rsidP="00C747E7">
      <w:pPr>
        <w:spacing w:after="0" w:line="480" w:lineRule="auto"/>
        <w:jc w:val="center"/>
        <w:rPr>
          <w:rFonts w:ascii="Times New Roman" w:hAnsi="Times New Roman" w:cs="Times New Roman"/>
          <w:b/>
          <w:bCs/>
        </w:rPr>
      </w:pPr>
      <w:r w:rsidRPr="00C747E7">
        <w:rPr>
          <w:rFonts w:ascii="Times New Roman" w:hAnsi="Times New Roman" w:cs="Times New Roman"/>
          <w:b/>
          <w:bCs/>
        </w:rPr>
        <w:t>Coaching &amp; Communication Toolkit</w:t>
      </w:r>
    </w:p>
    <w:p w14:paraId="1CD1CECC" w14:textId="77777777" w:rsidR="00C747E7" w:rsidRPr="00C747E7" w:rsidRDefault="00C747E7" w:rsidP="00C747E7">
      <w:pPr>
        <w:spacing w:after="0" w:line="480" w:lineRule="auto"/>
        <w:jc w:val="center"/>
        <w:rPr>
          <w:rFonts w:ascii="Times New Roman" w:hAnsi="Times New Roman" w:cs="Times New Roman"/>
        </w:rPr>
      </w:pPr>
      <w:r w:rsidRPr="00C747E7">
        <w:rPr>
          <w:rFonts w:ascii="Times New Roman" w:hAnsi="Times New Roman" w:cs="Times New Roman"/>
          <w:b/>
          <w:bCs/>
        </w:rPr>
        <w:t xml:space="preserve">Sai Ravi Teja </w:t>
      </w:r>
      <w:proofErr w:type="spellStart"/>
      <w:r w:rsidRPr="00C747E7">
        <w:rPr>
          <w:rFonts w:ascii="Times New Roman" w:hAnsi="Times New Roman" w:cs="Times New Roman"/>
          <w:b/>
          <w:bCs/>
        </w:rPr>
        <w:t>Garikipati</w:t>
      </w:r>
      <w:proofErr w:type="spellEnd"/>
      <w:r w:rsidRPr="00C747E7">
        <w:rPr>
          <w:rFonts w:ascii="Times New Roman" w:hAnsi="Times New Roman" w:cs="Times New Roman"/>
          <w:b/>
          <w:bCs/>
        </w:rPr>
        <w:t xml:space="preserve"> – IT Supervisor Readiness Portfolio</w:t>
      </w:r>
    </w:p>
    <w:p w14:paraId="2114B6B2" w14:textId="77777777" w:rsidR="00C747E7" w:rsidRPr="00C747E7" w:rsidRDefault="00C747E7" w:rsidP="00C747E7">
      <w:pPr>
        <w:spacing w:after="0" w:line="480" w:lineRule="auto"/>
        <w:rPr>
          <w:rFonts w:ascii="Times New Roman" w:hAnsi="Times New Roman" w:cs="Times New Roman"/>
          <w:b/>
          <w:bCs/>
        </w:rPr>
      </w:pPr>
      <w:r w:rsidRPr="00C747E7">
        <w:rPr>
          <w:rFonts w:ascii="Times New Roman" w:hAnsi="Times New Roman" w:cs="Times New Roman"/>
          <w:b/>
          <w:bCs/>
        </w:rPr>
        <w:t>1. Purpose</w:t>
      </w:r>
    </w:p>
    <w:p w14:paraId="32B198D1" w14:textId="77777777" w:rsidR="00C747E7" w:rsidRPr="00C747E7" w:rsidRDefault="00C747E7" w:rsidP="00C747E7">
      <w:pPr>
        <w:spacing w:after="0" w:line="480" w:lineRule="auto"/>
        <w:ind w:firstLine="720"/>
        <w:rPr>
          <w:rFonts w:ascii="Times New Roman" w:hAnsi="Times New Roman" w:cs="Times New Roman"/>
        </w:rPr>
      </w:pPr>
      <w:r w:rsidRPr="00C747E7">
        <w:rPr>
          <w:rFonts w:ascii="Times New Roman" w:hAnsi="Times New Roman" w:cs="Times New Roman"/>
        </w:rPr>
        <w:t>The purpose of this Coaching &amp; Communication Toolkit is to provide a structured framework for leading IT teams effectively. It outlines principles, methods, and tools that help supervisors communicate clearly, provide effective feedback, and support professional growth. By using this toolkit, IT leaders can create an environment where goals are aligned with organizational priorities, challenges are addressed promptly, and team performance is continuously improved (Northouse, 2021).</w:t>
      </w:r>
    </w:p>
    <w:p w14:paraId="58186C37" w14:textId="77777777" w:rsidR="00C747E7" w:rsidRPr="00C747E7" w:rsidRDefault="00C747E7" w:rsidP="00C747E7">
      <w:pPr>
        <w:spacing w:after="0" w:line="480" w:lineRule="auto"/>
        <w:rPr>
          <w:rFonts w:ascii="Times New Roman" w:hAnsi="Times New Roman" w:cs="Times New Roman"/>
          <w:b/>
          <w:bCs/>
        </w:rPr>
      </w:pPr>
      <w:r w:rsidRPr="00C747E7">
        <w:rPr>
          <w:rFonts w:ascii="Times New Roman" w:hAnsi="Times New Roman" w:cs="Times New Roman"/>
          <w:b/>
          <w:bCs/>
        </w:rPr>
        <w:t>2. Core Coaching Principles</w:t>
      </w:r>
    </w:p>
    <w:p w14:paraId="3BFC5A7D" w14:textId="77777777" w:rsidR="00C747E7" w:rsidRPr="00C747E7" w:rsidRDefault="00C747E7" w:rsidP="00C747E7">
      <w:pPr>
        <w:spacing w:after="0" w:line="480" w:lineRule="auto"/>
        <w:rPr>
          <w:rFonts w:ascii="Times New Roman" w:hAnsi="Times New Roman" w:cs="Times New Roman"/>
        </w:rPr>
      </w:pPr>
      <w:r w:rsidRPr="00C747E7">
        <w:rPr>
          <w:rFonts w:ascii="Times New Roman" w:hAnsi="Times New Roman" w:cs="Times New Roman"/>
        </w:rPr>
        <w:t>Effective coaching in an IT environment requires consistent application of leadership and communication strategies:</w:t>
      </w:r>
    </w:p>
    <w:p w14:paraId="5B284573" w14:textId="77777777" w:rsidR="00C747E7" w:rsidRPr="00C747E7" w:rsidRDefault="00C747E7" w:rsidP="00C747E7">
      <w:pPr>
        <w:numPr>
          <w:ilvl w:val="0"/>
          <w:numId w:val="1"/>
        </w:numPr>
        <w:spacing w:after="0" w:line="480" w:lineRule="auto"/>
        <w:rPr>
          <w:rFonts w:ascii="Times New Roman" w:hAnsi="Times New Roman" w:cs="Times New Roman"/>
        </w:rPr>
      </w:pPr>
      <w:r w:rsidRPr="00C747E7">
        <w:rPr>
          <w:rFonts w:ascii="Times New Roman" w:hAnsi="Times New Roman" w:cs="Times New Roman"/>
          <w:b/>
          <w:bCs/>
        </w:rPr>
        <w:t>Active Listening:</w:t>
      </w:r>
      <w:r w:rsidRPr="00C747E7">
        <w:rPr>
          <w:rFonts w:ascii="Times New Roman" w:hAnsi="Times New Roman" w:cs="Times New Roman"/>
        </w:rPr>
        <w:t xml:space="preserve"> Supervisors should fully concentrate on what team members are expressing, ask clarifying questions, and avoid interrupting. This ensures mutual understanding and builds trust (Goleman, 2017).</w:t>
      </w:r>
    </w:p>
    <w:p w14:paraId="32FD3707" w14:textId="77777777" w:rsidR="00C747E7" w:rsidRPr="00C747E7" w:rsidRDefault="00C747E7" w:rsidP="00C747E7">
      <w:pPr>
        <w:numPr>
          <w:ilvl w:val="0"/>
          <w:numId w:val="1"/>
        </w:numPr>
        <w:spacing w:after="0" w:line="480" w:lineRule="auto"/>
        <w:rPr>
          <w:rFonts w:ascii="Times New Roman" w:hAnsi="Times New Roman" w:cs="Times New Roman"/>
        </w:rPr>
      </w:pPr>
      <w:r w:rsidRPr="00C747E7">
        <w:rPr>
          <w:rFonts w:ascii="Times New Roman" w:hAnsi="Times New Roman" w:cs="Times New Roman"/>
          <w:b/>
          <w:bCs/>
        </w:rPr>
        <w:t>Constructive Feedback:</w:t>
      </w:r>
      <w:r w:rsidRPr="00C747E7">
        <w:rPr>
          <w:rFonts w:ascii="Times New Roman" w:hAnsi="Times New Roman" w:cs="Times New Roman"/>
        </w:rPr>
        <w:t xml:space="preserve"> Feedback should be specific, actionable, and framed in a positive manner to encourage growth rather than defensiveness (Gallup, 2023).</w:t>
      </w:r>
    </w:p>
    <w:p w14:paraId="3734D0C0" w14:textId="77777777" w:rsidR="00C747E7" w:rsidRPr="00C747E7" w:rsidRDefault="00C747E7" w:rsidP="00C747E7">
      <w:pPr>
        <w:numPr>
          <w:ilvl w:val="0"/>
          <w:numId w:val="1"/>
        </w:numPr>
        <w:spacing w:after="0" w:line="480" w:lineRule="auto"/>
        <w:rPr>
          <w:rFonts w:ascii="Times New Roman" w:hAnsi="Times New Roman" w:cs="Times New Roman"/>
        </w:rPr>
      </w:pPr>
      <w:r w:rsidRPr="00C747E7">
        <w:rPr>
          <w:rFonts w:ascii="Times New Roman" w:hAnsi="Times New Roman" w:cs="Times New Roman"/>
          <w:b/>
          <w:bCs/>
        </w:rPr>
        <w:t>Goal Alignment:</w:t>
      </w:r>
      <w:r w:rsidRPr="00C747E7">
        <w:rPr>
          <w:rFonts w:ascii="Times New Roman" w:hAnsi="Times New Roman" w:cs="Times New Roman"/>
        </w:rPr>
        <w:t xml:space="preserve"> Individual goals should be linked directly to broader organizational objectives, which increases engagement and accountability (Kaplan &amp; Norton, 2004).</w:t>
      </w:r>
    </w:p>
    <w:p w14:paraId="00391AFD" w14:textId="77777777" w:rsidR="00C747E7" w:rsidRPr="00C747E7" w:rsidRDefault="00C747E7" w:rsidP="00C747E7">
      <w:pPr>
        <w:numPr>
          <w:ilvl w:val="0"/>
          <w:numId w:val="1"/>
        </w:numPr>
        <w:spacing w:after="0" w:line="480" w:lineRule="auto"/>
        <w:rPr>
          <w:rFonts w:ascii="Times New Roman" w:hAnsi="Times New Roman" w:cs="Times New Roman"/>
        </w:rPr>
      </w:pPr>
      <w:r w:rsidRPr="00C747E7">
        <w:rPr>
          <w:rFonts w:ascii="Times New Roman" w:hAnsi="Times New Roman" w:cs="Times New Roman"/>
          <w:b/>
          <w:bCs/>
        </w:rPr>
        <w:t>Empowerment:</w:t>
      </w:r>
      <w:r w:rsidRPr="00C747E7">
        <w:rPr>
          <w:rFonts w:ascii="Times New Roman" w:hAnsi="Times New Roman" w:cs="Times New Roman"/>
        </w:rPr>
        <w:t xml:space="preserve"> Leaders should delegate tasks effectively, granting team members autonomy while providing guidance as needed (Northouse, 2021).</w:t>
      </w:r>
    </w:p>
    <w:p w14:paraId="29CD0918" w14:textId="77777777" w:rsidR="00C747E7" w:rsidRPr="00C747E7" w:rsidRDefault="00C747E7" w:rsidP="00C747E7">
      <w:pPr>
        <w:numPr>
          <w:ilvl w:val="0"/>
          <w:numId w:val="1"/>
        </w:numPr>
        <w:spacing w:after="0" w:line="480" w:lineRule="auto"/>
        <w:rPr>
          <w:rFonts w:ascii="Times New Roman" w:hAnsi="Times New Roman" w:cs="Times New Roman"/>
        </w:rPr>
      </w:pPr>
      <w:r w:rsidRPr="00C747E7">
        <w:rPr>
          <w:rFonts w:ascii="Times New Roman" w:hAnsi="Times New Roman" w:cs="Times New Roman"/>
          <w:b/>
          <w:bCs/>
        </w:rPr>
        <w:lastRenderedPageBreak/>
        <w:t>Continuous Development:</w:t>
      </w:r>
      <w:r w:rsidRPr="00C747E7">
        <w:rPr>
          <w:rFonts w:ascii="Times New Roman" w:hAnsi="Times New Roman" w:cs="Times New Roman"/>
        </w:rPr>
        <w:t xml:space="preserve"> Encouraging team members to pursue certifications, workshops, and skill-building activities strengthens both individual careers and organizational capability (SHRM, 2022).</w:t>
      </w:r>
    </w:p>
    <w:p w14:paraId="46F4082D" w14:textId="77777777" w:rsidR="00C747E7" w:rsidRPr="00C747E7" w:rsidRDefault="00C747E7" w:rsidP="00C747E7">
      <w:pPr>
        <w:spacing w:after="0" w:line="480" w:lineRule="auto"/>
        <w:rPr>
          <w:rFonts w:ascii="Times New Roman" w:hAnsi="Times New Roman" w:cs="Times New Roman"/>
          <w:b/>
          <w:bCs/>
        </w:rPr>
      </w:pPr>
      <w:r w:rsidRPr="00C747E7">
        <w:rPr>
          <w:rFonts w:ascii="Times New Roman" w:hAnsi="Times New Roman" w:cs="Times New Roman"/>
          <w:b/>
          <w:bCs/>
        </w:rPr>
        <w:t>3. Communication Framework</w:t>
      </w:r>
    </w:p>
    <w:p w14:paraId="1AEA76AC" w14:textId="77777777" w:rsidR="00C747E7" w:rsidRPr="00C747E7" w:rsidRDefault="00C747E7" w:rsidP="00C747E7">
      <w:pPr>
        <w:spacing w:after="0" w:line="480" w:lineRule="auto"/>
        <w:rPr>
          <w:rFonts w:ascii="Times New Roman" w:hAnsi="Times New Roman" w:cs="Times New Roman"/>
        </w:rPr>
      </w:pPr>
      <w:r w:rsidRPr="00C747E7">
        <w:rPr>
          <w:rFonts w:ascii="Times New Roman" w:hAnsi="Times New Roman" w:cs="Times New Roman"/>
        </w:rPr>
        <w:t>A clear communication framework ensures that all team members are informed, engaged, and working toward shared objectives.</w:t>
      </w:r>
    </w:p>
    <w:p w14:paraId="2FD77389" w14:textId="77777777" w:rsidR="00C747E7" w:rsidRPr="00C747E7" w:rsidRDefault="00C747E7" w:rsidP="00C747E7">
      <w:pPr>
        <w:numPr>
          <w:ilvl w:val="0"/>
          <w:numId w:val="2"/>
        </w:numPr>
        <w:spacing w:after="0" w:line="480" w:lineRule="auto"/>
        <w:rPr>
          <w:rFonts w:ascii="Times New Roman" w:hAnsi="Times New Roman" w:cs="Times New Roman"/>
        </w:rPr>
      </w:pPr>
      <w:r w:rsidRPr="00C747E7">
        <w:rPr>
          <w:rFonts w:ascii="Times New Roman" w:hAnsi="Times New Roman" w:cs="Times New Roman"/>
          <w:b/>
          <w:bCs/>
        </w:rPr>
        <w:t>Daily Stand-Ups:</w:t>
      </w:r>
      <w:r w:rsidRPr="00C747E7">
        <w:rPr>
          <w:rFonts w:ascii="Times New Roman" w:hAnsi="Times New Roman" w:cs="Times New Roman"/>
        </w:rPr>
        <w:t xml:space="preserve"> Brief, 15-minute meetings help review tasks, discuss blockers, and align priorities (Project Management Institute, 2021).</w:t>
      </w:r>
    </w:p>
    <w:p w14:paraId="77781A72" w14:textId="77777777" w:rsidR="00C747E7" w:rsidRPr="00C747E7" w:rsidRDefault="00C747E7" w:rsidP="00C747E7">
      <w:pPr>
        <w:numPr>
          <w:ilvl w:val="0"/>
          <w:numId w:val="2"/>
        </w:numPr>
        <w:spacing w:after="0" w:line="480" w:lineRule="auto"/>
        <w:rPr>
          <w:rFonts w:ascii="Times New Roman" w:hAnsi="Times New Roman" w:cs="Times New Roman"/>
        </w:rPr>
      </w:pPr>
      <w:r w:rsidRPr="00C747E7">
        <w:rPr>
          <w:rFonts w:ascii="Times New Roman" w:hAnsi="Times New Roman" w:cs="Times New Roman"/>
          <w:b/>
          <w:bCs/>
        </w:rPr>
        <w:t>Weekly Team Briefings:</w:t>
      </w:r>
      <w:r w:rsidRPr="00C747E7">
        <w:rPr>
          <w:rFonts w:ascii="Times New Roman" w:hAnsi="Times New Roman" w:cs="Times New Roman"/>
        </w:rPr>
        <w:t xml:space="preserve"> These provide updates on KPIs, project timelines, and upcoming organizational changes.</w:t>
      </w:r>
    </w:p>
    <w:p w14:paraId="559B72C9" w14:textId="77777777" w:rsidR="00C747E7" w:rsidRPr="00C747E7" w:rsidRDefault="00C747E7" w:rsidP="00C747E7">
      <w:pPr>
        <w:numPr>
          <w:ilvl w:val="0"/>
          <w:numId w:val="2"/>
        </w:numPr>
        <w:spacing w:after="0" w:line="480" w:lineRule="auto"/>
        <w:rPr>
          <w:rFonts w:ascii="Times New Roman" w:hAnsi="Times New Roman" w:cs="Times New Roman"/>
        </w:rPr>
      </w:pPr>
      <w:r w:rsidRPr="00C747E7">
        <w:rPr>
          <w:rFonts w:ascii="Times New Roman" w:hAnsi="Times New Roman" w:cs="Times New Roman"/>
          <w:b/>
          <w:bCs/>
        </w:rPr>
        <w:t>Monthly One-on-Ones:</w:t>
      </w:r>
      <w:r w:rsidRPr="00C747E7">
        <w:rPr>
          <w:rFonts w:ascii="Times New Roman" w:hAnsi="Times New Roman" w:cs="Times New Roman"/>
        </w:rPr>
        <w:t xml:space="preserve"> Personalized coaching sessions allow discussion of performance, career goals, and concerns (Gallup, 2023).</w:t>
      </w:r>
    </w:p>
    <w:p w14:paraId="478F6E19" w14:textId="77777777" w:rsidR="00C747E7" w:rsidRPr="00C747E7" w:rsidRDefault="00C747E7" w:rsidP="00C747E7">
      <w:pPr>
        <w:numPr>
          <w:ilvl w:val="0"/>
          <w:numId w:val="2"/>
        </w:numPr>
        <w:spacing w:after="0" w:line="480" w:lineRule="auto"/>
        <w:rPr>
          <w:rFonts w:ascii="Times New Roman" w:hAnsi="Times New Roman" w:cs="Times New Roman"/>
        </w:rPr>
      </w:pPr>
      <w:r w:rsidRPr="00C747E7">
        <w:rPr>
          <w:rFonts w:ascii="Times New Roman" w:hAnsi="Times New Roman" w:cs="Times New Roman"/>
          <w:b/>
          <w:bCs/>
        </w:rPr>
        <w:t>Incident Escalation Protocol:</w:t>
      </w:r>
      <w:r w:rsidRPr="00C747E7">
        <w:rPr>
          <w:rFonts w:ascii="Times New Roman" w:hAnsi="Times New Roman" w:cs="Times New Roman"/>
        </w:rPr>
        <w:t xml:space="preserve"> A clearly defined communication chain prevents delays and ensures urgent technical issues are handled efficiently (Axelos, 2019).</w:t>
      </w:r>
    </w:p>
    <w:p w14:paraId="647F9031" w14:textId="77777777" w:rsidR="00C747E7" w:rsidRPr="00C747E7" w:rsidRDefault="00C747E7" w:rsidP="00C747E7">
      <w:pPr>
        <w:numPr>
          <w:ilvl w:val="0"/>
          <w:numId w:val="2"/>
        </w:numPr>
        <w:spacing w:after="0" w:line="480" w:lineRule="auto"/>
        <w:rPr>
          <w:rFonts w:ascii="Times New Roman" w:hAnsi="Times New Roman" w:cs="Times New Roman"/>
        </w:rPr>
      </w:pPr>
      <w:r w:rsidRPr="00C747E7">
        <w:rPr>
          <w:rFonts w:ascii="Times New Roman" w:hAnsi="Times New Roman" w:cs="Times New Roman"/>
          <w:b/>
          <w:bCs/>
        </w:rPr>
        <w:t>Transparent Reporting:</w:t>
      </w:r>
      <w:r w:rsidRPr="00C747E7">
        <w:rPr>
          <w:rFonts w:ascii="Times New Roman" w:hAnsi="Times New Roman" w:cs="Times New Roman"/>
        </w:rPr>
        <w:t xml:space="preserve"> Regular updates to stakeholders promote accountability and trust (Northouse, 2021).</w:t>
      </w:r>
    </w:p>
    <w:p w14:paraId="7B41084F" w14:textId="77777777" w:rsidR="00C747E7" w:rsidRPr="00C747E7" w:rsidRDefault="00C747E7" w:rsidP="00C747E7">
      <w:pPr>
        <w:spacing w:after="0" w:line="480" w:lineRule="auto"/>
        <w:rPr>
          <w:rFonts w:ascii="Times New Roman" w:hAnsi="Times New Roman" w:cs="Times New Roman"/>
          <w:b/>
          <w:bCs/>
        </w:rPr>
      </w:pPr>
      <w:r w:rsidRPr="00C747E7">
        <w:rPr>
          <w:rFonts w:ascii="Times New Roman" w:hAnsi="Times New Roman" w:cs="Times New Roman"/>
          <w:b/>
          <w:bCs/>
        </w:rPr>
        <w:t>4. Tools and Templates</w:t>
      </w:r>
    </w:p>
    <w:p w14:paraId="08E8B9A9" w14:textId="77777777" w:rsidR="00C747E7" w:rsidRPr="00C747E7" w:rsidRDefault="00C747E7" w:rsidP="00C747E7">
      <w:pPr>
        <w:spacing w:after="0" w:line="480" w:lineRule="auto"/>
        <w:rPr>
          <w:rFonts w:ascii="Times New Roman" w:hAnsi="Times New Roman" w:cs="Times New Roman"/>
        </w:rPr>
      </w:pPr>
      <w:r w:rsidRPr="00C747E7">
        <w:rPr>
          <w:rFonts w:ascii="Times New Roman" w:hAnsi="Times New Roman" w:cs="Times New Roman"/>
          <w:b/>
          <w:bCs/>
        </w:rPr>
        <w:t>A. Meeting Agenda Template</w:t>
      </w:r>
    </w:p>
    <w:p w14:paraId="63273EB7" w14:textId="77777777" w:rsidR="00C747E7" w:rsidRPr="00C747E7" w:rsidRDefault="00C747E7" w:rsidP="00C747E7">
      <w:pPr>
        <w:numPr>
          <w:ilvl w:val="0"/>
          <w:numId w:val="3"/>
        </w:numPr>
        <w:spacing w:after="0" w:line="480" w:lineRule="auto"/>
        <w:rPr>
          <w:rFonts w:ascii="Times New Roman" w:hAnsi="Times New Roman" w:cs="Times New Roman"/>
        </w:rPr>
      </w:pPr>
      <w:r w:rsidRPr="00C747E7">
        <w:rPr>
          <w:rFonts w:ascii="Times New Roman" w:hAnsi="Times New Roman" w:cs="Times New Roman"/>
        </w:rPr>
        <w:t>Date and time of meeting</w:t>
      </w:r>
    </w:p>
    <w:p w14:paraId="739DE6C4" w14:textId="77777777" w:rsidR="00C747E7" w:rsidRPr="00C747E7" w:rsidRDefault="00C747E7" w:rsidP="00C747E7">
      <w:pPr>
        <w:numPr>
          <w:ilvl w:val="0"/>
          <w:numId w:val="3"/>
        </w:numPr>
        <w:spacing w:after="0" w:line="480" w:lineRule="auto"/>
        <w:rPr>
          <w:rFonts w:ascii="Times New Roman" w:hAnsi="Times New Roman" w:cs="Times New Roman"/>
        </w:rPr>
      </w:pPr>
      <w:r w:rsidRPr="00C747E7">
        <w:rPr>
          <w:rFonts w:ascii="Times New Roman" w:hAnsi="Times New Roman" w:cs="Times New Roman"/>
        </w:rPr>
        <w:t>List of participants</w:t>
      </w:r>
    </w:p>
    <w:p w14:paraId="0BAAE9D0" w14:textId="77777777" w:rsidR="00C747E7" w:rsidRPr="00C747E7" w:rsidRDefault="00C747E7" w:rsidP="00C747E7">
      <w:pPr>
        <w:numPr>
          <w:ilvl w:val="0"/>
          <w:numId w:val="3"/>
        </w:numPr>
        <w:spacing w:after="0" w:line="480" w:lineRule="auto"/>
        <w:rPr>
          <w:rFonts w:ascii="Times New Roman" w:hAnsi="Times New Roman" w:cs="Times New Roman"/>
        </w:rPr>
      </w:pPr>
      <w:r w:rsidRPr="00C747E7">
        <w:rPr>
          <w:rFonts w:ascii="Times New Roman" w:hAnsi="Times New Roman" w:cs="Times New Roman"/>
        </w:rPr>
        <w:t>Agenda items in order of discussion</w:t>
      </w:r>
    </w:p>
    <w:p w14:paraId="36D886BD" w14:textId="77777777" w:rsidR="00C747E7" w:rsidRPr="00C747E7" w:rsidRDefault="00C747E7" w:rsidP="00C747E7">
      <w:pPr>
        <w:numPr>
          <w:ilvl w:val="0"/>
          <w:numId w:val="3"/>
        </w:numPr>
        <w:spacing w:after="0" w:line="480" w:lineRule="auto"/>
        <w:rPr>
          <w:rFonts w:ascii="Times New Roman" w:hAnsi="Times New Roman" w:cs="Times New Roman"/>
        </w:rPr>
      </w:pPr>
      <w:r w:rsidRPr="00C747E7">
        <w:rPr>
          <w:rFonts w:ascii="Times New Roman" w:hAnsi="Times New Roman" w:cs="Times New Roman"/>
        </w:rPr>
        <w:t>Notes and discussion outcomes</w:t>
      </w:r>
    </w:p>
    <w:p w14:paraId="2BB5C0A7" w14:textId="77777777" w:rsidR="00C747E7" w:rsidRPr="00C747E7" w:rsidRDefault="00C747E7" w:rsidP="00C747E7">
      <w:pPr>
        <w:numPr>
          <w:ilvl w:val="0"/>
          <w:numId w:val="3"/>
        </w:numPr>
        <w:spacing w:after="0" w:line="480" w:lineRule="auto"/>
        <w:rPr>
          <w:rFonts w:ascii="Times New Roman" w:hAnsi="Times New Roman" w:cs="Times New Roman"/>
        </w:rPr>
      </w:pPr>
      <w:r w:rsidRPr="00C747E7">
        <w:rPr>
          <w:rFonts w:ascii="Times New Roman" w:hAnsi="Times New Roman" w:cs="Times New Roman"/>
        </w:rPr>
        <w:t>Action items with responsible person and deadlines</w:t>
      </w:r>
    </w:p>
    <w:p w14:paraId="76AC7EC9" w14:textId="77777777" w:rsidR="00C747E7" w:rsidRPr="00C747E7" w:rsidRDefault="00C747E7" w:rsidP="00C747E7">
      <w:pPr>
        <w:spacing w:after="0" w:line="480" w:lineRule="auto"/>
        <w:rPr>
          <w:rFonts w:ascii="Times New Roman" w:hAnsi="Times New Roman" w:cs="Times New Roman"/>
        </w:rPr>
      </w:pPr>
      <w:r w:rsidRPr="00C747E7">
        <w:rPr>
          <w:rFonts w:ascii="Times New Roman" w:hAnsi="Times New Roman" w:cs="Times New Roman"/>
          <w:b/>
          <w:bCs/>
        </w:rPr>
        <w:lastRenderedPageBreak/>
        <w:t>B. Feedback Form</w:t>
      </w:r>
    </w:p>
    <w:p w14:paraId="5288E718" w14:textId="77777777" w:rsidR="00C747E7" w:rsidRPr="00C747E7" w:rsidRDefault="00C747E7" w:rsidP="00C747E7">
      <w:pPr>
        <w:numPr>
          <w:ilvl w:val="0"/>
          <w:numId w:val="4"/>
        </w:numPr>
        <w:spacing w:after="0" w:line="480" w:lineRule="auto"/>
        <w:rPr>
          <w:rFonts w:ascii="Times New Roman" w:hAnsi="Times New Roman" w:cs="Times New Roman"/>
        </w:rPr>
      </w:pPr>
      <w:r w:rsidRPr="00C747E7">
        <w:rPr>
          <w:rFonts w:ascii="Times New Roman" w:hAnsi="Times New Roman" w:cs="Times New Roman"/>
          <w:b/>
          <w:bCs/>
        </w:rPr>
        <w:t>Situation:</w:t>
      </w:r>
      <w:r w:rsidRPr="00C747E7">
        <w:rPr>
          <w:rFonts w:ascii="Times New Roman" w:hAnsi="Times New Roman" w:cs="Times New Roman"/>
        </w:rPr>
        <w:t xml:space="preserve"> Description of the incident or achievement.</w:t>
      </w:r>
    </w:p>
    <w:p w14:paraId="69166A25" w14:textId="77777777" w:rsidR="00C747E7" w:rsidRPr="00C747E7" w:rsidRDefault="00C747E7" w:rsidP="00C747E7">
      <w:pPr>
        <w:numPr>
          <w:ilvl w:val="0"/>
          <w:numId w:val="4"/>
        </w:numPr>
        <w:spacing w:after="0" w:line="480" w:lineRule="auto"/>
        <w:rPr>
          <w:rFonts w:ascii="Times New Roman" w:hAnsi="Times New Roman" w:cs="Times New Roman"/>
        </w:rPr>
      </w:pPr>
      <w:r w:rsidRPr="00C747E7">
        <w:rPr>
          <w:rFonts w:ascii="Times New Roman" w:hAnsi="Times New Roman" w:cs="Times New Roman"/>
          <w:b/>
          <w:bCs/>
        </w:rPr>
        <w:t>Observation:</w:t>
      </w:r>
      <w:r w:rsidRPr="00C747E7">
        <w:rPr>
          <w:rFonts w:ascii="Times New Roman" w:hAnsi="Times New Roman" w:cs="Times New Roman"/>
        </w:rPr>
        <w:t xml:space="preserve"> Notable strengths demonstrated.</w:t>
      </w:r>
    </w:p>
    <w:p w14:paraId="1BF2F2E6" w14:textId="77777777" w:rsidR="00C747E7" w:rsidRPr="00C747E7" w:rsidRDefault="00C747E7" w:rsidP="00C747E7">
      <w:pPr>
        <w:numPr>
          <w:ilvl w:val="0"/>
          <w:numId w:val="4"/>
        </w:numPr>
        <w:spacing w:after="0" w:line="480" w:lineRule="auto"/>
        <w:rPr>
          <w:rFonts w:ascii="Times New Roman" w:hAnsi="Times New Roman" w:cs="Times New Roman"/>
        </w:rPr>
      </w:pPr>
      <w:r w:rsidRPr="00C747E7">
        <w:rPr>
          <w:rFonts w:ascii="Times New Roman" w:hAnsi="Times New Roman" w:cs="Times New Roman"/>
          <w:b/>
          <w:bCs/>
        </w:rPr>
        <w:t>Improvement:</w:t>
      </w:r>
      <w:r w:rsidRPr="00C747E7">
        <w:rPr>
          <w:rFonts w:ascii="Times New Roman" w:hAnsi="Times New Roman" w:cs="Times New Roman"/>
        </w:rPr>
        <w:t xml:space="preserve"> Specific suggestions for better performance.</w:t>
      </w:r>
    </w:p>
    <w:p w14:paraId="525D12C8" w14:textId="77777777" w:rsidR="00C747E7" w:rsidRPr="00C747E7" w:rsidRDefault="00C747E7" w:rsidP="00C747E7">
      <w:pPr>
        <w:numPr>
          <w:ilvl w:val="0"/>
          <w:numId w:val="4"/>
        </w:numPr>
        <w:spacing w:after="0" w:line="480" w:lineRule="auto"/>
        <w:rPr>
          <w:rFonts w:ascii="Times New Roman" w:hAnsi="Times New Roman" w:cs="Times New Roman"/>
        </w:rPr>
      </w:pPr>
      <w:r w:rsidRPr="00C747E7">
        <w:rPr>
          <w:rFonts w:ascii="Times New Roman" w:hAnsi="Times New Roman" w:cs="Times New Roman"/>
          <w:b/>
          <w:bCs/>
        </w:rPr>
        <w:t>Support:</w:t>
      </w:r>
      <w:r w:rsidRPr="00C747E7">
        <w:rPr>
          <w:rFonts w:ascii="Times New Roman" w:hAnsi="Times New Roman" w:cs="Times New Roman"/>
        </w:rPr>
        <w:t xml:space="preserve"> Resources or training needed.</w:t>
      </w:r>
    </w:p>
    <w:p w14:paraId="57A66975" w14:textId="77777777" w:rsidR="00C747E7" w:rsidRPr="00C747E7" w:rsidRDefault="00C747E7" w:rsidP="00C747E7">
      <w:pPr>
        <w:spacing w:after="0" w:line="480" w:lineRule="auto"/>
        <w:rPr>
          <w:rFonts w:ascii="Times New Roman" w:hAnsi="Times New Roman" w:cs="Times New Roman"/>
        </w:rPr>
      </w:pPr>
      <w:r w:rsidRPr="00C747E7">
        <w:rPr>
          <w:rFonts w:ascii="Times New Roman" w:hAnsi="Times New Roman" w:cs="Times New Roman"/>
          <w:b/>
          <w:bCs/>
        </w:rPr>
        <w:t>C. Escalation Chart</w:t>
      </w:r>
    </w:p>
    <w:p w14:paraId="26288F70" w14:textId="77777777" w:rsidR="00C747E7" w:rsidRPr="00C747E7" w:rsidRDefault="00C747E7" w:rsidP="00C747E7">
      <w:pPr>
        <w:numPr>
          <w:ilvl w:val="0"/>
          <w:numId w:val="5"/>
        </w:numPr>
        <w:spacing w:after="0" w:line="480" w:lineRule="auto"/>
        <w:rPr>
          <w:rFonts w:ascii="Times New Roman" w:hAnsi="Times New Roman" w:cs="Times New Roman"/>
        </w:rPr>
      </w:pPr>
      <w:r w:rsidRPr="00C747E7">
        <w:rPr>
          <w:rFonts w:ascii="Times New Roman" w:hAnsi="Times New Roman" w:cs="Times New Roman"/>
          <w:b/>
          <w:bCs/>
        </w:rPr>
        <w:t>Tier 1:</w:t>
      </w:r>
      <w:r w:rsidRPr="00C747E7">
        <w:rPr>
          <w:rFonts w:ascii="Times New Roman" w:hAnsi="Times New Roman" w:cs="Times New Roman"/>
        </w:rPr>
        <w:t xml:space="preserve"> Help Desk / First Response – within 30 minutes</w:t>
      </w:r>
    </w:p>
    <w:p w14:paraId="7D137EAC" w14:textId="77777777" w:rsidR="00C747E7" w:rsidRPr="00C747E7" w:rsidRDefault="00C747E7" w:rsidP="00C747E7">
      <w:pPr>
        <w:numPr>
          <w:ilvl w:val="0"/>
          <w:numId w:val="5"/>
        </w:numPr>
        <w:spacing w:after="0" w:line="480" w:lineRule="auto"/>
        <w:rPr>
          <w:rFonts w:ascii="Times New Roman" w:hAnsi="Times New Roman" w:cs="Times New Roman"/>
        </w:rPr>
      </w:pPr>
      <w:r w:rsidRPr="00C747E7">
        <w:rPr>
          <w:rFonts w:ascii="Times New Roman" w:hAnsi="Times New Roman" w:cs="Times New Roman"/>
          <w:b/>
          <w:bCs/>
        </w:rPr>
        <w:t>Tier 2:</w:t>
      </w:r>
      <w:r w:rsidRPr="00C747E7">
        <w:rPr>
          <w:rFonts w:ascii="Times New Roman" w:hAnsi="Times New Roman" w:cs="Times New Roman"/>
        </w:rPr>
        <w:t xml:space="preserve"> Team Lead / Specialist – within 2 hours</w:t>
      </w:r>
    </w:p>
    <w:p w14:paraId="6FEF7528" w14:textId="77777777" w:rsidR="00C747E7" w:rsidRPr="00C747E7" w:rsidRDefault="00C747E7" w:rsidP="00C747E7">
      <w:pPr>
        <w:numPr>
          <w:ilvl w:val="0"/>
          <w:numId w:val="5"/>
        </w:numPr>
        <w:spacing w:after="0" w:line="480" w:lineRule="auto"/>
        <w:rPr>
          <w:rFonts w:ascii="Times New Roman" w:hAnsi="Times New Roman" w:cs="Times New Roman"/>
        </w:rPr>
      </w:pPr>
      <w:r w:rsidRPr="00C747E7">
        <w:rPr>
          <w:rFonts w:ascii="Times New Roman" w:hAnsi="Times New Roman" w:cs="Times New Roman"/>
          <w:b/>
          <w:bCs/>
        </w:rPr>
        <w:t>Tier 3:</w:t>
      </w:r>
      <w:r w:rsidRPr="00C747E7">
        <w:rPr>
          <w:rFonts w:ascii="Times New Roman" w:hAnsi="Times New Roman" w:cs="Times New Roman"/>
        </w:rPr>
        <w:t xml:space="preserve"> Supervisor / Manager – within 4 hours</w:t>
      </w:r>
    </w:p>
    <w:p w14:paraId="506E764B" w14:textId="77777777" w:rsidR="00C747E7" w:rsidRPr="00C747E7" w:rsidRDefault="00C747E7" w:rsidP="00C747E7">
      <w:pPr>
        <w:spacing w:after="0" w:line="480" w:lineRule="auto"/>
        <w:rPr>
          <w:rFonts w:ascii="Times New Roman" w:hAnsi="Times New Roman" w:cs="Times New Roman"/>
        </w:rPr>
      </w:pPr>
      <w:r w:rsidRPr="00C747E7">
        <w:rPr>
          <w:rFonts w:ascii="Times New Roman" w:hAnsi="Times New Roman" w:cs="Times New Roman"/>
        </w:rPr>
        <w:t>Templates should be stored in an accessible shared location, such as a project management tool, so the entire team can use them consistently (Project Management Institute, 2021).</w:t>
      </w:r>
    </w:p>
    <w:p w14:paraId="43836521" w14:textId="77777777" w:rsidR="00C747E7" w:rsidRPr="00C747E7" w:rsidRDefault="00C747E7" w:rsidP="00C747E7">
      <w:pPr>
        <w:spacing w:after="0" w:line="480" w:lineRule="auto"/>
        <w:rPr>
          <w:rFonts w:ascii="Times New Roman" w:hAnsi="Times New Roman" w:cs="Times New Roman"/>
          <w:b/>
          <w:bCs/>
        </w:rPr>
      </w:pPr>
      <w:r w:rsidRPr="00C747E7">
        <w:rPr>
          <w:rFonts w:ascii="Times New Roman" w:hAnsi="Times New Roman" w:cs="Times New Roman"/>
          <w:b/>
          <w:bCs/>
        </w:rPr>
        <w:t>5. Communication Channels</w:t>
      </w:r>
    </w:p>
    <w:p w14:paraId="22CB8A9E" w14:textId="77777777" w:rsidR="00C747E7" w:rsidRPr="00C747E7" w:rsidRDefault="00C747E7" w:rsidP="00C747E7">
      <w:pPr>
        <w:spacing w:after="0" w:line="480" w:lineRule="auto"/>
        <w:rPr>
          <w:rFonts w:ascii="Times New Roman" w:hAnsi="Times New Roman" w:cs="Times New Roman"/>
        </w:rPr>
      </w:pPr>
      <w:r w:rsidRPr="00C747E7">
        <w:rPr>
          <w:rFonts w:ascii="Times New Roman" w:hAnsi="Times New Roman" w:cs="Times New Roman"/>
        </w:rPr>
        <w:t>Different communication tools should be used for different purposes to maximize clarity and efficiency:</w:t>
      </w:r>
    </w:p>
    <w:p w14:paraId="75918AE3" w14:textId="77777777" w:rsidR="00C747E7" w:rsidRPr="00C747E7" w:rsidRDefault="00C747E7" w:rsidP="00C747E7">
      <w:pPr>
        <w:numPr>
          <w:ilvl w:val="0"/>
          <w:numId w:val="6"/>
        </w:numPr>
        <w:spacing w:after="0" w:line="480" w:lineRule="auto"/>
        <w:rPr>
          <w:rFonts w:ascii="Times New Roman" w:hAnsi="Times New Roman" w:cs="Times New Roman"/>
        </w:rPr>
      </w:pPr>
      <w:r w:rsidRPr="00C747E7">
        <w:rPr>
          <w:rFonts w:ascii="Times New Roman" w:hAnsi="Times New Roman" w:cs="Times New Roman"/>
          <w:b/>
          <w:bCs/>
        </w:rPr>
        <w:t>Email:</w:t>
      </w:r>
      <w:r w:rsidRPr="00C747E7">
        <w:rPr>
          <w:rFonts w:ascii="Times New Roman" w:hAnsi="Times New Roman" w:cs="Times New Roman"/>
        </w:rPr>
        <w:t xml:space="preserve"> Used for formal communications, documentation, and detailed updates.</w:t>
      </w:r>
    </w:p>
    <w:p w14:paraId="6B8A2F35" w14:textId="77777777" w:rsidR="00C747E7" w:rsidRPr="00C747E7" w:rsidRDefault="00C747E7" w:rsidP="00C747E7">
      <w:pPr>
        <w:numPr>
          <w:ilvl w:val="0"/>
          <w:numId w:val="6"/>
        </w:numPr>
        <w:spacing w:after="0" w:line="480" w:lineRule="auto"/>
        <w:rPr>
          <w:rFonts w:ascii="Times New Roman" w:hAnsi="Times New Roman" w:cs="Times New Roman"/>
        </w:rPr>
      </w:pPr>
      <w:r w:rsidRPr="00C747E7">
        <w:rPr>
          <w:rFonts w:ascii="Times New Roman" w:hAnsi="Times New Roman" w:cs="Times New Roman"/>
          <w:b/>
          <w:bCs/>
        </w:rPr>
        <w:t>Instant Messaging (Slack or Microsoft Teams):</w:t>
      </w:r>
      <w:r w:rsidRPr="00C747E7">
        <w:rPr>
          <w:rFonts w:ascii="Times New Roman" w:hAnsi="Times New Roman" w:cs="Times New Roman"/>
        </w:rPr>
        <w:t xml:space="preserve"> Best for quick collaboration and clarifications.</w:t>
      </w:r>
    </w:p>
    <w:p w14:paraId="2F41F120" w14:textId="77777777" w:rsidR="00C747E7" w:rsidRPr="00C747E7" w:rsidRDefault="00C747E7" w:rsidP="00C747E7">
      <w:pPr>
        <w:numPr>
          <w:ilvl w:val="0"/>
          <w:numId w:val="6"/>
        </w:numPr>
        <w:spacing w:after="0" w:line="480" w:lineRule="auto"/>
        <w:rPr>
          <w:rFonts w:ascii="Times New Roman" w:hAnsi="Times New Roman" w:cs="Times New Roman"/>
        </w:rPr>
      </w:pPr>
      <w:r w:rsidRPr="00C747E7">
        <w:rPr>
          <w:rFonts w:ascii="Times New Roman" w:hAnsi="Times New Roman" w:cs="Times New Roman"/>
          <w:b/>
          <w:bCs/>
        </w:rPr>
        <w:t>Project Management Tools (Jira, Trello, Asana):</w:t>
      </w:r>
      <w:r w:rsidRPr="00C747E7">
        <w:rPr>
          <w:rFonts w:ascii="Times New Roman" w:hAnsi="Times New Roman" w:cs="Times New Roman"/>
        </w:rPr>
        <w:t xml:space="preserve"> Track task progress, assignments, and deadlines (Kaplan &amp; Norton, 2004).</w:t>
      </w:r>
    </w:p>
    <w:p w14:paraId="0FCC2F9F" w14:textId="77777777" w:rsidR="00C747E7" w:rsidRPr="00C747E7" w:rsidRDefault="00C747E7" w:rsidP="00C747E7">
      <w:pPr>
        <w:numPr>
          <w:ilvl w:val="0"/>
          <w:numId w:val="6"/>
        </w:numPr>
        <w:spacing w:after="0" w:line="480" w:lineRule="auto"/>
        <w:rPr>
          <w:rFonts w:ascii="Times New Roman" w:hAnsi="Times New Roman" w:cs="Times New Roman"/>
        </w:rPr>
      </w:pPr>
      <w:r w:rsidRPr="00C747E7">
        <w:rPr>
          <w:rFonts w:ascii="Times New Roman" w:hAnsi="Times New Roman" w:cs="Times New Roman"/>
          <w:b/>
          <w:bCs/>
        </w:rPr>
        <w:t>Video Conferencing (Zoom, Google Meet):</w:t>
      </w:r>
      <w:r w:rsidRPr="00C747E7">
        <w:rPr>
          <w:rFonts w:ascii="Times New Roman" w:hAnsi="Times New Roman" w:cs="Times New Roman"/>
        </w:rPr>
        <w:t xml:space="preserve"> Conduct remote meetings, interviews, and training sessions.</w:t>
      </w:r>
    </w:p>
    <w:p w14:paraId="19BF4F77" w14:textId="77777777" w:rsidR="00C747E7" w:rsidRPr="00C747E7" w:rsidRDefault="00C747E7" w:rsidP="00C747E7">
      <w:pPr>
        <w:spacing w:after="0" w:line="480" w:lineRule="auto"/>
        <w:rPr>
          <w:rFonts w:ascii="Times New Roman" w:hAnsi="Times New Roman" w:cs="Times New Roman"/>
          <w:b/>
          <w:bCs/>
        </w:rPr>
      </w:pPr>
      <w:r w:rsidRPr="00C747E7">
        <w:rPr>
          <w:rFonts w:ascii="Times New Roman" w:hAnsi="Times New Roman" w:cs="Times New Roman"/>
          <w:b/>
          <w:bCs/>
        </w:rPr>
        <w:t>6. Key Performance Indicators for Coaching</w:t>
      </w:r>
    </w:p>
    <w:p w14:paraId="5B584838" w14:textId="77777777" w:rsidR="00C747E7" w:rsidRPr="00C747E7" w:rsidRDefault="00C747E7" w:rsidP="00C747E7">
      <w:pPr>
        <w:spacing w:after="0" w:line="480" w:lineRule="auto"/>
        <w:rPr>
          <w:rFonts w:ascii="Times New Roman" w:hAnsi="Times New Roman" w:cs="Times New Roman"/>
        </w:rPr>
      </w:pPr>
      <w:r w:rsidRPr="00C747E7">
        <w:rPr>
          <w:rFonts w:ascii="Times New Roman" w:hAnsi="Times New Roman" w:cs="Times New Roman"/>
        </w:rPr>
        <w:lastRenderedPageBreak/>
        <w:t>To measure the effectiveness of coaching and communication, the following KPIs should be tracked:</w:t>
      </w:r>
    </w:p>
    <w:p w14:paraId="64D76AD4" w14:textId="77777777" w:rsidR="00C747E7" w:rsidRPr="00C747E7" w:rsidRDefault="00C747E7" w:rsidP="00C747E7">
      <w:pPr>
        <w:numPr>
          <w:ilvl w:val="0"/>
          <w:numId w:val="7"/>
        </w:numPr>
        <w:spacing w:after="0" w:line="480" w:lineRule="auto"/>
        <w:rPr>
          <w:rFonts w:ascii="Times New Roman" w:hAnsi="Times New Roman" w:cs="Times New Roman"/>
        </w:rPr>
      </w:pPr>
      <w:r w:rsidRPr="00C747E7">
        <w:rPr>
          <w:rFonts w:ascii="Times New Roman" w:hAnsi="Times New Roman" w:cs="Times New Roman"/>
          <w:b/>
          <w:bCs/>
        </w:rPr>
        <w:t>Team Engagement Score:</w:t>
      </w:r>
      <w:r w:rsidRPr="00C747E7">
        <w:rPr>
          <w:rFonts w:ascii="Times New Roman" w:hAnsi="Times New Roman" w:cs="Times New Roman"/>
        </w:rPr>
        <w:t xml:space="preserve"> Measured through quarterly surveys (Gallup, 2023).</w:t>
      </w:r>
    </w:p>
    <w:p w14:paraId="372A22BB" w14:textId="77777777" w:rsidR="00C747E7" w:rsidRPr="00C747E7" w:rsidRDefault="00C747E7" w:rsidP="00C747E7">
      <w:pPr>
        <w:numPr>
          <w:ilvl w:val="0"/>
          <w:numId w:val="7"/>
        </w:numPr>
        <w:spacing w:after="0" w:line="480" w:lineRule="auto"/>
        <w:rPr>
          <w:rFonts w:ascii="Times New Roman" w:hAnsi="Times New Roman" w:cs="Times New Roman"/>
        </w:rPr>
      </w:pPr>
      <w:r w:rsidRPr="00C747E7">
        <w:rPr>
          <w:rFonts w:ascii="Times New Roman" w:hAnsi="Times New Roman" w:cs="Times New Roman"/>
          <w:b/>
          <w:bCs/>
        </w:rPr>
        <w:t>Goal Completion Rate:</w:t>
      </w:r>
      <w:r w:rsidRPr="00C747E7">
        <w:rPr>
          <w:rFonts w:ascii="Times New Roman" w:hAnsi="Times New Roman" w:cs="Times New Roman"/>
        </w:rPr>
        <w:t xml:space="preserve"> Percentage of goals met on time across the team.</w:t>
      </w:r>
    </w:p>
    <w:p w14:paraId="66831FFF" w14:textId="77777777" w:rsidR="00C747E7" w:rsidRPr="00C747E7" w:rsidRDefault="00C747E7" w:rsidP="00C747E7">
      <w:pPr>
        <w:numPr>
          <w:ilvl w:val="0"/>
          <w:numId w:val="7"/>
        </w:numPr>
        <w:spacing w:after="0" w:line="480" w:lineRule="auto"/>
        <w:rPr>
          <w:rFonts w:ascii="Times New Roman" w:hAnsi="Times New Roman" w:cs="Times New Roman"/>
        </w:rPr>
      </w:pPr>
      <w:r w:rsidRPr="00C747E7">
        <w:rPr>
          <w:rFonts w:ascii="Times New Roman" w:hAnsi="Times New Roman" w:cs="Times New Roman"/>
          <w:b/>
          <w:bCs/>
        </w:rPr>
        <w:t>Skill Development Hours:</w:t>
      </w:r>
      <w:r w:rsidRPr="00C747E7">
        <w:rPr>
          <w:rFonts w:ascii="Times New Roman" w:hAnsi="Times New Roman" w:cs="Times New Roman"/>
        </w:rPr>
        <w:t xml:space="preserve"> Average number of hours per employee dedicated to training.</w:t>
      </w:r>
    </w:p>
    <w:p w14:paraId="4F6F5F17" w14:textId="77777777" w:rsidR="00C747E7" w:rsidRPr="00C747E7" w:rsidRDefault="00C747E7" w:rsidP="00C747E7">
      <w:pPr>
        <w:numPr>
          <w:ilvl w:val="0"/>
          <w:numId w:val="7"/>
        </w:numPr>
        <w:spacing w:after="0" w:line="480" w:lineRule="auto"/>
        <w:rPr>
          <w:rFonts w:ascii="Times New Roman" w:hAnsi="Times New Roman" w:cs="Times New Roman"/>
        </w:rPr>
      </w:pPr>
      <w:r w:rsidRPr="00C747E7">
        <w:rPr>
          <w:rFonts w:ascii="Times New Roman" w:hAnsi="Times New Roman" w:cs="Times New Roman"/>
          <w:b/>
          <w:bCs/>
        </w:rPr>
        <w:t>Feedback Implementation Rate:</w:t>
      </w:r>
      <w:r w:rsidRPr="00C747E7">
        <w:rPr>
          <w:rFonts w:ascii="Times New Roman" w:hAnsi="Times New Roman" w:cs="Times New Roman"/>
        </w:rPr>
        <w:t xml:space="preserve"> Percentage of agreed action points from feedback sessions implemented within the set timeframe.</w:t>
      </w:r>
    </w:p>
    <w:p w14:paraId="538646B7" w14:textId="77777777" w:rsidR="00C747E7" w:rsidRPr="00C747E7" w:rsidRDefault="00C747E7" w:rsidP="00C747E7">
      <w:pPr>
        <w:spacing w:after="0" w:line="480" w:lineRule="auto"/>
        <w:rPr>
          <w:rFonts w:ascii="Times New Roman" w:hAnsi="Times New Roman" w:cs="Times New Roman"/>
          <w:b/>
          <w:bCs/>
        </w:rPr>
      </w:pPr>
      <w:r w:rsidRPr="00C747E7">
        <w:rPr>
          <w:rFonts w:ascii="Times New Roman" w:hAnsi="Times New Roman" w:cs="Times New Roman"/>
          <w:b/>
          <w:bCs/>
        </w:rPr>
        <w:t>7. Best Practices</w:t>
      </w:r>
    </w:p>
    <w:p w14:paraId="6153BC69" w14:textId="77777777" w:rsidR="00C747E7" w:rsidRPr="00C747E7" w:rsidRDefault="00C747E7" w:rsidP="00C747E7">
      <w:pPr>
        <w:numPr>
          <w:ilvl w:val="0"/>
          <w:numId w:val="8"/>
        </w:numPr>
        <w:spacing w:after="0" w:line="480" w:lineRule="auto"/>
        <w:rPr>
          <w:rFonts w:ascii="Times New Roman" w:hAnsi="Times New Roman" w:cs="Times New Roman"/>
        </w:rPr>
      </w:pPr>
      <w:r w:rsidRPr="00C747E7">
        <w:rPr>
          <w:rFonts w:ascii="Times New Roman" w:hAnsi="Times New Roman" w:cs="Times New Roman"/>
        </w:rPr>
        <w:t>Maintain documentation for all coaching sessions to ensure accountability and reference.</w:t>
      </w:r>
    </w:p>
    <w:p w14:paraId="646FF17E" w14:textId="77777777" w:rsidR="00C747E7" w:rsidRPr="00C747E7" w:rsidRDefault="00C747E7" w:rsidP="00C747E7">
      <w:pPr>
        <w:numPr>
          <w:ilvl w:val="0"/>
          <w:numId w:val="8"/>
        </w:numPr>
        <w:spacing w:after="0" w:line="480" w:lineRule="auto"/>
        <w:rPr>
          <w:rFonts w:ascii="Times New Roman" w:hAnsi="Times New Roman" w:cs="Times New Roman"/>
        </w:rPr>
      </w:pPr>
      <w:r w:rsidRPr="00C747E7">
        <w:rPr>
          <w:rFonts w:ascii="Times New Roman" w:hAnsi="Times New Roman" w:cs="Times New Roman"/>
        </w:rPr>
        <w:t>Recognize achievements immediately to motivate and reinforce positive behavior (Goleman, 2017).</w:t>
      </w:r>
    </w:p>
    <w:p w14:paraId="35905773" w14:textId="77777777" w:rsidR="00C747E7" w:rsidRPr="00C747E7" w:rsidRDefault="00C747E7" w:rsidP="00C747E7">
      <w:pPr>
        <w:numPr>
          <w:ilvl w:val="0"/>
          <w:numId w:val="8"/>
        </w:numPr>
        <w:spacing w:after="0" w:line="480" w:lineRule="auto"/>
        <w:rPr>
          <w:rFonts w:ascii="Times New Roman" w:hAnsi="Times New Roman" w:cs="Times New Roman"/>
        </w:rPr>
      </w:pPr>
      <w:r w:rsidRPr="00C747E7">
        <w:rPr>
          <w:rFonts w:ascii="Times New Roman" w:hAnsi="Times New Roman" w:cs="Times New Roman"/>
        </w:rPr>
        <w:t>Keep all communication professional, clear, and concise.</w:t>
      </w:r>
    </w:p>
    <w:p w14:paraId="7D77A719" w14:textId="77777777" w:rsidR="00C747E7" w:rsidRPr="00C747E7" w:rsidRDefault="00C747E7" w:rsidP="00C747E7">
      <w:pPr>
        <w:numPr>
          <w:ilvl w:val="0"/>
          <w:numId w:val="8"/>
        </w:numPr>
        <w:spacing w:after="0" w:line="480" w:lineRule="auto"/>
        <w:rPr>
          <w:rFonts w:ascii="Times New Roman" w:hAnsi="Times New Roman" w:cs="Times New Roman"/>
        </w:rPr>
      </w:pPr>
      <w:r w:rsidRPr="00C747E7">
        <w:rPr>
          <w:rFonts w:ascii="Times New Roman" w:hAnsi="Times New Roman" w:cs="Times New Roman"/>
        </w:rPr>
        <w:t>Foster a psychologically safe environment where team members feel comfortable sharing ideas and concerns (SHRM, 2022).</w:t>
      </w:r>
    </w:p>
    <w:p w14:paraId="5D2656E3" w14:textId="4558E87D" w:rsidR="00C747E7" w:rsidRPr="00C747E7" w:rsidRDefault="00C747E7" w:rsidP="00C747E7">
      <w:pPr>
        <w:spacing w:after="0" w:line="480" w:lineRule="auto"/>
        <w:jc w:val="center"/>
        <w:rPr>
          <w:rFonts w:ascii="Times New Roman" w:hAnsi="Times New Roman" w:cs="Times New Roman"/>
          <w:b/>
          <w:bCs/>
        </w:rPr>
      </w:pPr>
      <w:r w:rsidRPr="00C747E7">
        <w:rPr>
          <w:rFonts w:ascii="Times New Roman" w:hAnsi="Times New Roman" w:cs="Times New Roman"/>
          <w:b/>
          <w:bCs/>
        </w:rPr>
        <w:t>Reference Standards</w:t>
      </w:r>
    </w:p>
    <w:p w14:paraId="22E034E2" w14:textId="77777777" w:rsidR="00C747E7" w:rsidRPr="00C747E7" w:rsidRDefault="00C747E7" w:rsidP="00C747E7">
      <w:pPr>
        <w:spacing w:after="0" w:line="480" w:lineRule="auto"/>
        <w:rPr>
          <w:rFonts w:ascii="Times New Roman" w:hAnsi="Times New Roman" w:cs="Times New Roman"/>
        </w:rPr>
      </w:pPr>
      <w:r w:rsidRPr="00C747E7">
        <w:rPr>
          <w:rFonts w:ascii="Times New Roman" w:hAnsi="Times New Roman" w:cs="Times New Roman"/>
        </w:rPr>
        <w:t>This toolkit incorporates principles from recognized leadership and management frameworks:</w:t>
      </w:r>
    </w:p>
    <w:p w14:paraId="0E598398" w14:textId="77777777" w:rsidR="00C747E7" w:rsidRPr="00C747E7" w:rsidRDefault="00C747E7" w:rsidP="00C747E7">
      <w:pPr>
        <w:numPr>
          <w:ilvl w:val="0"/>
          <w:numId w:val="9"/>
        </w:numPr>
        <w:spacing w:after="0" w:line="480" w:lineRule="auto"/>
        <w:rPr>
          <w:rFonts w:ascii="Times New Roman" w:hAnsi="Times New Roman" w:cs="Times New Roman"/>
        </w:rPr>
      </w:pPr>
      <w:r w:rsidRPr="00C747E7">
        <w:rPr>
          <w:rFonts w:ascii="Times New Roman" w:hAnsi="Times New Roman" w:cs="Times New Roman"/>
          <w:b/>
          <w:bCs/>
        </w:rPr>
        <w:t>ITIL® Service Management</w:t>
      </w:r>
      <w:r w:rsidRPr="00C747E7">
        <w:rPr>
          <w:rFonts w:ascii="Times New Roman" w:hAnsi="Times New Roman" w:cs="Times New Roman"/>
        </w:rPr>
        <w:t xml:space="preserve"> for incident handling and escalation (Axelos, 2019).</w:t>
      </w:r>
    </w:p>
    <w:p w14:paraId="1B1A0842" w14:textId="77777777" w:rsidR="00C747E7" w:rsidRPr="00C747E7" w:rsidRDefault="00C747E7" w:rsidP="00C747E7">
      <w:pPr>
        <w:numPr>
          <w:ilvl w:val="0"/>
          <w:numId w:val="9"/>
        </w:numPr>
        <w:spacing w:after="0" w:line="480" w:lineRule="auto"/>
        <w:rPr>
          <w:rFonts w:ascii="Times New Roman" w:hAnsi="Times New Roman" w:cs="Times New Roman"/>
        </w:rPr>
      </w:pPr>
      <w:r w:rsidRPr="00C747E7">
        <w:rPr>
          <w:rFonts w:ascii="Times New Roman" w:hAnsi="Times New Roman" w:cs="Times New Roman"/>
          <w:b/>
          <w:bCs/>
        </w:rPr>
        <w:t>Gallup Engagement Model</w:t>
      </w:r>
      <w:r w:rsidRPr="00C747E7">
        <w:rPr>
          <w:rFonts w:ascii="Times New Roman" w:hAnsi="Times New Roman" w:cs="Times New Roman"/>
        </w:rPr>
        <w:t xml:space="preserve"> for coaching effectiveness (Gallup, 2023).</w:t>
      </w:r>
    </w:p>
    <w:p w14:paraId="50BB7BA1" w14:textId="77777777" w:rsidR="00C747E7" w:rsidRPr="00C747E7" w:rsidRDefault="00C747E7" w:rsidP="00C747E7">
      <w:pPr>
        <w:numPr>
          <w:ilvl w:val="0"/>
          <w:numId w:val="9"/>
        </w:numPr>
        <w:spacing w:after="0" w:line="480" w:lineRule="auto"/>
        <w:rPr>
          <w:rFonts w:ascii="Times New Roman" w:hAnsi="Times New Roman" w:cs="Times New Roman"/>
        </w:rPr>
      </w:pPr>
      <w:r w:rsidRPr="00C747E7">
        <w:rPr>
          <w:rFonts w:ascii="Times New Roman" w:hAnsi="Times New Roman" w:cs="Times New Roman"/>
          <w:b/>
          <w:bCs/>
        </w:rPr>
        <w:t>Northouse Leadership Theory</w:t>
      </w:r>
      <w:r w:rsidRPr="00C747E7">
        <w:rPr>
          <w:rFonts w:ascii="Times New Roman" w:hAnsi="Times New Roman" w:cs="Times New Roman"/>
        </w:rPr>
        <w:t xml:space="preserve"> for communication strategy (Northouse, 2021).</w:t>
      </w:r>
    </w:p>
    <w:p w14:paraId="3A90DCE2" w14:textId="5673E2D8" w:rsidR="00C747E7" w:rsidRDefault="00C747E7" w:rsidP="00C747E7">
      <w:pPr>
        <w:numPr>
          <w:ilvl w:val="0"/>
          <w:numId w:val="9"/>
        </w:numPr>
        <w:spacing w:after="0" w:line="480" w:lineRule="auto"/>
        <w:rPr>
          <w:rFonts w:ascii="Times New Roman" w:hAnsi="Times New Roman" w:cs="Times New Roman"/>
        </w:rPr>
      </w:pPr>
      <w:r w:rsidRPr="00C747E7">
        <w:rPr>
          <w:rFonts w:ascii="Times New Roman" w:hAnsi="Times New Roman" w:cs="Times New Roman"/>
          <w:b/>
          <w:bCs/>
        </w:rPr>
        <w:t>PMBOK® Guide</w:t>
      </w:r>
      <w:r w:rsidRPr="00C747E7">
        <w:rPr>
          <w:rFonts w:ascii="Times New Roman" w:hAnsi="Times New Roman" w:cs="Times New Roman"/>
        </w:rPr>
        <w:t xml:space="preserve"> for structured project communication (Project Management Institute, 2021).</w:t>
      </w:r>
    </w:p>
    <w:p w14:paraId="716F8825" w14:textId="77777777" w:rsidR="00C747E7" w:rsidRDefault="00C747E7" w:rsidP="00C747E7">
      <w:pPr>
        <w:spacing w:after="0" w:line="480" w:lineRule="auto"/>
        <w:ind w:left="360"/>
        <w:rPr>
          <w:rFonts w:ascii="Times New Roman" w:hAnsi="Times New Roman" w:cs="Times New Roman"/>
          <w:b/>
          <w:bCs/>
        </w:rPr>
      </w:pPr>
    </w:p>
    <w:p w14:paraId="0F530BBA" w14:textId="77777777" w:rsidR="00C747E7" w:rsidRDefault="00C747E7" w:rsidP="00C747E7">
      <w:pPr>
        <w:spacing w:after="0" w:line="480" w:lineRule="auto"/>
        <w:ind w:left="360"/>
        <w:rPr>
          <w:rFonts w:ascii="Times New Roman" w:hAnsi="Times New Roman" w:cs="Times New Roman"/>
          <w:b/>
          <w:bCs/>
        </w:rPr>
      </w:pPr>
    </w:p>
    <w:p w14:paraId="0B6C4279" w14:textId="533EDDAB" w:rsidR="00C747E7" w:rsidRPr="00C747E7" w:rsidRDefault="00C747E7" w:rsidP="00C747E7">
      <w:pPr>
        <w:spacing w:after="0" w:line="480" w:lineRule="auto"/>
        <w:ind w:left="360"/>
        <w:jc w:val="center"/>
        <w:rPr>
          <w:rFonts w:ascii="Times New Roman" w:hAnsi="Times New Roman" w:cs="Times New Roman"/>
        </w:rPr>
      </w:pPr>
      <w:r w:rsidRPr="00C747E7">
        <w:rPr>
          <w:rFonts w:ascii="Times New Roman" w:hAnsi="Times New Roman" w:cs="Times New Roman"/>
          <w:b/>
          <w:bCs/>
        </w:rPr>
        <w:lastRenderedPageBreak/>
        <w:t>Reference</w:t>
      </w:r>
    </w:p>
    <w:p w14:paraId="28B8F6FA" w14:textId="77777777" w:rsidR="00C747E7" w:rsidRDefault="00C747E7" w:rsidP="00C747E7">
      <w:pPr>
        <w:pStyle w:val="NormalWeb"/>
        <w:numPr>
          <w:ilvl w:val="0"/>
          <w:numId w:val="9"/>
        </w:numPr>
      </w:pPr>
      <w:r>
        <w:t xml:space="preserve">Axelos. (2019). </w:t>
      </w:r>
      <w:r>
        <w:rPr>
          <w:rStyle w:val="Emphasis"/>
          <w:rFonts w:eastAsiaTheme="majorEastAsia"/>
        </w:rPr>
        <w:t>ITIL Foundation: ITIL 4 edition</w:t>
      </w:r>
      <w:r>
        <w:t>. TSO. https://www.axelos.com/best-practice-solutions/itil</w:t>
      </w:r>
    </w:p>
    <w:p w14:paraId="5AE79B2D" w14:textId="77777777" w:rsidR="00C747E7" w:rsidRDefault="00C747E7" w:rsidP="00C747E7">
      <w:pPr>
        <w:pStyle w:val="NormalWeb"/>
        <w:numPr>
          <w:ilvl w:val="0"/>
          <w:numId w:val="9"/>
        </w:numPr>
      </w:pPr>
      <w:r>
        <w:t xml:space="preserve">Gallup. (2023). </w:t>
      </w:r>
      <w:r>
        <w:rPr>
          <w:rStyle w:val="Emphasis"/>
          <w:rFonts w:eastAsiaTheme="majorEastAsia"/>
        </w:rPr>
        <w:t>State of the global workplace</w:t>
      </w:r>
      <w:r>
        <w:t>. Gallup Press. https://www.gallup.com/workplace/349484/state-of-the-global-workplace.aspx</w:t>
      </w:r>
    </w:p>
    <w:p w14:paraId="0238FCB2" w14:textId="77777777" w:rsidR="00C747E7" w:rsidRDefault="00C747E7" w:rsidP="00C747E7">
      <w:pPr>
        <w:pStyle w:val="NormalWeb"/>
        <w:numPr>
          <w:ilvl w:val="0"/>
          <w:numId w:val="9"/>
        </w:numPr>
      </w:pPr>
      <w:r>
        <w:t xml:space="preserve">Goleman, D. (2017). </w:t>
      </w:r>
      <w:r>
        <w:rPr>
          <w:rStyle w:val="Emphasis"/>
          <w:rFonts w:eastAsiaTheme="majorEastAsia"/>
        </w:rPr>
        <w:t>Leadership that gets results</w:t>
      </w:r>
      <w:r>
        <w:t xml:space="preserve">. Harvard Business Review Press. </w:t>
      </w:r>
      <w:hyperlink r:id="rId5" w:tgtFrame="_new" w:history="1">
        <w:r>
          <w:rPr>
            <w:rStyle w:val="Hyperlink"/>
            <w:rFonts w:eastAsiaTheme="majorEastAsia"/>
          </w:rPr>
          <w:t>https://hbr.org/2000/03/leadership-that-gets-results</w:t>
        </w:r>
      </w:hyperlink>
    </w:p>
    <w:p w14:paraId="5F42E8FE" w14:textId="77777777" w:rsidR="00C747E7" w:rsidRDefault="00C747E7" w:rsidP="00C747E7">
      <w:pPr>
        <w:pStyle w:val="NormalWeb"/>
        <w:numPr>
          <w:ilvl w:val="0"/>
          <w:numId w:val="9"/>
        </w:numPr>
      </w:pPr>
      <w:r>
        <w:t xml:space="preserve">Kaplan, R. S., &amp; Norton, D. P. (2004). </w:t>
      </w:r>
      <w:r>
        <w:rPr>
          <w:rStyle w:val="Emphasis"/>
          <w:rFonts w:eastAsiaTheme="majorEastAsia"/>
        </w:rPr>
        <w:t>Strategy maps: Converting intangible assets into tangible outcomes</w:t>
      </w:r>
      <w:r>
        <w:t xml:space="preserve">. Harvard Business Press. </w:t>
      </w:r>
      <w:hyperlink r:id="rId6" w:tgtFrame="_new" w:history="1">
        <w:r>
          <w:rPr>
            <w:rStyle w:val="Hyperlink"/>
            <w:rFonts w:eastAsiaTheme="majorEastAsia"/>
          </w:rPr>
          <w:t>https://hbr.org/product/strategy-maps-converting-intangible-assets-into-tangible-outcomes/10501-HBK-ENG</w:t>
        </w:r>
      </w:hyperlink>
    </w:p>
    <w:p w14:paraId="24F13830" w14:textId="77777777" w:rsidR="00C747E7" w:rsidRDefault="00C747E7" w:rsidP="00C747E7">
      <w:pPr>
        <w:pStyle w:val="NormalWeb"/>
        <w:numPr>
          <w:ilvl w:val="0"/>
          <w:numId w:val="9"/>
        </w:numPr>
      </w:pPr>
      <w:r>
        <w:t xml:space="preserve">Northouse, P. G. (2021). </w:t>
      </w:r>
      <w:r>
        <w:rPr>
          <w:rStyle w:val="Emphasis"/>
          <w:rFonts w:eastAsiaTheme="majorEastAsia"/>
        </w:rPr>
        <w:t>Leadership: Theory and practice</w:t>
      </w:r>
      <w:r>
        <w:t xml:space="preserve"> (9th ed.). Sage Publications. https://us.sagepub.com/en-us/nam/leadership/book270486</w:t>
      </w:r>
    </w:p>
    <w:p w14:paraId="550540BC" w14:textId="77777777" w:rsidR="00C747E7" w:rsidRDefault="00C747E7" w:rsidP="00C747E7">
      <w:pPr>
        <w:pStyle w:val="NormalWeb"/>
        <w:numPr>
          <w:ilvl w:val="0"/>
          <w:numId w:val="9"/>
        </w:numPr>
      </w:pPr>
      <w:r>
        <w:t xml:space="preserve">Project Management Institute. (2021). </w:t>
      </w:r>
      <w:r>
        <w:rPr>
          <w:rStyle w:val="Emphasis"/>
          <w:rFonts w:eastAsiaTheme="majorEastAsia"/>
        </w:rPr>
        <w:t>A guide to the project management body of knowledge (PMBOK® Guide) – Seventh Edition</w:t>
      </w:r>
      <w:r>
        <w:t>. Project Management Institute. https://www.pmi.org/pmbok-guide-standards/foundational/pmbok</w:t>
      </w:r>
    </w:p>
    <w:p w14:paraId="45914816" w14:textId="77777777" w:rsidR="00C747E7" w:rsidRDefault="00C747E7" w:rsidP="00C747E7">
      <w:pPr>
        <w:pStyle w:val="NormalWeb"/>
        <w:numPr>
          <w:ilvl w:val="0"/>
          <w:numId w:val="9"/>
        </w:numPr>
      </w:pPr>
      <w:r>
        <w:t xml:space="preserve">Society for Human Resource Management. (2022). </w:t>
      </w:r>
      <w:r>
        <w:rPr>
          <w:rStyle w:val="Emphasis"/>
          <w:rFonts w:eastAsiaTheme="majorEastAsia"/>
        </w:rPr>
        <w:t>Diversity, equity and inclusion report</w:t>
      </w:r>
      <w:r>
        <w:t>. SHRM. https://www.shrm.org/resourcesandtools/hr-topics/behavioral-competencies/global-and-cultural-effectiveness/pages/shrm-dei-report-2022.aspx</w:t>
      </w:r>
    </w:p>
    <w:p w14:paraId="62F71307" w14:textId="77777777" w:rsidR="0068485F" w:rsidRPr="00C747E7" w:rsidRDefault="0068485F" w:rsidP="00C747E7">
      <w:pPr>
        <w:spacing w:after="0" w:line="480" w:lineRule="auto"/>
        <w:rPr>
          <w:rFonts w:ascii="Times New Roman" w:hAnsi="Times New Roman" w:cs="Times New Roman"/>
        </w:rPr>
      </w:pPr>
    </w:p>
    <w:sectPr w:rsidR="0068485F" w:rsidRPr="00C74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46EF5"/>
    <w:multiLevelType w:val="multilevel"/>
    <w:tmpl w:val="F406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90A82"/>
    <w:multiLevelType w:val="multilevel"/>
    <w:tmpl w:val="B59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B225F"/>
    <w:multiLevelType w:val="multilevel"/>
    <w:tmpl w:val="B4FA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B5C5C"/>
    <w:multiLevelType w:val="multilevel"/>
    <w:tmpl w:val="E67E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05450"/>
    <w:multiLevelType w:val="multilevel"/>
    <w:tmpl w:val="6F20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00607"/>
    <w:multiLevelType w:val="multilevel"/>
    <w:tmpl w:val="C6AE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B0150"/>
    <w:multiLevelType w:val="multilevel"/>
    <w:tmpl w:val="24C6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6742D2"/>
    <w:multiLevelType w:val="multilevel"/>
    <w:tmpl w:val="8D3E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5A25D1"/>
    <w:multiLevelType w:val="multilevel"/>
    <w:tmpl w:val="1022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198947">
    <w:abstractNumId w:val="8"/>
  </w:num>
  <w:num w:numId="2" w16cid:durableId="1527282848">
    <w:abstractNumId w:val="1"/>
  </w:num>
  <w:num w:numId="3" w16cid:durableId="1543443768">
    <w:abstractNumId w:val="7"/>
  </w:num>
  <w:num w:numId="4" w16cid:durableId="1959408884">
    <w:abstractNumId w:val="2"/>
  </w:num>
  <w:num w:numId="5" w16cid:durableId="843281404">
    <w:abstractNumId w:val="0"/>
  </w:num>
  <w:num w:numId="6" w16cid:durableId="1266232995">
    <w:abstractNumId w:val="4"/>
  </w:num>
  <w:num w:numId="7" w16cid:durableId="877594125">
    <w:abstractNumId w:val="6"/>
  </w:num>
  <w:num w:numId="8" w16cid:durableId="2106799318">
    <w:abstractNumId w:val="5"/>
  </w:num>
  <w:num w:numId="9" w16cid:durableId="656300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47E7"/>
    <w:rsid w:val="0068485F"/>
    <w:rsid w:val="006A3343"/>
    <w:rsid w:val="009E71D7"/>
    <w:rsid w:val="00A224CE"/>
    <w:rsid w:val="00A22EA9"/>
    <w:rsid w:val="00C747E7"/>
    <w:rsid w:val="00F4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6617"/>
  <w15:chartTrackingRefBased/>
  <w15:docId w15:val="{37620AD3-B041-4B28-99D4-14D0083B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7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7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7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7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7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7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7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7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7E7"/>
    <w:rPr>
      <w:rFonts w:eastAsiaTheme="majorEastAsia" w:cstheme="majorBidi"/>
      <w:color w:val="272727" w:themeColor="text1" w:themeTint="D8"/>
    </w:rPr>
  </w:style>
  <w:style w:type="paragraph" w:styleId="Title">
    <w:name w:val="Title"/>
    <w:basedOn w:val="Normal"/>
    <w:next w:val="Normal"/>
    <w:link w:val="TitleChar"/>
    <w:uiPriority w:val="10"/>
    <w:qFormat/>
    <w:rsid w:val="00C74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7E7"/>
    <w:pPr>
      <w:spacing w:before="160"/>
      <w:jc w:val="center"/>
    </w:pPr>
    <w:rPr>
      <w:i/>
      <w:iCs/>
      <w:color w:val="404040" w:themeColor="text1" w:themeTint="BF"/>
    </w:rPr>
  </w:style>
  <w:style w:type="character" w:customStyle="1" w:styleId="QuoteChar">
    <w:name w:val="Quote Char"/>
    <w:basedOn w:val="DefaultParagraphFont"/>
    <w:link w:val="Quote"/>
    <w:uiPriority w:val="29"/>
    <w:rsid w:val="00C747E7"/>
    <w:rPr>
      <w:i/>
      <w:iCs/>
      <w:color w:val="404040" w:themeColor="text1" w:themeTint="BF"/>
    </w:rPr>
  </w:style>
  <w:style w:type="paragraph" w:styleId="ListParagraph">
    <w:name w:val="List Paragraph"/>
    <w:basedOn w:val="Normal"/>
    <w:uiPriority w:val="34"/>
    <w:qFormat/>
    <w:rsid w:val="00C747E7"/>
    <w:pPr>
      <w:ind w:left="720"/>
      <w:contextualSpacing/>
    </w:pPr>
  </w:style>
  <w:style w:type="character" w:styleId="IntenseEmphasis">
    <w:name w:val="Intense Emphasis"/>
    <w:basedOn w:val="DefaultParagraphFont"/>
    <w:uiPriority w:val="21"/>
    <w:qFormat/>
    <w:rsid w:val="00C747E7"/>
    <w:rPr>
      <w:i/>
      <w:iCs/>
      <w:color w:val="0F4761" w:themeColor="accent1" w:themeShade="BF"/>
    </w:rPr>
  </w:style>
  <w:style w:type="paragraph" w:styleId="IntenseQuote">
    <w:name w:val="Intense Quote"/>
    <w:basedOn w:val="Normal"/>
    <w:next w:val="Normal"/>
    <w:link w:val="IntenseQuoteChar"/>
    <w:uiPriority w:val="30"/>
    <w:qFormat/>
    <w:rsid w:val="00C74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7E7"/>
    <w:rPr>
      <w:i/>
      <w:iCs/>
      <w:color w:val="0F4761" w:themeColor="accent1" w:themeShade="BF"/>
    </w:rPr>
  </w:style>
  <w:style w:type="character" w:styleId="IntenseReference">
    <w:name w:val="Intense Reference"/>
    <w:basedOn w:val="DefaultParagraphFont"/>
    <w:uiPriority w:val="32"/>
    <w:qFormat/>
    <w:rsid w:val="00C747E7"/>
    <w:rPr>
      <w:b/>
      <w:bCs/>
      <w:smallCaps/>
      <w:color w:val="0F4761" w:themeColor="accent1" w:themeShade="BF"/>
      <w:spacing w:val="5"/>
    </w:rPr>
  </w:style>
  <w:style w:type="paragraph" w:styleId="NormalWeb">
    <w:name w:val="Normal (Web)"/>
    <w:basedOn w:val="Normal"/>
    <w:uiPriority w:val="99"/>
    <w:semiHidden/>
    <w:unhideWhenUsed/>
    <w:rsid w:val="00C747E7"/>
    <w:pPr>
      <w:spacing w:before="100" w:beforeAutospacing="1" w:after="100" w:afterAutospacing="1" w:line="240" w:lineRule="auto"/>
    </w:pPr>
    <w:rPr>
      <w:rFonts w:ascii="Times New Roman" w:eastAsia="Times New Roman" w:hAnsi="Times New Roman" w:cs="Times New Roman"/>
      <w:kern w:val="0"/>
    </w:rPr>
  </w:style>
  <w:style w:type="character" w:styleId="Emphasis">
    <w:name w:val="Emphasis"/>
    <w:basedOn w:val="DefaultParagraphFont"/>
    <w:uiPriority w:val="20"/>
    <w:qFormat/>
    <w:rsid w:val="00C747E7"/>
    <w:rPr>
      <w:i/>
      <w:iCs/>
    </w:rPr>
  </w:style>
  <w:style w:type="character" w:styleId="Hyperlink">
    <w:name w:val="Hyperlink"/>
    <w:basedOn w:val="DefaultParagraphFont"/>
    <w:uiPriority w:val="99"/>
    <w:semiHidden/>
    <w:unhideWhenUsed/>
    <w:rsid w:val="00C74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product/strategy-maps-converting-intangible-assets-into-tangible-outcomes/10501-HBK-ENG" TargetMode="External"/><Relationship Id="rId5" Type="http://schemas.openxmlformats.org/officeDocument/2006/relationships/hyperlink" Target="https://hbr.org/2000/03/leadership-that-gets-resul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957</Words>
  <Characters>5457</Characters>
  <Application>Microsoft Office Word</Application>
  <DocSecurity>0</DocSecurity>
  <Lines>45</Lines>
  <Paragraphs>12</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known</dc:creator>
  <cp:keywords/>
  <dc:description/>
  <cp:lastModifiedBy>unknown known</cp:lastModifiedBy>
  <cp:revision>1</cp:revision>
  <dcterms:created xsi:type="dcterms:W3CDTF">2025-08-11T18:09:00Z</dcterms:created>
  <dcterms:modified xsi:type="dcterms:W3CDTF">2025-08-11T18:12:00Z</dcterms:modified>
</cp:coreProperties>
</file>