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E99F5" w14:textId="759DCECF" w:rsidR="00282B26" w:rsidRPr="00EC6A15" w:rsidRDefault="00282B26">
      <w:pPr>
        <w:rPr>
          <w:b/>
          <w:sz w:val="28"/>
          <w:szCs w:val="28"/>
        </w:rPr>
      </w:pPr>
      <w:r w:rsidRPr="00EC6A15">
        <w:rPr>
          <w:b/>
          <w:sz w:val="28"/>
          <w:szCs w:val="28"/>
        </w:rPr>
        <w:t>FHIR SDOHCC Ballot</w:t>
      </w:r>
      <w:r w:rsidR="00EC6A15">
        <w:rPr>
          <w:b/>
          <w:sz w:val="28"/>
          <w:szCs w:val="28"/>
        </w:rPr>
        <w:t xml:space="preserve"> Issues</w:t>
      </w:r>
    </w:p>
    <w:p w14:paraId="5BE54B61" w14:textId="77777777" w:rsidR="00EE08C8" w:rsidRPr="00EC6A15" w:rsidRDefault="00EE08C8">
      <w:pPr>
        <w:rPr>
          <w:rFonts w:ascii="Arial" w:hAnsi="Arial" w:cs="Arial"/>
          <w:b/>
          <w:sz w:val="24"/>
          <w:szCs w:val="24"/>
        </w:rPr>
      </w:pPr>
      <w:r w:rsidRPr="00EC6A15">
        <w:rPr>
          <w:rFonts w:ascii="Arial" w:hAnsi="Arial" w:cs="Arial"/>
          <w:b/>
          <w:sz w:val="24"/>
          <w:szCs w:val="24"/>
        </w:rPr>
        <w:t>Goal Resource</w:t>
      </w:r>
    </w:p>
    <w:p w14:paraId="0689C05A" w14:textId="77777777" w:rsidR="00EE08C8" w:rsidRPr="00EC6A15" w:rsidRDefault="00EE08C8">
      <w:pPr>
        <w:rPr>
          <w:b/>
        </w:rPr>
      </w:pPr>
      <w:r w:rsidRPr="00EC6A15">
        <w:rPr>
          <w:rFonts w:ascii="Arial" w:eastAsia="Times New Roman" w:hAnsi="Arial" w:cs="Times New Roman"/>
          <w:b/>
          <w:sz w:val="20"/>
        </w:rPr>
        <w:t>Goal.description</w:t>
      </w:r>
    </w:p>
    <w:p w14:paraId="6DA4F6B0" w14:textId="77777777" w:rsidR="00282B26" w:rsidRDefault="00282B26" w:rsidP="00282B26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The</w:t>
      </w:r>
      <w:r w:rsidRPr="00990845">
        <w:rPr>
          <w:rFonts w:ascii="Arial" w:eastAsia="Times New Roman" w:hAnsi="Arial" w:cs="Times New Roman"/>
          <w:sz w:val="20"/>
        </w:rPr>
        <w:t xml:space="preserve"> Goal Resource </w:t>
      </w:r>
      <w:r>
        <w:rPr>
          <w:rFonts w:ascii="Arial" w:eastAsia="Times New Roman" w:hAnsi="Arial" w:cs="Times New Roman"/>
          <w:sz w:val="20"/>
        </w:rPr>
        <w:t xml:space="preserve">does not have elements that can modify the meaning of a code selected for </w:t>
      </w:r>
      <w:proofErr w:type="spellStart"/>
      <w:r w:rsidRPr="00990845">
        <w:rPr>
          <w:rFonts w:ascii="Arial" w:eastAsia="Times New Roman" w:hAnsi="Arial" w:cs="Times New Roman"/>
          <w:sz w:val="20"/>
        </w:rPr>
        <w:t>Goal.description</w:t>
      </w:r>
      <w:proofErr w:type="spellEnd"/>
      <w:r>
        <w:rPr>
          <w:rFonts w:ascii="Arial" w:eastAsia="Times New Roman" w:hAnsi="Arial" w:cs="Times New Roman"/>
          <w:sz w:val="20"/>
        </w:rPr>
        <w:t xml:space="preserve">. Thus, a goal description cannot be </w:t>
      </w:r>
      <w:proofErr w:type="spellStart"/>
      <w:r>
        <w:rPr>
          <w:rFonts w:ascii="Arial" w:eastAsia="Times New Roman" w:hAnsi="Arial" w:cs="Times New Roman"/>
          <w:sz w:val="20"/>
        </w:rPr>
        <w:t>postcoordinated</w:t>
      </w:r>
      <w:proofErr w:type="spellEnd"/>
      <w:r>
        <w:rPr>
          <w:rFonts w:ascii="Arial" w:eastAsia="Times New Roman" w:hAnsi="Arial" w:cs="Times New Roman"/>
          <w:sz w:val="20"/>
        </w:rPr>
        <w:t xml:space="preserve"> (e.g., the goal of “C</w:t>
      </w:r>
      <w:r w:rsidRPr="00932BCD">
        <w:rPr>
          <w:rFonts w:ascii="Arial" w:eastAsia="Times New Roman" w:hAnsi="Arial" w:cs="Times New Roman"/>
          <w:sz w:val="20"/>
        </w:rPr>
        <w:t>ondition</w:t>
      </w:r>
      <w:r>
        <w:rPr>
          <w:rFonts w:ascii="Arial" w:eastAsia="Times New Roman" w:hAnsi="Arial" w:cs="Times New Roman"/>
          <w:sz w:val="20"/>
        </w:rPr>
        <w:t xml:space="preserve"> = known absent”). Instead, if a code is used for </w:t>
      </w:r>
      <w:proofErr w:type="spellStart"/>
      <w:r w:rsidRPr="00990845">
        <w:rPr>
          <w:rFonts w:ascii="Arial" w:eastAsia="Times New Roman" w:hAnsi="Arial" w:cs="Times New Roman"/>
          <w:sz w:val="20"/>
        </w:rPr>
        <w:t>Goal.description</w:t>
      </w:r>
      <w:proofErr w:type="spellEnd"/>
      <w:r>
        <w:rPr>
          <w:rFonts w:ascii="Arial" w:eastAsia="Times New Roman" w:hAnsi="Arial" w:cs="Times New Roman"/>
          <w:sz w:val="20"/>
        </w:rPr>
        <w:t>, it must be precoordinated.</w:t>
      </w:r>
    </w:p>
    <w:p w14:paraId="6C98AE67" w14:textId="77777777" w:rsidR="00282B26" w:rsidRPr="00990845" w:rsidRDefault="00282B26" w:rsidP="00282B26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This may prove challenging since goals are generally positive health states (e.g., normal blood pressure, remission of cancer, no headache, etc.) whereas disorder/finding codes in code systems tend to focus heavily on health concerns (e.g. hypertension, cancer, obesity, headache, etc.). Therefore, using a single code for a goal description may require that code systems add many, highly </w:t>
      </w:r>
      <w:proofErr w:type="spellStart"/>
      <w:r>
        <w:rPr>
          <w:rFonts w:ascii="Arial" w:eastAsia="Times New Roman" w:hAnsi="Arial" w:cs="Times New Roman"/>
          <w:sz w:val="20"/>
        </w:rPr>
        <w:t>precoordintated</w:t>
      </w:r>
      <w:proofErr w:type="spellEnd"/>
      <w:r>
        <w:rPr>
          <w:rFonts w:ascii="Arial" w:eastAsia="Times New Roman" w:hAnsi="Arial" w:cs="Times New Roman"/>
          <w:sz w:val="20"/>
        </w:rPr>
        <w:t xml:space="preserve"> codes (often with explicit context). This approach may be detrimental to the general objective of reducing excessive </w:t>
      </w:r>
      <w:proofErr w:type="spellStart"/>
      <w:r>
        <w:rPr>
          <w:rFonts w:ascii="Arial" w:eastAsia="Times New Roman" w:hAnsi="Arial" w:cs="Times New Roman"/>
          <w:sz w:val="20"/>
        </w:rPr>
        <w:t>precoordination</w:t>
      </w:r>
      <w:proofErr w:type="spellEnd"/>
      <w:r>
        <w:rPr>
          <w:rFonts w:ascii="Arial" w:eastAsia="Times New Roman" w:hAnsi="Arial" w:cs="Times New Roman"/>
          <w:sz w:val="20"/>
        </w:rPr>
        <w:t xml:space="preserve"> of code system codes by shifting context to the information model.</w:t>
      </w:r>
    </w:p>
    <w:p w14:paraId="386797FC" w14:textId="77777777" w:rsidR="00282B26" w:rsidRDefault="00282B26" w:rsidP="00282B26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9B4C62">
        <w:rPr>
          <w:rFonts w:ascii="Arial" w:eastAsia="Times New Roman" w:hAnsi="Arial" w:cs="Times New Roman"/>
          <w:sz w:val="20"/>
          <w:u w:val="single"/>
        </w:rPr>
        <w:t>Example</w:t>
      </w:r>
      <w:r>
        <w:rPr>
          <w:rFonts w:ascii="Arial" w:eastAsia="Times New Roman" w:hAnsi="Arial" w:cs="Times New Roman"/>
          <w:sz w:val="20"/>
          <w:u w:val="single"/>
        </w:rPr>
        <w:t>s:</w:t>
      </w:r>
    </w:p>
    <w:p w14:paraId="793E6E0B" w14:textId="77777777" w:rsidR="00282B26" w:rsidRDefault="00282B26" w:rsidP="00282B26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9B4C62">
        <w:rPr>
          <w:rFonts w:ascii="Arial" w:eastAsia="Times New Roman" w:hAnsi="Arial" w:cs="Times New Roman"/>
          <w:sz w:val="20"/>
        </w:rPr>
        <w:t xml:space="preserve">SNOMED CT </w:t>
      </w:r>
      <w:r>
        <w:rPr>
          <w:rFonts w:ascii="Arial" w:eastAsia="Times New Roman" w:hAnsi="Arial" w:cs="Times New Roman"/>
          <w:sz w:val="20"/>
        </w:rPr>
        <w:t>alread</w:t>
      </w:r>
      <w:r w:rsidRPr="009B4C62">
        <w:rPr>
          <w:rFonts w:ascii="Arial" w:eastAsia="Times New Roman" w:hAnsi="Arial" w:cs="Times New Roman"/>
          <w:sz w:val="20"/>
        </w:rPr>
        <w:t xml:space="preserve">y has </w:t>
      </w:r>
      <w:r>
        <w:rPr>
          <w:rFonts w:ascii="Arial" w:eastAsia="Times New Roman" w:hAnsi="Arial" w:cs="Times New Roman"/>
          <w:sz w:val="20"/>
        </w:rPr>
        <w:t xml:space="preserve">the following </w:t>
      </w:r>
      <w:r w:rsidRPr="009B4C62">
        <w:rPr>
          <w:rFonts w:ascii="Arial" w:eastAsia="Times New Roman" w:hAnsi="Arial" w:cs="Times New Roman"/>
          <w:sz w:val="20"/>
        </w:rPr>
        <w:t>Clinical Finding codes</w:t>
      </w:r>
      <w:r>
        <w:rPr>
          <w:rFonts w:ascii="Arial" w:eastAsia="Times New Roman" w:hAnsi="Arial" w:cs="Times New Roman"/>
          <w:sz w:val="20"/>
        </w:rPr>
        <w:t>:1)</w:t>
      </w:r>
      <w:r w:rsidRPr="009B4C62">
        <w:rPr>
          <w:rFonts w:ascii="Arial" w:eastAsia="Times New Roman" w:hAnsi="Arial" w:cs="Times New Roman"/>
          <w:sz w:val="20"/>
        </w:rPr>
        <w:t xml:space="preserve"> Food insecurity, </w:t>
      </w:r>
      <w:r>
        <w:rPr>
          <w:rFonts w:ascii="Arial" w:eastAsia="Times New Roman" w:hAnsi="Arial" w:cs="Times New Roman"/>
          <w:sz w:val="20"/>
        </w:rPr>
        <w:t xml:space="preserve">2) </w:t>
      </w:r>
      <w:r w:rsidRPr="009B4C62">
        <w:rPr>
          <w:rFonts w:ascii="Arial" w:eastAsia="Times New Roman" w:hAnsi="Arial" w:cs="Times New Roman"/>
          <w:sz w:val="20"/>
        </w:rPr>
        <w:t xml:space="preserve">Housing unsatisfactory, and </w:t>
      </w:r>
      <w:r>
        <w:rPr>
          <w:rFonts w:ascii="Arial" w:eastAsia="Times New Roman" w:hAnsi="Arial" w:cs="Times New Roman"/>
          <w:sz w:val="20"/>
        </w:rPr>
        <w:t xml:space="preserve">3) </w:t>
      </w:r>
      <w:r w:rsidRPr="009B4C62">
        <w:rPr>
          <w:rFonts w:ascii="Arial" w:eastAsia="Times New Roman" w:hAnsi="Arial" w:cs="Times New Roman"/>
          <w:sz w:val="20"/>
        </w:rPr>
        <w:t xml:space="preserve">Transportation barrier impedes ability to use community resources. </w:t>
      </w:r>
    </w:p>
    <w:p w14:paraId="6B10917B" w14:textId="77777777" w:rsidR="00282B26" w:rsidRPr="009B4C62" w:rsidRDefault="00282B26" w:rsidP="00282B26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In the absence of a way to add context to </w:t>
      </w:r>
      <w:proofErr w:type="spellStart"/>
      <w:r>
        <w:rPr>
          <w:rFonts w:ascii="Arial" w:eastAsia="Times New Roman" w:hAnsi="Arial" w:cs="Times New Roman"/>
          <w:sz w:val="20"/>
        </w:rPr>
        <w:t>Goal.description</w:t>
      </w:r>
      <w:proofErr w:type="spellEnd"/>
      <w:r>
        <w:rPr>
          <w:rFonts w:ascii="Arial" w:eastAsia="Times New Roman" w:hAnsi="Arial" w:cs="Times New Roman"/>
          <w:sz w:val="20"/>
        </w:rPr>
        <w:t>,</w:t>
      </w:r>
      <w:r w:rsidRPr="009B4C62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 xml:space="preserve">the goal of </w:t>
      </w:r>
      <w:r w:rsidRPr="009B4C62">
        <w:rPr>
          <w:rFonts w:ascii="Arial" w:eastAsia="Times New Roman" w:hAnsi="Arial" w:cs="Times New Roman"/>
          <w:sz w:val="20"/>
        </w:rPr>
        <w:t xml:space="preserve">resolving </w:t>
      </w:r>
      <w:r>
        <w:rPr>
          <w:rFonts w:ascii="Arial" w:eastAsia="Times New Roman" w:hAnsi="Arial" w:cs="Times New Roman"/>
          <w:sz w:val="20"/>
        </w:rPr>
        <w:t xml:space="preserve">any of these </w:t>
      </w:r>
      <w:r w:rsidRPr="009B4C62">
        <w:rPr>
          <w:rFonts w:ascii="Arial" w:eastAsia="Times New Roman" w:hAnsi="Arial" w:cs="Times New Roman"/>
          <w:sz w:val="20"/>
        </w:rPr>
        <w:t>conditions</w:t>
      </w:r>
      <w:r>
        <w:rPr>
          <w:rFonts w:ascii="Arial" w:eastAsia="Times New Roman" w:hAnsi="Arial" w:cs="Times New Roman"/>
          <w:sz w:val="20"/>
        </w:rPr>
        <w:t xml:space="preserve"> might require that SNOMED CT add the following </w:t>
      </w:r>
      <w:r w:rsidRPr="009B4C62">
        <w:rPr>
          <w:rFonts w:ascii="Arial" w:eastAsia="Times New Roman" w:hAnsi="Arial" w:cs="Times New Roman"/>
          <w:sz w:val="20"/>
        </w:rPr>
        <w:t xml:space="preserve">new codes for </w:t>
      </w:r>
      <w:proofErr w:type="spellStart"/>
      <w:r w:rsidRPr="009B4C62">
        <w:rPr>
          <w:rFonts w:ascii="Arial" w:eastAsia="Times New Roman" w:hAnsi="Arial" w:cs="Times New Roman"/>
          <w:sz w:val="20"/>
        </w:rPr>
        <w:t>Goal.description</w:t>
      </w:r>
      <w:proofErr w:type="spellEnd"/>
      <w:r>
        <w:rPr>
          <w:rFonts w:ascii="Arial" w:eastAsia="Times New Roman" w:hAnsi="Arial" w:cs="Times New Roman"/>
          <w:sz w:val="20"/>
        </w:rPr>
        <w:t>:</w:t>
      </w:r>
      <w:r w:rsidRPr="009B4C62">
        <w:rPr>
          <w:rFonts w:ascii="Arial" w:eastAsia="Times New Roman" w:hAnsi="Arial" w:cs="Times New Roman"/>
          <w:sz w:val="20"/>
        </w:rPr>
        <w:t xml:space="preserve"> </w:t>
      </w:r>
    </w:p>
    <w:p w14:paraId="75AA14B1" w14:textId="77777777" w:rsidR="00282B26" w:rsidRPr="00990845" w:rsidRDefault="00282B26" w:rsidP="00282B26">
      <w:pPr>
        <w:pStyle w:val="ListParagraph"/>
        <w:numPr>
          <w:ilvl w:val="0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990845">
        <w:rPr>
          <w:rFonts w:ascii="Arial" w:eastAsia="Times New Roman" w:hAnsi="Arial" w:cs="Times New Roman"/>
          <w:sz w:val="20"/>
        </w:rPr>
        <w:t xml:space="preserve">Food security </w:t>
      </w:r>
      <w:r>
        <w:rPr>
          <w:rFonts w:ascii="Arial" w:eastAsia="Times New Roman" w:hAnsi="Arial" w:cs="Times New Roman"/>
          <w:sz w:val="20"/>
        </w:rPr>
        <w:t xml:space="preserve">(since there is no way to use: </w:t>
      </w:r>
      <w:r w:rsidRPr="00990845">
        <w:rPr>
          <w:rFonts w:ascii="Arial" w:eastAsia="Times New Roman" w:hAnsi="Arial" w:cs="Times New Roman"/>
          <w:sz w:val="20"/>
        </w:rPr>
        <w:t>Food insecurity = known absent</w:t>
      </w:r>
      <w:r>
        <w:rPr>
          <w:rFonts w:ascii="Arial" w:eastAsia="Times New Roman" w:hAnsi="Arial" w:cs="Times New Roman"/>
          <w:sz w:val="20"/>
        </w:rPr>
        <w:t>)</w:t>
      </w:r>
    </w:p>
    <w:p w14:paraId="18E8B1A1" w14:textId="77777777" w:rsidR="00282B26" w:rsidRPr="00990845" w:rsidRDefault="00282B26" w:rsidP="00282B26">
      <w:pPr>
        <w:pStyle w:val="ListParagraph"/>
        <w:numPr>
          <w:ilvl w:val="0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990845">
        <w:rPr>
          <w:rFonts w:ascii="Arial" w:eastAsia="Times New Roman" w:hAnsi="Arial" w:cs="Times New Roman"/>
          <w:sz w:val="20"/>
        </w:rPr>
        <w:t xml:space="preserve">Satisfactory housing </w:t>
      </w:r>
      <w:r>
        <w:rPr>
          <w:rFonts w:ascii="Arial" w:eastAsia="Times New Roman" w:hAnsi="Arial" w:cs="Times New Roman"/>
          <w:sz w:val="20"/>
        </w:rPr>
        <w:t xml:space="preserve">(since there is no way to use: </w:t>
      </w:r>
      <w:r w:rsidRPr="00990845">
        <w:rPr>
          <w:rFonts w:ascii="Arial" w:eastAsia="Times New Roman" w:hAnsi="Arial" w:cs="Times New Roman"/>
          <w:sz w:val="20"/>
        </w:rPr>
        <w:t>Housing unsatisfactory = known absent</w:t>
      </w:r>
      <w:r>
        <w:rPr>
          <w:rFonts w:ascii="Arial" w:eastAsia="Times New Roman" w:hAnsi="Arial" w:cs="Times New Roman"/>
          <w:sz w:val="20"/>
        </w:rPr>
        <w:t>)</w:t>
      </w:r>
    </w:p>
    <w:p w14:paraId="60AF4B1C" w14:textId="4E6232A2" w:rsidR="00A2509D" w:rsidRPr="001E0C72" w:rsidRDefault="00282B26" w:rsidP="001E0C72">
      <w:pPr>
        <w:pStyle w:val="ListParagraph"/>
        <w:numPr>
          <w:ilvl w:val="0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990845">
        <w:rPr>
          <w:rFonts w:ascii="Arial" w:eastAsia="Times New Roman" w:hAnsi="Arial" w:cs="Times New Roman"/>
          <w:sz w:val="20"/>
        </w:rPr>
        <w:t>No transportation barrier impeding ability to use community resources</w:t>
      </w:r>
      <w:r>
        <w:rPr>
          <w:rFonts w:ascii="Arial" w:eastAsia="Times New Roman" w:hAnsi="Arial" w:cs="Times New Roman"/>
          <w:sz w:val="20"/>
        </w:rPr>
        <w:t xml:space="preserve"> (since there is now way to use: </w:t>
      </w:r>
      <w:r w:rsidRPr="00990845">
        <w:rPr>
          <w:rFonts w:ascii="Arial" w:eastAsia="Times New Roman" w:hAnsi="Arial" w:cs="Times New Roman"/>
          <w:sz w:val="20"/>
        </w:rPr>
        <w:t>Transportation barrier impedes ability to use community resources = known absent</w:t>
      </w:r>
      <w:r>
        <w:rPr>
          <w:rFonts w:ascii="Arial" w:eastAsia="Times New Roman" w:hAnsi="Arial" w:cs="Times New Roman"/>
          <w:sz w:val="20"/>
        </w:rPr>
        <w:t>)</w:t>
      </w:r>
      <w:r w:rsidR="00A2509D" w:rsidRPr="001E0C72">
        <w:rPr>
          <w:rFonts w:ascii="Arial" w:eastAsia="Times New Roman" w:hAnsi="Arial" w:cs="Times New Roman"/>
          <w:b/>
          <w:kern w:val="28"/>
        </w:rPr>
        <w:t xml:space="preserve"> </w:t>
      </w:r>
    </w:p>
    <w:p w14:paraId="384F5483" w14:textId="77777777" w:rsidR="001E0C72" w:rsidRPr="001E0C72" w:rsidRDefault="001E0C72" w:rsidP="001E0C72">
      <w:pPr>
        <w:rPr>
          <w:rFonts w:ascii="Arial" w:eastAsia="Times New Roman" w:hAnsi="Arial" w:cs="Times New Roman"/>
          <w:b/>
          <w:sz w:val="20"/>
        </w:rPr>
      </w:pPr>
      <w:r w:rsidRPr="001E0C72">
        <w:rPr>
          <w:rFonts w:ascii="Arial" w:eastAsia="Times New Roman" w:hAnsi="Arial" w:cs="Times New Roman"/>
          <w:b/>
          <w:sz w:val="20"/>
        </w:rPr>
        <w:t xml:space="preserve">Additional rules </w:t>
      </w:r>
    </w:p>
    <w:p w14:paraId="0711DA92" w14:textId="77777777" w:rsidR="00FF440E" w:rsidRPr="00BD674B" w:rsidRDefault="00FF440E" w:rsidP="00FF440E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>To improve data integrity, the following rules should be applied</w:t>
      </w:r>
      <w:r w:rsidRPr="00BD674B">
        <w:rPr>
          <w:rFonts w:ascii="Arial" w:eastAsia="Times New Roman" w:hAnsi="Arial" w:cs="Times New Roman"/>
          <w:kern w:val="28"/>
          <w:sz w:val="20"/>
        </w:rPr>
        <w:t xml:space="preserve"> to this profile:</w:t>
      </w:r>
    </w:p>
    <w:p w14:paraId="52FADA38" w14:textId="77777777" w:rsidR="00FF440E" w:rsidRPr="00BD674B" w:rsidRDefault="00FF440E" w:rsidP="00FF440E">
      <w:pPr>
        <w:pStyle w:val="ListParagraph"/>
        <w:numPr>
          <w:ilvl w:val="0"/>
          <w:numId w:val="2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>I</w:t>
      </w:r>
      <w:r w:rsidRPr="00765D99">
        <w:rPr>
          <w:rFonts w:ascii="Arial" w:eastAsia="Times New Roman" w:hAnsi="Arial" w:cs="Times New Roman"/>
          <w:sz w:val="20"/>
        </w:rPr>
        <w:t xml:space="preserve">f </w:t>
      </w:r>
      <w:proofErr w:type="spellStart"/>
      <w:r w:rsidRPr="00765D99">
        <w:rPr>
          <w:rFonts w:ascii="Arial" w:eastAsia="Times New Roman" w:hAnsi="Arial" w:cs="Times New Roman"/>
          <w:sz w:val="20"/>
        </w:rPr>
        <w:t>Goal.description</w:t>
      </w:r>
      <w:proofErr w:type="spellEnd"/>
      <w:r w:rsidRPr="00765D99">
        <w:rPr>
          <w:rFonts w:ascii="Arial" w:eastAsia="Times New Roman" w:hAnsi="Arial" w:cs="Times New Roman"/>
          <w:sz w:val="20"/>
        </w:rPr>
        <w:t xml:space="preserve"> and/or </w:t>
      </w:r>
      <w:proofErr w:type="spellStart"/>
      <w:r w:rsidRPr="00765D99">
        <w:rPr>
          <w:rFonts w:ascii="Arial" w:eastAsia="Times New Roman" w:hAnsi="Arial" w:cs="Times New Roman"/>
          <w:sz w:val="20"/>
        </w:rPr>
        <w:t>Goal.target</w:t>
      </w:r>
      <w:proofErr w:type="spellEnd"/>
      <w:r w:rsidRPr="00765D99">
        <w:rPr>
          <w:rFonts w:ascii="Arial" w:eastAsia="Times New Roman" w:hAnsi="Arial" w:cs="Times New Roman"/>
          <w:sz w:val="20"/>
        </w:rPr>
        <w:t xml:space="preserve"> are changed</w:t>
      </w:r>
      <w:r w:rsidRPr="00BD674B">
        <w:rPr>
          <w:rFonts w:ascii="Arial" w:eastAsia="Times New Roman" w:hAnsi="Arial" w:cs="Times New Roman"/>
          <w:sz w:val="20"/>
        </w:rPr>
        <w:t>, a</w:t>
      </w:r>
      <w:r w:rsidRPr="00765D99">
        <w:rPr>
          <w:rFonts w:ascii="Arial" w:eastAsia="Times New Roman" w:hAnsi="Arial" w:cs="Times New Roman"/>
          <w:sz w:val="20"/>
        </w:rPr>
        <w:t xml:space="preserve"> new Goal instance MUST be created</w:t>
      </w:r>
      <w:r w:rsidRPr="00BD674B">
        <w:rPr>
          <w:rFonts w:ascii="Arial" w:eastAsia="Times New Roman" w:hAnsi="Arial" w:cs="Times New Roman"/>
          <w:sz w:val="20"/>
        </w:rPr>
        <w:t>.</w:t>
      </w:r>
    </w:p>
    <w:p w14:paraId="7C92859C" w14:textId="77777777" w:rsidR="00FF440E" w:rsidRPr="00BD674B" w:rsidRDefault="00FF440E" w:rsidP="00FF440E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>This rule is not specific to this food insecurity goal. For any goal, a change to these elements essentially results in a different goal.</w:t>
      </w:r>
    </w:p>
    <w:p w14:paraId="1C1CA7C3" w14:textId="77777777" w:rsidR="00FF440E" w:rsidRPr="00BD674B" w:rsidRDefault="00FF440E" w:rsidP="00FF440E">
      <w:pPr>
        <w:pStyle w:val="ListParagraph"/>
        <w:numPr>
          <w:ilvl w:val="0"/>
          <w:numId w:val="2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BD674B">
        <w:rPr>
          <w:rFonts w:ascii="Arial" w:eastAsia="Times New Roman" w:hAnsi="Arial" w:cs="Times New Roman"/>
          <w:sz w:val="20"/>
        </w:rPr>
        <w:t>Goal.statusDate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MUST be updated if and ONLY if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is updated.</w:t>
      </w:r>
    </w:p>
    <w:p w14:paraId="125CA182" w14:textId="77777777" w:rsidR="00FF440E" w:rsidRPr="00BD674B" w:rsidRDefault="00FF440E" w:rsidP="00FF440E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 xml:space="preserve">The Goal resource does not clearly specify whether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Goal.statusDate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applies to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or to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Goal.lifecycleStatus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. To unambiguously establish when a goal has been achieved,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Goal.statusDate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>MUST</w:t>
      </w:r>
      <w:r w:rsidRPr="00BD674B">
        <w:rPr>
          <w:rFonts w:ascii="Arial" w:eastAsia="Times New Roman" w:hAnsi="Arial" w:cs="Times New Roman"/>
          <w:sz w:val="20"/>
        </w:rPr>
        <w:t xml:space="preserve"> be synchronized with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. </w:t>
      </w:r>
    </w:p>
    <w:p w14:paraId="06ACBE83" w14:textId="77777777" w:rsidR="00FF440E" w:rsidRPr="00BD674B" w:rsidRDefault="00FF440E" w:rsidP="00FF440E">
      <w:pPr>
        <w:pStyle w:val="ListParagraph"/>
        <w:numPr>
          <w:ilvl w:val="0"/>
          <w:numId w:val="2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 xml:space="preserve">An update to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MUST be supported by</w:t>
      </w:r>
      <w:bookmarkStart w:id="0" w:name="_Hlk27571269"/>
      <w:r w:rsidRPr="00BD674B">
        <w:rPr>
          <w:rFonts w:ascii="Arial" w:eastAsia="Times New Roman" w:hAnsi="Arial" w:cs="Times New Roman"/>
          <w:sz w:val="20"/>
        </w:rPr>
        <w:t xml:space="preserve"> an update to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Goal.outcomeReference</w:t>
      </w:r>
      <w:proofErr w:type="spellEnd"/>
      <w:r w:rsidRPr="00BD674B">
        <w:rPr>
          <w:rFonts w:ascii="Arial" w:eastAsia="Times New Roman" w:hAnsi="Arial" w:cs="Times New Roman"/>
          <w:sz w:val="20"/>
        </w:rPr>
        <w:t>.</w:t>
      </w:r>
      <w:bookmarkEnd w:id="0"/>
    </w:p>
    <w:p w14:paraId="2C15699A" w14:textId="77777777" w:rsidR="00FF440E" w:rsidRPr="0030438D" w:rsidRDefault="00FF440E" w:rsidP="00FF440E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 xml:space="preserve">This rule is not specific to this food insecurity goal. Any goal should be required to update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Goal.outcomeReference</w:t>
      </w:r>
      <w:proofErr w:type="spellEnd"/>
      <w:r>
        <w:rPr>
          <w:rFonts w:ascii="Arial" w:eastAsia="Times New Roman" w:hAnsi="Arial" w:cs="Times New Roman"/>
          <w:sz w:val="20"/>
        </w:rPr>
        <w:t xml:space="preserve"> </w:t>
      </w:r>
      <w:r w:rsidRPr="00BD674B">
        <w:rPr>
          <w:rFonts w:ascii="Arial" w:eastAsia="Times New Roman" w:hAnsi="Arial" w:cs="Times New Roman"/>
          <w:sz w:val="20"/>
        </w:rPr>
        <w:t xml:space="preserve">as evidence for a change in </w:t>
      </w:r>
      <w:proofErr w:type="spellStart"/>
      <w:r w:rsidRPr="00765D99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Pr="00BD674B">
        <w:rPr>
          <w:rFonts w:ascii="Arial" w:eastAsia="Times New Roman" w:hAnsi="Arial" w:cs="Times New Roman"/>
          <w:sz w:val="20"/>
        </w:rPr>
        <w:t>.</w:t>
      </w:r>
    </w:p>
    <w:p w14:paraId="22CCD8C0" w14:textId="77777777" w:rsidR="00EC6A15" w:rsidRPr="00EC6A15" w:rsidRDefault="00EC6A15" w:rsidP="00EC6A15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" w:name="_GoBack"/>
      <w:bookmarkEnd w:id="1"/>
    </w:p>
    <w:p w14:paraId="5A0D5554" w14:textId="54292993" w:rsidR="00776A0B" w:rsidRDefault="00776A0B" w:rsidP="00EC6A15">
      <w:pPr>
        <w:rPr>
          <w:rFonts w:ascii="Arial" w:hAnsi="Arial" w:cs="Arial"/>
          <w:b/>
          <w:sz w:val="24"/>
          <w:szCs w:val="24"/>
        </w:rPr>
      </w:pPr>
      <w:r w:rsidRPr="00EC6A15">
        <w:rPr>
          <w:rFonts w:ascii="Arial" w:hAnsi="Arial" w:cs="Arial"/>
          <w:b/>
          <w:sz w:val="24"/>
          <w:szCs w:val="24"/>
        </w:rPr>
        <w:lastRenderedPageBreak/>
        <w:t>Value set constraint issue</w:t>
      </w:r>
      <w:r w:rsidR="00EC6A15">
        <w:rPr>
          <w:rFonts w:ascii="Arial" w:hAnsi="Arial" w:cs="Arial"/>
          <w:b/>
          <w:sz w:val="24"/>
          <w:szCs w:val="24"/>
        </w:rPr>
        <w:t>s</w:t>
      </w:r>
    </w:p>
    <w:p w14:paraId="4A2CC890" w14:textId="5050D302" w:rsidR="001E0C72" w:rsidRPr="001E0C72" w:rsidRDefault="001E0C72" w:rsidP="001E0C72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1E0C72">
        <w:rPr>
          <w:rFonts w:ascii="Arial" w:eastAsia="Times New Roman" w:hAnsi="Arial" w:cs="Times New Roman"/>
          <w:sz w:val="20"/>
        </w:rPr>
        <w:t>An example of this issue for the Observation resource is illustrated below. However, this issue is not restricted to Observations.</w:t>
      </w:r>
    </w:p>
    <w:p w14:paraId="2ECA6362" w14:textId="77777777" w:rsidR="002D0D40" w:rsidRPr="002D0D40" w:rsidRDefault="002D0D40" w:rsidP="002D0D40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  <w:sz w:val="20"/>
          <w:szCs w:val="20"/>
        </w:rPr>
      </w:pPr>
      <w:proofErr w:type="spellStart"/>
      <w:r w:rsidRPr="002D0D40">
        <w:rPr>
          <w:rFonts w:ascii="Arial" w:eastAsia="Times New Roman" w:hAnsi="Arial" w:cs="Times New Roman"/>
          <w:b/>
          <w:kern w:val="28"/>
          <w:sz w:val="20"/>
          <w:szCs w:val="20"/>
        </w:rPr>
        <w:t>Observation.dataAbsentReason</w:t>
      </w:r>
      <w:proofErr w:type="spellEnd"/>
    </w:p>
    <w:p w14:paraId="25537EDE" w14:textId="77777777" w:rsidR="002D0D40" w:rsidRPr="007D3C3F" w:rsidRDefault="002D0D40" w:rsidP="002D0D40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190D85">
        <w:rPr>
          <w:rFonts w:ascii="Arial" w:eastAsia="Times New Roman" w:hAnsi="Arial" w:cs="Times New Roman"/>
          <w:sz w:val="20"/>
        </w:rPr>
        <w:t xml:space="preserve">This element references the FHIR </w:t>
      </w:r>
      <w:proofErr w:type="spellStart"/>
      <w:r w:rsidRPr="00190D85">
        <w:rPr>
          <w:rFonts w:ascii="Arial" w:eastAsia="Times New Roman" w:hAnsi="Arial" w:cs="Times New Roman"/>
          <w:sz w:val="20"/>
        </w:rPr>
        <w:t>DataAbsentReason</w:t>
      </w:r>
      <w:proofErr w:type="spellEnd"/>
      <w:r w:rsidRPr="00190D85">
        <w:rPr>
          <w:rFonts w:ascii="Arial" w:eastAsia="Times New Roman" w:hAnsi="Arial" w:cs="Times New Roman"/>
          <w:sz w:val="20"/>
        </w:rPr>
        <w:t xml:space="preserve"> value set. Although the referenced FHIR value set contains more codes tha</w:t>
      </w:r>
      <w:r>
        <w:rPr>
          <w:rFonts w:ascii="Arial" w:eastAsia="Times New Roman" w:hAnsi="Arial" w:cs="Times New Roman"/>
          <w:sz w:val="20"/>
        </w:rPr>
        <w:t>n</w:t>
      </w:r>
      <w:r w:rsidRPr="00190D85">
        <w:rPr>
          <w:rFonts w:ascii="Arial" w:eastAsia="Times New Roman" w:hAnsi="Arial" w:cs="Times New Roman"/>
          <w:sz w:val="20"/>
        </w:rPr>
        <w:t xml:space="preserve"> the three below, only the codes listed below should be used for this profile.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891"/>
      </w:tblGrid>
      <w:tr w:rsidR="002D0D40" w:rsidRPr="00570B6F" w14:paraId="3107718D" w14:textId="77777777" w:rsidTr="0074079E">
        <w:tc>
          <w:tcPr>
            <w:tcW w:w="0" w:type="auto"/>
            <w:shd w:val="clear" w:color="auto" w:fill="EEECE1" w:themeFill="background2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36E371" w14:textId="77777777" w:rsidR="002D0D40" w:rsidRPr="00190D85" w:rsidRDefault="002D0D40" w:rsidP="0074079E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Code</w:t>
            </w:r>
          </w:p>
        </w:tc>
        <w:tc>
          <w:tcPr>
            <w:tcW w:w="0" w:type="auto"/>
            <w:shd w:val="clear" w:color="auto" w:fill="EEECE1" w:themeFill="background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C022E4" w14:textId="77777777" w:rsidR="002D0D40" w:rsidRPr="00190D85" w:rsidRDefault="002D0D40" w:rsidP="0074079E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Display</w:t>
            </w:r>
          </w:p>
        </w:tc>
      </w:tr>
      <w:tr w:rsidR="002D0D40" w:rsidRPr="00570B6F" w14:paraId="5757A009" w14:textId="77777777" w:rsidTr="0074079E"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9BF735" w14:textId="77777777" w:rsidR="002D0D40" w:rsidRPr="00190D85" w:rsidRDefault="002D0D40" w:rsidP="0074079E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bookmarkStart w:id="2" w:name="http---terminology.hl7.org-CodeSystem-da" w:colFirst="0" w:colLast="0"/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 xml:space="preserve">  </w:t>
            </w:r>
            <w:hyperlink r:id="rId5" w:anchor="data-absent-reason-unknown" w:history="1">
              <w:r w:rsidRPr="00190D85">
                <w:rPr>
                  <w:rFonts w:ascii="Arial" w:hAnsi="Arial"/>
                  <w:sz w:val="20"/>
                  <w:szCs w:val="20"/>
                </w:rPr>
                <w:t>unknown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675C95" w14:textId="77777777" w:rsidR="002D0D40" w:rsidRPr="00190D85" w:rsidRDefault="002D0D40" w:rsidP="0074079E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Unknown</w:t>
            </w:r>
          </w:p>
        </w:tc>
      </w:tr>
      <w:tr w:rsidR="002D0D40" w:rsidRPr="00570B6F" w14:paraId="0DBA5DDF" w14:textId="77777777" w:rsidTr="0074079E"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A3664A" w14:textId="77777777" w:rsidR="002D0D40" w:rsidRPr="00190D85" w:rsidRDefault="002D0D40" w:rsidP="0074079E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  </w:t>
            </w:r>
            <w:hyperlink r:id="rId6" w:anchor="data-absent-reason-asked-unknown" w:history="1">
              <w:r w:rsidRPr="00190D85">
                <w:rPr>
                  <w:rFonts w:ascii="Arial" w:hAnsi="Arial"/>
                  <w:sz w:val="20"/>
                  <w:szCs w:val="20"/>
                </w:rPr>
                <w:t>asked-unknown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9809BD" w14:textId="77777777" w:rsidR="002D0D40" w:rsidRPr="00190D85" w:rsidRDefault="002D0D40" w:rsidP="0074079E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 xml:space="preserve">Asked </w:t>
            </w:r>
            <w:proofErr w:type="gramStart"/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But</w:t>
            </w:r>
            <w:proofErr w:type="gramEnd"/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 xml:space="preserve"> Unknown</w:t>
            </w:r>
          </w:p>
        </w:tc>
      </w:tr>
      <w:tr w:rsidR="002D0D40" w:rsidRPr="00570B6F" w14:paraId="6FE35DF9" w14:textId="77777777" w:rsidTr="0074079E"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AFEF0E" w14:textId="77777777" w:rsidR="002D0D40" w:rsidRPr="00190D85" w:rsidRDefault="002D0D40" w:rsidP="0074079E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  </w:t>
            </w:r>
            <w:hyperlink r:id="rId7" w:anchor="data-absent-reason-asked-declined" w:history="1">
              <w:r w:rsidRPr="00190D85">
                <w:rPr>
                  <w:rFonts w:ascii="Arial" w:hAnsi="Arial"/>
                  <w:sz w:val="20"/>
                  <w:szCs w:val="20"/>
                </w:rPr>
                <w:t>asked-declined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72CB06" w14:textId="77777777" w:rsidR="002D0D40" w:rsidRPr="00190D85" w:rsidRDefault="002D0D40" w:rsidP="0074079E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 xml:space="preserve">Asked </w:t>
            </w:r>
            <w:proofErr w:type="gramStart"/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But</w:t>
            </w:r>
            <w:proofErr w:type="gramEnd"/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 xml:space="preserve"> Declined</w:t>
            </w:r>
          </w:p>
        </w:tc>
      </w:tr>
      <w:bookmarkEnd w:id="2"/>
    </w:tbl>
    <w:p w14:paraId="4307C46C" w14:textId="77777777" w:rsidR="001E0C72" w:rsidRDefault="001E0C72">
      <w:pPr>
        <w:rPr>
          <w:rFonts w:ascii="Arial" w:eastAsia="Times New Roman" w:hAnsi="Arial" w:cs="Times New Roman"/>
          <w:sz w:val="20"/>
        </w:rPr>
      </w:pPr>
    </w:p>
    <w:p w14:paraId="618246D4" w14:textId="3769D6CC" w:rsidR="00282B26" w:rsidRDefault="002D0D40">
      <w:r>
        <w:rPr>
          <w:rFonts w:ascii="Arial" w:eastAsia="Times New Roman" w:hAnsi="Arial" w:cs="Times New Roman"/>
          <w:sz w:val="20"/>
        </w:rPr>
        <w:t>For this example, i</w:t>
      </w:r>
      <w:r w:rsidR="001E0C72">
        <w:rPr>
          <w:rFonts w:ascii="Arial" w:eastAsia="Times New Roman" w:hAnsi="Arial" w:cs="Times New Roman"/>
          <w:sz w:val="20"/>
        </w:rPr>
        <w:t>t is not clear whether</w:t>
      </w:r>
      <w:r w:rsidR="00EC6A15">
        <w:t xml:space="preserve"> </w:t>
      </w:r>
      <w:r w:rsidR="001E0C72">
        <w:t xml:space="preserve">a subset of </w:t>
      </w:r>
      <w:r>
        <w:t>the</w:t>
      </w:r>
      <w:r w:rsidR="001E0C72">
        <w:t xml:space="preserve"> existing FHIR value set should be enforced via</w:t>
      </w:r>
      <w:r w:rsidR="00EC6A15">
        <w:t xml:space="preserve"> </w:t>
      </w:r>
      <w:proofErr w:type="spellStart"/>
      <w:r w:rsidR="00EC6A15">
        <w:t>FHIRpath</w:t>
      </w:r>
      <w:proofErr w:type="spellEnd"/>
      <w:r w:rsidR="00EC6A15">
        <w:t xml:space="preserve"> rules or </w:t>
      </w:r>
      <w:r w:rsidR="001E0C72">
        <w:t xml:space="preserve">by </w:t>
      </w:r>
      <w:r>
        <w:t xml:space="preserve">merely </w:t>
      </w:r>
      <w:r w:rsidR="00EC6A15">
        <w:t>creat</w:t>
      </w:r>
      <w:r w:rsidR="001E0C72">
        <w:t>ing</w:t>
      </w:r>
      <w:r w:rsidR="00EC6A15">
        <w:t xml:space="preserve"> </w:t>
      </w:r>
      <w:r>
        <w:t>the</w:t>
      </w:r>
      <w:r w:rsidR="00EC6A15">
        <w:t xml:space="preserve"> smaller value set. </w:t>
      </w:r>
      <w:r>
        <w:t>H</w:t>
      </w:r>
      <w:r w:rsidR="001E0C72">
        <w:t xml:space="preserve">ow </w:t>
      </w:r>
      <w:r>
        <w:t xml:space="preserve">is a </w:t>
      </w:r>
      <w:r w:rsidR="001E0C72">
        <w:t>smaller value set</w:t>
      </w:r>
      <w:r>
        <w:t xml:space="preserve"> of an existing HL7 value set created?</w:t>
      </w:r>
      <w:r w:rsidR="001E0C72">
        <w:t xml:space="preserve"> </w:t>
      </w:r>
      <w:r>
        <w:t>Is HL7</w:t>
      </w:r>
      <w:r w:rsidR="001E0C72">
        <w:t xml:space="preserve"> the code system for the codes (unknown, asked-unknown and asked-declined)? Are they in VSAC?</w:t>
      </w:r>
    </w:p>
    <w:sectPr w:rsidR="0028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107"/>
    <w:multiLevelType w:val="hybridMultilevel"/>
    <w:tmpl w:val="36AA96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DC3501"/>
    <w:multiLevelType w:val="hybridMultilevel"/>
    <w:tmpl w:val="37029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2B26"/>
    <w:rsid w:val="001E0C72"/>
    <w:rsid w:val="00282B26"/>
    <w:rsid w:val="002D0D40"/>
    <w:rsid w:val="00301DE5"/>
    <w:rsid w:val="006C7F73"/>
    <w:rsid w:val="00776A0B"/>
    <w:rsid w:val="00A2509D"/>
    <w:rsid w:val="00EC6A15"/>
    <w:rsid w:val="00EE08C8"/>
    <w:rsid w:val="00FF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C337"/>
  <w15:chartTrackingRefBased/>
  <w15:docId w15:val="{6090E951-9209-429D-ACED-8E24463B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B2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6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A0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l7.org/fhir/R4/codesystem-data-absent-rea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R4/codesystem-data-absent-reason.html" TargetMode="External"/><Relationship Id="rId5" Type="http://schemas.openxmlformats.org/officeDocument/2006/relationships/hyperlink" Target="http://hl7.org/fhir/R4/codesystem-data-absent-reas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van Berkum</dc:creator>
  <cp:keywords/>
  <dc:description/>
  <cp:lastModifiedBy>Monique van Berkum</cp:lastModifiedBy>
  <cp:revision>9</cp:revision>
  <dcterms:created xsi:type="dcterms:W3CDTF">2019-12-18T16:01:00Z</dcterms:created>
  <dcterms:modified xsi:type="dcterms:W3CDTF">2019-12-19T14:53:00Z</dcterms:modified>
</cp:coreProperties>
</file>