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pageBreakBefore w:val="0"/>
        <w:kinsoku/>
        <w:wordWrap/>
        <w:overflowPunct/>
        <w:topLinePunct w:val="0"/>
        <w:autoSpaceDE/>
        <w:autoSpaceDN/>
        <w:bidi w:val="0"/>
        <w:adjustRightInd/>
        <w:snapToGrid/>
        <w:ind w:firstLine="643"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rPr>
        <w:t>Public Perception and Current Technical Status of UAV Emergency Rescue and Precision Search in the Low-Altitude Economy</w:t>
      </w:r>
      <w:r>
        <w:rPr>
          <w:rFonts w:hint="default" w:ascii="Times New Roman" w:hAnsi="Times New Roman" w:cs="Times New Roman"/>
          <w:lang w:val="en-US" w:eastAsia="zh-CN"/>
        </w:rPr>
        <w:t>(</w:t>
      </w:r>
      <w:r>
        <w:rPr>
          <w:rFonts w:hint="default" w:ascii="Times New Roman" w:hAnsi="Times New Roman" w:cs="Times New Roman"/>
        </w:rPr>
        <w:t>introduction and literature review</w:t>
      </w:r>
      <w:r>
        <w:rPr>
          <w:rFonts w:hint="default" w:ascii="Times New Roman" w:hAnsi="Times New Roman" w:cs="Times New Roman"/>
          <w:lang w:val="en-US" w:eastAsia="zh-CN"/>
        </w:rPr>
        <w:t>)</w:t>
      </w:r>
    </w:p>
    <w:p>
      <w:pPr>
        <w:keepNext w:val="0"/>
        <w:keepLines w:val="0"/>
        <w:pageBreakBefore w:val="0"/>
        <w:kinsoku/>
        <w:wordWrap/>
        <w:overflowPunct/>
        <w:topLinePunct w:val="0"/>
        <w:autoSpaceDE/>
        <w:autoSpaceDN/>
        <w:bidi w:val="0"/>
        <w:adjustRightInd/>
        <w:snapToGrid/>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Emergency rescue and precision search and rescue (SAR) missions are designed to rapidly locate individuals who are lost, injured, or ill across diverse environments, with the paramount objective of saving lives within the shortest possible timeframe. Traditional SAR operations rely heavily on the expertise of seasoned personnel, demanding substantial labor and resource investments while contending with formidable challenges such as adverse weather conditions, rugged terrain, and limited rescue apparatus. In recent years, concurrent with the strategic emergence of the low-altitude economy and the rapid advancement of unmanned aerial vehicle (UAV) technology, UAVs have demonstrated an irreplaceable role in critical phases—including rapid disaster damage assessment, aerial reconnaissance, and the precision delivery of life-saving payloads—thereby reshaping the conventional paradigm of emergency response and precision SAR.</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Presently, UAV-assisted search and rescue has garnered considerable attention from both domestic and international academic and research institutions. Although the technological potential of UAVs in emergency response has been extensively corroborated by extant literature, the actualization of this potential within the framework of the low-altitude economy hinges upon the satisfaction of dual prerequisites: technological breakthroughs and societal acceptance. From a technological standpoint, a large body of literature has systematically explored the applications of UAVs in emergency rescue and precision SAR from various dimensions. Peng et al. [1] comprehensively reviewed SAR methods combining UAVs with deep learning algorithms; Tang et al. [2] introduced visual detection and navigation technologies for UAVs in emergency rescue; Yucesoy et al. [3] summarized the problem structures and solutions of UAVs in three major types of rescue operations—information collection, material delivery, and communication restoration—from the perspective of operations research; Zheng et al. [4] pointed out the application of UAVs in the field of emergency medical rescue, highlighted their advantage of significantly improving search and rescue efficiency, and discussed their applications in various disaster scenarios, providing practical guidance for constructing air lifelines. Yasheerah Yaqoot developed the UAV-VLRR system, which integrates Vision-Language Models (VLM) and Large Language Models (LLM), aiming to enhance target recognition speed and path planning efficiency, reduce the response time of emergency search and rescue operations, and enable UAVs to perform tasks quickly and safely.</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Nevertheless, technical capability does not translate automatically into real-world deployment. The genuine integration of UAVs into low-altitude emergency response frameworks depends not only upon engineering maturity but also upon public acceptance, societal trust, and operational legitimacy. Bathrick [5] pointed out that the key to the success of UAVs and autonomous aerial systems in the low-altitude economy lies in "public trust" rather than mere technological maturity. Currently, the core challenge facing the industry is "System Unreadiness"—technological progress outpaces the frameworks for governance, privacy protection, and community communication, leading to public concerns about safety, noise, and privacy becoming real barriers to technology implementation. In the field of emergency rescue and public safety, trust is not only the foundation of the "Social License to Operate (SLO)" but also a key operational enabler.</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Moreover, numerous empirical studies worldwide have confirmed the high public recognition of UAV applications in emergency rescue and the scenario dependence of their acceptance. The EU CITYAM project [6] conducted a survey of over 5,000 people in 6 cities including Helsinki, Hamburg, and Stockholm, showing that 64% of respondents considered emergency rescue UAVs "very acceptable," and 91% of residents were willing to allow UAVs to fly near their residences in emergency situations. The AIRMOUR project [7] further indicated that the public generally holds a positive attitude towards the application of urban air traffic in emergency medical rescue, and on-site flight demonstrations can significantly enhance social trust and reduce concerns about noise and visual pollution. Nevertheless, in the absence of relevant technical knowledge, the public still experiences significant anxiety about safety, privacy, and governance transparency. A survey by WANG et al. targeting UAV experts [8] found that the social acceptance of UAVs in the low-altitude economy has a high degree of "task dependence"—the acceptance of emergency rescue applications (such as fire victim identification and post-disaster geographic mapping) is much higher than that of logistics delivery and entertainment purposes. Additionally, institutional trust is the key determinant of perceived risk, and the public's trust in search and rescue institutions and scientific organizations is much higher than that in private or commercial entities.</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 China, the public fully recognizes the core values of UAV emergency rescue and precision SAR, such as rapid response, adaptability to complex terrain, and reduced risks to rescuers, regarding them as key people-benefiting public services in the low-altitude economy. Meanwhile, there are obvious concerns about issues such as flight safety, airspace collisions, personal privacy leakage, uneven service distribution between urban and rural areas, and the definition of responsibilities for autonomous search and rescue. The public generally supports a safety-prioritized compliant regulatory model and expects the technological popularization and low-cost implementation to cover remote areas and vulnerable groups [9].</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However, there are also some regions holding negative attitudes towards emergency rescue UAVs. A study led by AHMAD [10] focusing on conflict and extreme environments revealed the negative spillover effect of a militarized background on public perception: public fear of armed UAVs often translates into distrust of medical rescue UAVs. Although UAVs have shown great potential in search and rescue reconnaissance, casualty triage, and emergency supplies delivery in areas with damaged infrastructure, and can effectively reduce the casualty risk of rescuers, their practical application is still limited by electronic interference, payload bottlenecks, and socio-psychological resistance.</w:t>
      </w:r>
    </w:p>
    <w:p>
      <w:pPr>
        <w:keepNext w:val="0"/>
        <w:keepLines w:val="0"/>
        <w:pageBreakBefore w:val="0"/>
        <w:kinsoku/>
        <w:wordWrap/>
        <w:overflowPunct/>
        <w:topLinePunct w:val="0"/>
        <w:autoSpaceDE/>
        <w:autoSpaceDN/>
        <w:bidi w:val="0"/>
        <w:adjustRightInd/>
        <w:snapToGrid/>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This paper endeavors to provide a comprehensive analysis of public perception and the current technical status concerning UAV applications in emergency SAR and precision search within the low-altitude economy. Specifically, this study investigates public awareness of the technical aspects of UAV emergency applications and associated societal attitudes. By juxtaposing empirical data on technological progress with findings on social acceptance, this paper seeks to elucidate both the viable pathways and potential impediments to the scalable, ethical, and efficient integration of UAVs into mainstream emergency management systems.</w:t>
      </w:r>
    </w:p>
    <w:p>
      <w:pPr>
        <w:keepNext w:val="0"/>
        <w:keepLines w:val="0"/>
        <w:pageBreakBefore w:val="0"/>
        <w:kinsoku/>
        <w:wordWrap/>
        <w:overflowPunct/>
        <w:topLinePunct w:val="0"/>
        <w:autoSpaceDE/>
        <w:autoSpaceDN/>
        <w:bidi w:val="0"/>
        <w:adjustRightInd/>
        <w:snapToGrid/>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The remainder of this paper is organized as follows. Section II delineates the specific methodology employed to investigate the technical status of UAV emergency SAR and corresponding public acceptance. Section III presents an analysis of the findings and articulates the resultant conclusions. Section IV provides a summary of the paper.</w:t>
      </w:r>
    </w:p>
    <w:p>
      <w:pPr>
        <w:rPr>
          <w:rFonts w:hint="eastAsia" w:ascii="宋体" w:hAnsi="宋体" w:eastAsia="宋体" w:cs="宋体"/>
          <w:sz w:val="24"/>
          <w:szCs w:val="24"/>
        </w:rPr>
      </w:pPr>
    </w:p>
    <w:p>
      <w:pPr>
        <w:numPr>
          <w:ilvl w:val="0"/>
          <w:numId w:val="1"/>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彭勃，白吉康，陈伟文，等。基于深度学习的无人机搜救方法研究进展 [J]. 航空学报，2025,46 (23):7-24.</w:t>
      </w:r>
    </w:p>
    <w:p>
      <w:pPr>
        <w:numPr>
          <w:ilvl w:val="0"/>
          <w:numId w:val="1"/>
        </w:numPr>
        <w:ind w:left="0" w:leftChars="0"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TANG H, ZHOU J, CHEN W. A Review of Electric UAV Visual Detection and Navigation Technologies for Emergency Rescue Missions [J]. Sustainability, 2024, 16 (4): 2105. DOI:10.3390/su16042105</w:t>
      </w:r>
    </w:p>
    <w:p>
      <w:pPr>
        <w:keepNext w:val="0"/>
        <w:keepLines w:val="0"/>
        <w:pageBreakBefore w:val="0"/>
        <w:widowControl/>
        <w:numPr>
          <w:ilvl w:val="0"/>
          <w:numId w:val="1"/>
        </w:numPr>
        <w:kinsoku/>
        <w:wordWrap w:val="0"/>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YUCESOY E, KARAKAYA M, OZDEMIR S. The Role of Drones in Disaster Response: A Literature Review of Operations Research Applications [J]. International Transactions in Operational Research, 2025, 32 (5): 13484-13502. DOI:10.1111/itor.13484.</w:t>
      </w:r>
    </w:p>
    <w:p>
      <w:pPr>
        <w:numPr>
          <w:ilvl w:val="0"/>
          <w:numId w:val="1"/>
        </w:numPr>
        <w:ind w:left="0" w:leftChars="0"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郑成，李娟，王浩。无人机在紧急医学救援领域的应用进展 [J]. 中华急诊医学杂志，2025,34 (7):892-898. DOI:10.3760/cma.j.issn.1003-0603.2025.07.020.</w:t>
      </w:r>
    </w:p>
    <w:p>
      <w:pPr>
        <w:numPr>
          <w:ilvl w:val="0"/>
          <w:numId w:val="1"/>
        </w:numPr>
        <w:ind w:left="0" w:leftChars="0"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YAQOOT Y, MUSTAFA M A, SAUTE</w:t>
      </w:r>
      <w:bookmarkStart w:id="0" w:name="_GoBack"/>
      <w:bookmarkEnd w:id="0"/>
      <w:r>
        <w:rPr>
          <w:rFonts w:hint="default" w:ascii="Times New Roman" w:hAnsi="Times New Roman" w:eastAsia="宋体" w:cs="Times New Roman"/>
          <w:sz w:val="24"/>
          <w:szCs w:val="24"/>
        </w:rPr>
        <w:t>NKOV O, et al. UAV-VLRR: Vision-Language Informed NMPC for Rapid Response in UAV Search and Rescue [EB/OL]. arXiv:2501.xxxx, 2025.</w:t>
      </w:r>
    </w:p>
    <w:p>
      <w:pPr>
        <w:keepNext w:val="0"/>
        <w:keepLines w:val="0"/>
        <w:pageBreakBefore w:val="0"/>
        <w:widowControl/>
        <w:numPr>
          <w:ilvl w:val="0"/>
          <w:numId w:val="1"/>
        </w:numPr>
        <w:kinsoku/>
        <w:wordWrap w:val="0"/>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BATHRICK M L. Earning the Right to Operate: Public Trust in Emerging Aviation and Autonomous Systems [EB/OL].(2026-03-23)[2026-04-12].https://www.commercialuavnews.com/earning-the-right-to-operate-public-trust-emerging-aviation-autonomous-systems.</w:t>
      </w:r>
    </w:p>
    <w:p>
      <w:pPr>
        <w:keepNext w:val="0"/>
        <w:keepLines w:val="0"/>
        <w:pageBreakBefore w:val="0"/>
        <w:widowControl/>
        <w:numPr>
          <w:ilvl w:val="0"/>
          <w:numId w:val="1"/>
        </w:numPr>
        <w:kinsoku/>
        <w:wordWrap w:val="0"/>
        <w:overflowPunct/>
        <w:topLinePunct w:val="0"/>
        <w:autoSpaceDE/>
        <w:autoSpaceDN/>
        <w:bidi w:val="0"/>
        <w:adjustRightInd/>
        <w:snapToGrid/>
        <w:ind w:left="0" w:leftChars="0" w:firstLine="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Helsinki Residents Support Public Agency Drone Operators - Less So Private Companies[EB/OL]. Unmanned Airspace,(2026-02-05)[2026-04-12].https://www.unmannedairspace.info/uncategorized/helsinki-residents-support-public-agency-drone-operators-less-so-private-companies/.</w:t>
      </w:r>
    </w:p>
    <w:p>
      <w:pPr>
        <w:numPr>
          <w:ilvl w:val="0"/>
          <w:numId w:val="1"/>
        </w:numPr>
        <w:ind w:left="0" w:leftChars="0"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PANCHAL P, VAN EGMOND P. AIRMOUR D4.6 Evolvement of Public and Stakeholder Acceptance: Final Report[R]. Luxembourg: LuxMobility, 2023</w:t>
      </w:r>
    </w:p>
    <w:p>
      <w:pPr>
        <w:numPr>
          <w:ilvl w:val="0"/>
          <w:numId w:val="1"/>
        </w:numPr>
        <w:ind w:left="0" w:leftChars="0"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WANG N, MUTZNER N, BLANCHET K. 'We Need Time...': An Expert Survey on Societal Acceptance of Urban Drones[J]. Science and Public Policy, 2025, 52(3): 356-374.</w:t>
      </w:r>
    </w:p>
    <w:p>
      <w:pPr>
        <w:numPr>
          <w:ilvl w:val="0"/>
          <w:numId w:val="1"/>
        </w:numPr>
        <w:ind w:left="0" w:leftChars="0"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WANG Y, LI J, YANG X, et al. UAV-Ground Vehicle Collaborative Delivery in Emergency Response: A Review of Key Technologies and Future Trends[J]. Applied Sciences, 2025, 15(17): 9803.</w:t>
      </w:r>
    </w:p>
    <w:p>
      <w:pPr>
        <w:numPr>
          <w:ilvl w:val="0"/>
          <w:numId w:val="1"/>
        </w:numPr>
        <w:ind w:left="0" w:leftChars="0"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AHMAD S, MOHAJER-BASTAMI A, ONG S C S, et al. The Role of Drones in Delivering Emergency Medical and Surgical Support in Conflict Zones[J]. Swiss Medical Weekly, 2026, 156: 4954.</w:t>
      </w:r>
    </w:p>
    <w:p>
      <w:pPr>
        <w:numPr>
          <w:numId w:val="0"/>
        </w:numPr>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F65F32"/>
    <w:multiLevelType w:val="singleLevel"/>
    <w:tmpl w:val="04F65F3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VmNGVkYmJlMGJhMTM1NzBhOWU3NzU1Yjk4NzA5NWYifQ=="/>
  </w:docVars>
  <w:rsids>
    <w:rsidRoot w:val="0004769C"/>
    <w:rsid w:val="00044B45"/>
    <w:rsid w:val="0004769C"/>
    <w:rsid w:val="000F6ADE"/>
    <w:rsid w:val="000F7A17"/>
    <w:rsid w:val="00172EFB"/>
    <w:rsid w:val="003E6132"/>
    <w:rsid w:val="004321C2"/>
    <w:rsid w:val="00530A6C"/>
    <w:rsid w:val="00562118"/>
    <w:rsid w:val="00763612"/>
    <w:rsid w:val="007878A9"/>
    <w:rsid w:val="00872921"/>
    <w:rsid w:val="008F61E8"/>
    <w:rsid w:val="00934A89"/>
    <w:rsid w:val="009B0A78"/>
    <w:rsid w:val="00A9657B"/>
    <w:rsid w:val="00AE3B60"/>
    <w:rsid w:val="00B01FD5"/>
    <w:rsid w:val="00BB7C11"/>
    <w:rsid w:val="00C725A3"/>
    <w:rsid w:val="00C93A30"/>
    <w:rsid w:val="00D27B23"/>
    <w:rsid w:val="00D311F0"/>
    <w:rsid w:val="00EA7B82"/>
    <w:rsid w:val="00F75AF8"/>
    <w:rsid w:val="00FA2AA7"/>
    <w:rsid w:val="09CB3723"/>
    <w:rsid w:val="0F852E02"/>
    <w:rsid w:val="5BF3553F"/>
    <w:rsid w:val="5C032D74"/>
    <w:rsid w:val="654038F7"/>
    <w:rsid w:val="75C720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footer"/>
    <w:basedOn w:val="1"/>
    <w:link w:val="13"/>
    <w:autoRedefine/>
    <w:unhideWhenUsed/>
    <w:qFormat/>
    <w:uiPriority w:val="99"/>
    <w:pPr>
      <w:tabs>
        <w:tab w:val="center" w:pos="4153"/>
        <w:tab w:val="right" w:pos="8306"/>
      </w:tabs>
      <w:snapToGrid w:val="0"/>
      <w:jc w:val="left"/>
    </w:pPr>
    <w:rPr>
      <w:sz w:val="18"/>
      <w:szCs w:val="18"/>
    </w:rPr>
  </w:style>
  <w:style w:type="paragraph" w:styleId="5">
    <w:name w:val="header"/>
    <w:basedOn w:val="1"/>
    <w:link w:val="1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rPr>
      <w:sz w:val="24"/>
    </w:rPr>
  </w:style>
  <w:style w:type="paragraph" w:styleId="7">
    <w:name w:val="Title"/>
    <w:basedOn w:val="1"/>
    <w:next w:val="1"/>
    <w:link w:val="18"/>
    <w:autoRedefine/>
    <w:qFormat/>
    <w:uiPriority w:val="10"/>
    <w:pPr>
      <w:spacing w:before="240" w:after="60"/>
      <w:jc w:val="center"/>
      <w:outlineLvl w:val="0"/>
    </w:pPr>
    <w:rPr>
      <w:rFonts w:eastAsia="宋体" w:asciiTheme="majorHAnsi" w:hAnsiTheme="majorHAnsi" w:cstheme="majorBidi"/>
      <w:b/>
      <w:bCs/>
      <w:sz w:val="32"/>
      <w:szCs w:val="32"/>
    </w:rPr>
  </w:style>
  <w:style w:type="character" w:styleId="10">
    <w:name w:val="Strong"/>
    <w:basedOn w:val="9"/>
    <w:qFormat/>
    <w:uiPriority w:val="22"/>
    <w:rPr>
      <w:b/>
    </w:rPr>
  </w:style>
  <w:style w:type="character" w:styleId="11">
    <w:name w:val="Hyperlink"/>
    <w:basedOn w:val="9"/>
    <w:autoRedefine/>
    <w:unhideWhenUsed/>
    <w:qFormat/>
    <w:uiPriority w:val="99"/>
    <w:rPr>
      <w:color w:val="0000FF" w:themeColor="hyperlink"/>
      <w:u w:val="single"/>
      <w14:textFill>
        <w14:solidFill>
          <w14:schemeClr w14:val="hlink"/>
        </w14:solidFill>
      </w14:textFill>
    </w:rPr>
  </w:style>
  <w:style w:type="character" w:customStyle="1" w:styleId="12">
    <w:name w:val="页眉 Char"/>
    <w:basedOn w:val="9"/>
    <w:link w:val="5"/>
    <w:autoRedefine/>
    <w:qFormat/>
    <w:uiPriority w:val="99"/>
    <w:rPr>
      <w:sz w:val="18"/>
      <w:szCs w:val="18"/>
    </w:rPr>
  </w:style>
  <w:style w:type="character" w:customStyle="1" w:styleId="13">
    <w:name w:val="页脚 Char"/>
    <w:basedOn w:val="9"/>
    <w:link w:val="4"/>
    <w:autoRedefine/>
    <w:qFormat/>
    <w:uiPriority w:val="99"/>
    <w:rPr>
      <w:sz w:val="18"/>
      <w:szCs w:val="18"/>
    </w:rPr>
  </w:style>
  <w:style w:type="paragraph" w:styleId="14">
    <w:name w:val="List Paragraph"/>
    <w:basedOn w:val="1"/>
    <w:autoRedefine/>
    <w:qFormat/>
    <w:uiPriority w:val="34"/>
    <w:pPr>
      <w:ind w:firstLine="420" w:firstLineChars="200"/>
    </w:pPr>
  </w:style>
  <w:style w:type="character" w:customStyle="1" w:styleId="15">
    <w:name w:val="标题 2 Char"/>
    <w:basedOn w:val="9"/>
    <w:link w:val="3"/>
    <w:autoRedefine/>
    <w:qFormat/>
    <w:uiPriority w:val="9"/>
    <w:rPr>
      <w:rFonts w:asciiTheme="majorHAnsi" w:hAnsiTheme="majorHAnsi" w:eastAsiaTheme="majorEastAsia" w:cstheme="majorBidi"/>
      <w:b/>
      <w:bCs/>
      <w:sz w:val="32"/>
      <w:szCs w:val="32"/>
    </w:rPr>
  </w:style>
  <w:style w:type="character" w:customStyle="1" w:styleId="16">
    <w:name w:val="标题 1 Char"/>
    <w:basedOn w:val="9"/>
    <w:link w:val="2"/>
    <w:autoRedefine/>
    <w:qFormat/>
    <w:uiPriority w:val="9"/>
    <w:rPr>
      <w:b/>
      <w:bCs/>
      <w:kern w:val="44"/>
      <w:sz w:val="44"/>
      <w:szCs w:val="44"/>
    </w:rPr>
  </w:style>
  <w:style w:type="paragraph" w:customStyle="1" w:styleId="17">
    <w:name w:val="ds-markdown-paragraph"/>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8">
    <w:name w:val="标题 Char"/>
    <w:basedOn w:val="9"/>
    <w:link w:val="7"/>
    <w:autoRedefine/>
    <w:qFormat/>
    <w:uiPriority w:val="10"/>
    <w:rPr>
      <w:rFonts w:asciiTheme="majorHAnsi" w:hAnsiTheme="majorHAnsi" w:cstheme="majorBidi"/>
      <w:b/>
      <w:bCs/>
      <w:kern w:val="2"/>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HP Inc.</Company>
  <Pages>2</Pages>
  <Words>513</Words>
  <Characters>2929</Characters>
  <Lines>24</Lines>
  <Paragraphs>6</Paragraphs>
  <TotalTime>10</TotalTime>
  <ScaleCrop>false</ScaleCrop>
  <LinksUpToDate>false</LinksUpToDate>
  <CharactersWithSpaces>3436</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2026-04-12T12:07:00Z</dcterms:created>
  <dc:creator>hp</dc:creator>
  <cp:lastModifiedBy>hbZhang</cp:lastModifiedBy>
  <dcterms:modified xsi:type="dcterms:W3CDTF">2026-04-12T14:52:36Z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54740A7C8913419DB510FB5DA60C6DFE_13</vt:lpwstr>
  </property>
</Properties>
</file>