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Charter Brainstorming</w:t>
      </w:r>
    </w:p>
    <w:p>
      <w:pPr>
        <w:pStyle w:val="Subtitle"/>
      </w:pPr>
      <w:r>
        <w:t>Planning proposal based on Temiko’s original SMART note</w:t>
      </w:r>
    </w:p>
    <w:p>
      <w:r>
        <w:rPr>
          <w:sz w:val="20"/>
        </w:rPr>
        <w:t>Temiko Machavariani and Nurtore Arynuruly   |   BUS 2010   |   10 September 2026</w:t>
      </w:r>
    </w:p>
    <w:p>
      <w:r>
        <w:rPr>
          <w:b w:val="0"/>
        </w:rPr>
        <w:t>Purpose: explore the choices behind the ClassMic charter. This worksheet builds on Temiko’s original SMART note. The classroom scenarios below are hypotheses to test, rather than observations attributed to our class.</w:t>
      </w:r>
    </w:p>
    <w:p>
      <w:pPr>
        <w:pStyle w:val="Heading1"/>
      </w:pPr>
      <w:r>
        <w:t>Source material</w:t>
      </w:r>
    </w:p>
    <w:p>
      <w:r>
        <w:t>Temiko’s original SMART note proposes instructor-controlled phone microphones, one active speaker, existing equipment, low delay and 75% positive feedback. It supplies the concept and intended benefits. Local demand and technical performance still need evaluation.</w:t>
      </w:r>
    </w:p>
    <w:p>
      <w:pPr>
        <w:pStyle w:val="Heading1"/>
      </w:pPr>
      <w:r>
        <w:t>Charter brainstorming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384"/>
        <w:gridCol w:w="4680"/>
      </w:tblGrid>
      <w:tr>
        <w:trPr>
          <w:cantSplit/>
          <w:tblHeader/>
        </w:trPr>
        <w:tc>
          <w:tcPr>
            <w:tcW w:type="dxa" w:w="2160"/>
            <w:vAlign w:val="center"/>
            <w:shd w:fill="263F50"/>
            <w:tcMar>
              <w:top w:w="70" w:type="dxa"/>
              <w:bottom w:w="70" w:type="dxa"/>
              <w:left w:w="90" w:type="dxa"/>
              <w:right w:w="90" w:type="dxa"/>
            </w:tcMar>
          </w:tcPr>
          <w:p>
            <w:pPr>
              <w:spacing w:after="0" w:line="245" w:lineRule="auto"/>
            </w:pPr>
            <w:r>
              <w:rPr>
                <w:rFonts w:ascii="Arial" w:hAnsi="Arial"/>
                <w:b/>
                <w:color w:val="FFFFFF"/>
                <w:sz w:val="19"/>
              </w:rPr>
              <w:t>Planning question</w:t>
            </w:r>
          </w:p>
        </w:tc>
        <w:tc>
          <w:tcPr>
            <w:tcW w:type="dxa" w:w="3384"/>
            <w:vAlign w:val="center"/>
            <w:shd w:fill="263F50"/>
            <w:tcMar>
              <w:top w:w="70" w:type="dxa"/>
              <w:bottom w:w="70" w:type="dxa"/>
              <w:left w:w="90" w:type="dxa"/>
              <w:right w:w="90" w:type="dxa"/>
            </w:tcMar>
          </w:tcPr>
          <w:p>
            <w:pPr>
              <w:spacing w:after="0" w:line="245" w:lineRule="auto"/>
            </w:pPr>
            <w:r>
              <w:rPr>
                <w:rFonts w:ascii="Arial" w:hAnsi="Arial"/>
                <w:b/>
                <w:color w:val="FFFFFF"/>
                <w:sz w:val="19"/>
              </w:rPr>
              <w:t>Options considered</w:t>
            </w:r>
          </w:p>
        </w:tc>
        <w:tc>
          <w:tcPr>
            <w:tcW w:type="dxa" w:w="4680"/>
            <w:vAlign w:val="center"/>
            <w:shd w:fill="263F50"/>
            <w:tcMar>
              <w:top w:w="70" w:type="dxa"/>
              <w:bottom w:w="70" w:type="dxa"/>
              <w:left w:w="90" w:type="dxa"/>
              <w:right w:w="90" w:type="dxa"/>
            </w:tcMar>
          </w:tcPr>
          <w:p>
            <w:pPr>
              <w:spacing w:after="0" w:line="245" w:lineRule="auto"/>
            </w:pPr>
            <w:r>
              <w:rPr>
                <w:rFonts w:ascii="Arial" w:hAnsi="Arial"/>
                <w:b/>
                <w:color w:val="FFFFFF"/>
                <w:sz w:val="19"/>
              </w:rPr>
              <w:t>Selected direction and reason</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19"/>
              </w:rPr>
              <w:t>What problem is worth testing?</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19"/>
              </w:rPr>
              <w:t>A quiet question, a listener at the back, or time spent passing a microphone.</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19"/>
              </w:rPr>
              <w:t>Use audibility as the hypothesis. These are typical scenarios, not observations attributed to our class.</w:t>
            </w:r>
          </w:p>
        </w:tc>
      </w:tr>
      <w:tr>
        <w:trPr>
          <w:cantSplit/>
        </w:trPr>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19"/>
              </w:rPr>
              <w:t>What could solve it?</w:t>
            </w:r>
          </w:p>
        </w:tc>
        <w:tc>
          <w:tcPr>
            <w:tcW w:type="dxa" w:w="3384"/>
            <w:vAlign w:val="center"/>
            <w:shd w:fill="FFFFFF"/>
            <w:tcMar>
              <w:top w:w="70" w:type="dxa"/>
              <w:bottom w:w="70" w:type="dxa"/>
              <w:left w:w="90" w:type="dxa"/>
              <w:right w:w="90" w:type="dxa"/>
            </w:tcMar>
          </w:tcPr>
          <w:p>
            <w:pPr>
              <w:spacing w:after="0" w:line="245" w:lineRule="auto"/>
            </w:pPr>
            <w:r>
              <w:rPr>
                <w:rFonts w:ascii="Arial" w:hAnsi="Arial"/>
                <w:b w:val="0"/>
                <w:color w:val="000000"/>
                <w:sz w:val="19"/>
              </w:rPr>
              <w:t>Instructor repetition, an existing physical mic, a commercial phone-mic system, or a small browser prototype.</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19"/>
              </w:rPr>
              <w:t>Build the small prototype for course learning and compare it with the current speaking process. No claim that custom software is the best institutional purchase.</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19"/>
              </w:rPr>
              <w:t>Who controls the microphone?</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19"/>
              </w:rPr>
              <w:t>Open microphones or an instructor-approved queue.</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19"/>
              </w:rPr>
              <w:t>One approved push-to-talk speaker, with mute, removal and end controls. This reduces interruption and makes control testable.</w:t>
            </w:r>
          </w:p>
        </w:tc>
      </w:tr>
      <w:tr>
        <w:trPr>
          <w:cantSplit/>
        </w:trPr>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19"/>
              </w:rPr>
              <w:t>How much can the course deliver?</w:t>
            </w:r>
          </w:p>
        </w:tc>
        <w:tc>
          <w:tcPr>
            <w:tcW w:type="dxa" w:w="3384"/>
            <w:vAlign w:val="center"/>
            <w:shd w:fill="FFFFFF"/>
            <w:tcMar>
              <w:top w:w="70" w:type="dxa"/>
              <w:bottom w:w="70" w:type="dxa"/>
              <w:left w:w="90" w:type="dxa"/>
              <w:right w:w="90" w:type="dxa"/>
            </w:tcMar>
          </w:tcPr>
          <w:p>
            <w:pPr>
              <w:spacing w:after="0" w:line="245" w:lineRule="auto"/>
            </w:pPr>
            <w:r>
              <w:rPr>
                <w:rFonts w:ascii="Arial" w:hAnsi="Arial"/>
                <w:b w:val="0"/>
                <w:color w:val="000000"/>
                <w:sz w:val="19"/>
              </w:rPr>
              <w:t>A live campus pilot or a controlled two-sprint build.</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19"/>
              </w:rPr>
              <w:t>Five Must stories in two weekly sprints. Live deployment and the earlier six-week pilot stay outside this project.</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19"/>
              </w:rPr>
              <w:t>What will count as success?</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19"/>
              </w:rPr>
              <w:t>A polished demo alone or measured acceptance evidence.</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19"/>
              </w:rPr>
              <w:t>All Must checks, setup and activation timings, a 150 ms one-way delay target, volunteer feedback and zero critical control defects.</w:t>
            </w:r>
          </w:p>
        </w:tc>
      </w:tr>
    </w:tbl>
    <w:p>
      <w:pPr>
        <w:spacing w:after="0"/>
      </w:pPr>
    </w:p>
    <w:p>
      <w:pPr>
        <w:pStyle w:val="Heading1"/>
      </w:pPr>
      <w:r>
        <w:t>Decisions carried into the charter</w:t>
      </w:r>
    </w:p>
    <w:p>
      <w:r>
        <w:t>Use five priority stories, 100 student hours and AED 0 incremental cash through reuse. Nurtore coordinates the project and Temiko leads technical work. These are the selected planning roles. Formal course acceptance and actual resource availability remain open. This worksheet is a planning proposal, not a record of an earlier group meeting.</w:t>
      </w:r>
    </w:p>
    <w:sectPr w:rsidR="00FC693F" w:rsidRPr="0006063C" w:rsidSect="00034616">
      <w:footerReference w:type="default" r:id="rId9"/>
      <w:head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Charter planning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Charter Brainstorming</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