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Charter Planning</w:t>
      </w:r>
    </w:p>
    <w:p>
      <w:pPr>
        <w:pStyle w:val="Subtitle"/>
      </w:pPr>
      <w:r>
        <w:t>Options and proposed decisions</w:t>
      </w:r>
    </w:p>
    <w:p>
      <w:r>
        <w:rPr>
          <w:sz w:val="20"/>
        </w:rPr>
        <w:t>Temiko Machavariani and Nurtore Arynuruly   |   BUS 2010   |   10 September 2026</w:t>
      </w:r>
    </w:p>
    <w:p>
      <w:r>
        <w:rPr>
          <w:b w:val="0"/>
        </w:rPr>
        <w:t>ClassMic will test whether instructor-controlled phone microphones improve the audibility of student contributions. The planning options focus on a small prototype that fits the course schedule.</w:t>
      </w:r>
    </w:p>
    <w:p>
      <w:pPr>
        <w:pStyle w:val="Heading1"/>
      </w:pPr>
      <w:r>
        <w:t>Starting concept</w:t>
      </w:r>
    </w:p>
    <w:p>
      <w:r>
        <w:t>Temiko’s in-class SMART note proposes one active phone microphone, instructor control and reuse of existing equipment. Its goals include low delay and at least 75% positive feedback. The charter retains these aims and narrows the course project to controlled prototype evaluation.</w:t>
      </w:r>
    </w:p>
    <w:p>
      <w:pPr>
        <w:pStyle w:val="Heading1"/>
      </w:pPr>
      <w:r>
        <w:t>Planning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384"/>
        <w:gridCol w:w="4680"/>
      </w:tblGrid>
      <w:tr>
        <w:trPr>
          <w:cantSplit/>
          <w:tblHeader/>
        </w:trPr>
        <w:tc>
          <w:tcPr>
            <w:tcW w:type="dxa" w:w="2160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Planning choice</w:t>
            </w:r>
          </w:p>
        </w:tc>
        <w:tc>
          <w:tcPr>
            <w:tcW w:type="dxa" w:w="3384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Alternatives</w:t>
            </w:r>
          </w:p>
        </w:tc>
        <w:tc>
          <w:tcPr>
            <w:tcW w:type="dxa" w:w="4680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Proposed direction and reason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What problem is worth testing?</w:t>
            </w:r>
          </w:p>
        </w:tc>
        <w:tc>
          <w:tcPr>
            <w:tcW w:type="dxa" w:w="3384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quiet question, a listener at the back, or time spent passing a microphone.</w:t>
            </w:r>
          </w:p>
        </w:tc>
        <w:tc>
          <w:tcPr>
            <w:tcW w:type="dxa" w:w="468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 the hypothesis that phone microphones improve audibility when a student’s unaided voice is difficult to hear.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What could solve it?</w:t>
            </w:r>
          </w:p>
        </w:tc>
        <w:tc>
          <w:tcPr>
            <w:tcW w:type="dxa" w:w="33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Instructor repetition, an existing physical mic, a commercial phone-mic system, or a small browser prototype.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small browser prototype allows direct comparison with the current speaking process. A commercial system remains an option for a future institutional pilot.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Who controls the microphone?</w:t>
            </w:r>
          </w:p>
        </w:tc>
        <w:tc>
          <w:tcPr>
            <w:tcW w:type="dxa" w:w="3384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 microphones or an instructor-approved queue.</w:t>
            </w:r>
          </w:p>
        </w:tc>
        <w:tc>
          <w:tcPr>
            <w:tcW w:type="dxa" w:w="468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One approved push-to-talk speaker, with mute, removal and end controls. This reduces interruption and makes control testable.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How much can the course deliver?</w:t>
            </w:r>
          </w:p>
        </w:tc>
        <w:tc>
          <w:tcPr>
            <w:tcW w:type="dxa" w:w="33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live campus pilot or a controlled two-sprint build.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Five priority stories in two weekly sprints. Live deployment and a six-week classroom pilot remain outside the course project.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What will count as success?</w:t>
            </w:r>
          </w:p>
        </w:tc>
        <w:tc>
          <w:tcPr>
            <w:tcW w:type="dxa" w:w="3384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polished demo alone or measured acceptance evidence.</w:t>
            </w:r>
          </w:p>
        </w:tc>
        <w:tc>
          <w:tcPr>
            <w:tcW w:type="dxa" w:w="468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Acceptance checks, setup and activation timings, a 150 ms one-way delay target, volunteer feedback and zero critical control defects.</w:t>
            </w:r>
          </w:p>
        </w:tc>
      </w:tr>
    </w:tbl>
    <w:p>
      <w:pPr>
        <w:spacing w:after="0"/>
      </w:pPr>
    </w:p>
    <w:p>
      <w:pPr>
        <w:pStyle w:val="Heading1"/>
      </w:pPr>
      <w:r>
        <w:t>Proposed charter decisions</w:t>
      </w:r>
    </w:p>
    <w:p>
      <w:r>
        <w:t>The proposed scope covers five priority user stories across two weekly sprints, with 100 student hours and AED 0 incremental cash assuming existing resources are available. Nurtore coordinates the project and Temiko leads technical work. Course approval and resource availability remain open project decisions.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ClassMic   Charter planning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Charter Brainstorming</dc:title>
  <dc:subject>BUS 2010 ClassMic course project</dc:subject>
  <dc:creator>Temiko Machavariani and Nurtore Arynuruly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