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ClassMic Project Charter</w:t>
      </w:r>
    </w:p>
    <w:p>
      <w:pPr>
        <w:pStyle w:val="Subtitle"/>
      </w:pPr>
      <w:r>
        <w:t>C1   Develop the Project Charter</w:t>
      </w:r>
    </w:p>
    <w:p>
      <w:r>
        <w:rPr>
          <w:sz w:val="20"/>
        </w:rPr>
        <w:t>Temiko Machavariani and Nurtore Arynuruly   |   BUS 2010   |   10 September 2026</w:t>
      </w:r>
    </w:p>
    <w:p>
      <w:r>
        <w:rPr>
          <w:b/>
          <w:sz w:val="20"/>
        </w:rPr>
        <w:t>Draft project charter.</w:t>
      </w:r>
      <w:r>
        <w:rPr>
          <w:b w:val="0"/>
          <w:sz w:val="20"/>
        </w:rPr>
        <w:t xml:space="preserve"> ClassMic proposes a two-sprint browser prototype and controlled evaluation, based on the project aspiration and business case.</w:t>
      </w:r>
    </w:p>
    <w:p>
      <w:pPr>
        <w:pStyle w:val="Heading1"/>
      </w:pPr>
      <w:r>
        <w:t>1 Purpose and justification</w:t>
      </w:r>
    </w:p>
    <w:p>
      <w:r>
        <w:t>Test whether student phones can make classroom questions easier to hear while the instructor controls speaking turns. B2 recommends a small course prototype using existing resources. Comparing it with current practice will inform a later pilot decision. The project supports the CONNECT theme through shared classroom learning.</w:t>
      </w:r>
    </w:p>
    <w:p>
      <w:pPr>
        <w:pStyle w:val="Heading1"/>
      </w:pPr>
      <w:r>
        <w:t>2 Measurable objectives and success criteria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48"/>
        <w:gridCol w:w="9576"/>
      </w:tblGrid>
      <w:tr>
        <w:trPr>
          <w:cantSplit/>
          <w:tblHeader/>
        </w:trPr>
        <w:tc>
          <w:tcPr>
            <w:tcW w:type="dxa" w:w="648"/>
            <w:vAlign w:val="center"/>
            <w:shd w:fill="263F50"/>
            <w:tcMar>
              <w:top w:w="70" w:type="dxa"/>
              <w:bottom w:w="70" w:type="dxa"/>
              <w:left w:w="90" w:type="dxa"/>
              <w:right w:w="90" w:type="dxa"/>
            </w:tcMar>
          </w:tcPr>
          <w:p>
            <w:pPr>
              <w:spacing w:after="0" w:line="245" w:lineRule="auto"/>
            </w:pPr>
            <w:r>
              <w:rPr>
                <w:rFonts w:ascii="Arial" w:hAnsi="Arial"/>
                <w:b/>
                <w:color w:val="FFFFFF"/>
                <w:sz w:val="20"/>
              </w:rPr>
              <w:t>ID</w:t>
            </w:r>
          </w:p>
        </w:tc>
        <w:tc>
          <w:tcPr>
            <w:tcW w:type="dxa" w:w="9576"/>
            <w:vAlign w:val="center"/>
            <w:shd w:fill="263F50"/>
            <w:tcMar>
              <w:top w:w="70" w:type="dxa"/>
              <w:bottom w:w="70" w:type="dxa"/>
              <w:left w:w="90" w:type="dxa"/>
              <w:right w:w="90" w:type="dxa"/>
            </w:tcMar>
          </w:tcPr>
          <w:p>
            <w:pPr>
              <w:spacing w:after="0" w:line="245" w:lineRule="auto"/>
            </w:pPr>
            <w:r>
              <w:rPr>
                <w:rFonts w:ascii="Arial" w:hAnsi="Arial"/>
                <w:b/>
                <w:color w:val="FFFFFF"/>
                <w:sz w:val="20"/>
              </w:rPr>
              <w:t>Target by the end of prototype evaluation</w:t>
            </w:r>
          </w:p>
        </w:tc>
      </w:tr>
      <w:tr>
        <w:trPr>
          <w:cantSplit/>
        </w:trPr>
        <w:tc>
          <w:tcPr>
            <w:tcW w:type="dxa" w:w="648"/>
            <w:vAlign w:val="center"/>
            <w:shd w:fill="F1F4F6"/>
            <w:tcMar>
              <w:top w:w="70" w:type="dxa"/>
              <w:bottom w:w="70" w:type="dxa"/>
              <w:left w:w="90" w:type="dxa"/>
              <w:right w:w="90" w:type="dxa"/>
            </w:tcMar>
          </w:tcPr>
          <w:p>
            <w:pPr>
              <w:spacing w:after="0" w:line="245" w:lineRule="auto"/>
            </w:pPr>
            <w:r>
              <w:rPr>
                <w:rFonts w:ascii="Arial" w:hAnsi="Arial"/>
                <w:b w:val="0"/>
                <w:color w:val="000000"/>
                <w:sz w:val="20"/>
              </w:rPr>
              <w:t>O1</w:t>
            </w:r>
          </w:p>
        </w:tc>
        <w:tc>
          <w:tcPr>
            <w:tcW w:type="dxa" w:w="9576"/>
            <w:vAlign w:val="center"/>
            <w:shd w:fill="F1F4F6"/>
            <w:tcMar>
              <w:top w:w="70" w:type="dxa"/>
              <w:bottom w:w="70" w:type="dxa"/>
              <w:left w:w="90" w:type="dxa"/>
              <w:right w:w="90" w:type="dxa"/>
            </w:tcMar>
          </w:tcPr>
          <w:p>
            <w:pPr>
              <w:spacing w:after="0" w:line="245" w:lineRule="auto"/>
            </w:pPr>
            <w:r>
              <w:rPr>
                <w:rFonts w:ascii="Arial" w:hAnsi="Arial"/>
                <w:b w:val="0"/>
                <w:color w:val="000000"/>
                <w:sz w:val="20"/>
              </w:rPr>
              <w:t>Complete five priority user stories. Pass all Must acceptance checks with no open critical defect.</w:t>
            </w:r>
          </w:p>
        </w:tc>
      </w:tr>
      <w:tr>
        <w:trPr>
          <w:cantSplit/>
        </w:trPr>
        <w:tc>
          <w:tcPr>
            <w:tcW w:type="dxa" w:w="648"/>
            <w:vAlign w:val="center"/>
            <w:shd w:fill="FFFFFF"/>
            <w:tcMar>
              <w:top w:w="70" w:type="dxa"/>
              <w:bottom w:w="70" w:type="dxa"/>
              <w:left w:w="90" w:type="dxa"/>
              <w:right w:w="90" w:type="dxa"/>
            </w:tcMar>
          </w:tcPr>
          <w:p>
            <w:pPr>
              <w:spacing w:after="0" w:line="245" w:lineRule="auto"/>
            </w:pPr>
            <w:r>
              <w:rPr>
                <w:rFonts w:ascii="Arial" w:hAnsi="Arial"/>
                <w:b w:val="0"/>
                <w:color w:val="000000"/>
                <w:sz w:val="20"/>
              </w:rPr>
              <w:t>O2</w:t>
            </w:r>
          </w:p>
        </w:tc>
        <w:tc>
          <w:tcPr>
            <w:tcW w:type="dxa" w:w="9576"/>
            <w:vAlign w:val="center"/>
            <w:shd w:fill="FFFFFF"/>
            <w:tcMar>
              <w:top w:w="70" w:type="dxa"/>
              <w:bottom w:w="70" w:type="dxa"/>
              <w:left w:w="90" w:type="dxa"/>
              <w:right w:w="90" w:type="dxa"/>
            </w:tcMar>
          </w:tcPr>
          <w:p>
            <w:pPr>
              <w:spacing w:after="0" w:line="245" w:lineRule="auto"/>
            </w:pPr>
            <w:r>
              <w:rPr>
                <w:rFonts w:ascii="Arial" w:hAnsi="Arial"/>
                <w:b w:val="0"/>
                <w:color w:val="000000"/>
                <w:sz w:val="20"/>
              </w:rPr>
              <w:t>At least 9 of 10 setup trials within 2 minutes and 27 of 30 approved speaking trials audible within 3 seconds.</w:t>
            </w:r>
          </w:p>
        </w:tc>
      </w:tr>
      <w:tr>
        <w:trPr>
          <w:cantSplit/>
        </w:trPr>
        <w:tc>
          <w:tcPr>
            <w:tcW w:type="dxa" w:w="648"/>
            <w:vAlign w:val="center"/>
            <w:shd w:fill="F1F4F6"/>
            <w:tcMar>
              <w:top w:w="70" w:type="dxa"/>
              <w:bottom w:w="70" w:type="dxa"/>
              <w:left w:w="90" w:type="dxa"/>
              <w:right w:w="90" w:type="dxa"/>
            </w:tcMar>
          </w:tcPr>
          <w:p>
            <w:pPr>
              <w:spacing w:after="0" w:line="245" w:lineRule="auto"/>
            </w:pPr>
            <w:r>
              <w:rPr>
                <w:rFonts w:ascii="Arial" w:hAnsi="Arial"/>
                <w:b w:val="0"/>
                <w:color w:val="000000"/>
                <w:sz w:val="20"/>
              </w:rPr>
              <w:t>O3</w:t>
            </w:r>
          </w:p>
        </w:tc>
        <w:tc>
          <w:tcPr>
            <w:tcW w:type="dxa" w:w="9576"/>
            <w:vAlign w:val="center"/>
            <w:shd w:fill="F1F4F6"/>
            <w:tcMar>
              <w:top w:w="70" w:type="dxa"/>
              <w:bottom w:w="70" w:type="dxa"/>
              <w:left w:w="90" w:type="dxa"/>
              <w:right w:w="90" w:type="dxa"/>
            </w:tcMar>
          </w:tcPr>
          <w:p>
            <w:pPr>
              <w:spacing w:after="0" w:line="245" w:lineRule="auto"/>
            </w:pPr>
            <w:r>
              <w:rPr>
                <w:rFonts w:ascii="Arial" w:hAnsi="Arial"/>
                <w:b w:val="0"/>
                <w:color w:val="000000"/>
                <w:sz w:val="20"/>
              </w:rPr>
              <w:t>At least 75% positive audibility feedback from at least 5 volunteer reviewers. Report counts and sample limits.</w:t>
            </w:r>
          </w:p>
        </w:tc>
      </w:tr>
      <w:tr>
        <w:trPr>
          <w:cantSplit/>
        </w:trPr>
        <w:tc>
          <w:tcPr>
            <w:tcW w:type="dxa" w:w="648"/>
            <w:vAlign w:val="center"/>
            <w:shd w:fill="FFFFFF"/>
            <w:tcMar>
              <w:top w:w="70" w:type="dxa"/>
              <w:bottom w:w="70" w:type="dxa"/>
              <w:left w:w="90" w:type="dxa"/>
              <w:right w:w="90" w:type="dxa"/>
            </w:tcMar>
          </w:tcPr>
          <w:p>
            <w:pPr>
              <w:spacing w:after="0" w:line="245" w:lineRule="auto"/>
            </w:pPr>
            <w:r>
              <w:rPr>
                <w:rFonts w:ascii="Arial" w:hAnsi="Arial"/>
                <w:b w:val="0"/>
                <w:color w:val="000000"/>
                <w:sz w:val="20"/>
              </w:rPr>
              <w:t>O4</w:t>
            </w:r>
          </w:p>
        </w:tc>
        <w:tc>
          <w:tcPr>
            <w:tcW w:type="dxa" w:w="9576"/>
            <w:vAlign w:val="center"/>
            <w:shd w:fill="FFFFFF"/>
            <w:tcMar>
              <w:top w:w="70" w:type="dxa"/>
              <w:bottom w:w="70" w:type="dxa"/>
              <w:left w:w="90" w:type="dxa"/>
              <w:right w:w="90" w:type="dxa"/>
            </w:tcMar>
          </w:tcPr>
          <w:p>
            <w:pPr>
              <w:spacing w:after="0" w:line="245" w:lineRule="auto"/>
            </w:pPr>
            <w:r>
              <w:rPr>
                <w:rFonts w:ascii="Arial" w:hAnsi="Arial"/>
                <w:b w:val="0"/>
                <w:color w:val="000000"/>
                <w:sz w:val="20"/>
              </w:rPr>
              <w:t>Zero unauthorized transmissions in misuse tests. No saved audio or transcripts. Preserve an alternative speaking route.</w:t>
            </w:r>
          </w:p>
        </w:tc>
      </w:tr>
    </w:tbl>
    <w:p>
      <w:pPr>
        <w:spacing w:after="0"/>
      </w:pPr>
    </w:p>
    <w:p>
      <w:r>
        <w:rPr>
          <w:sz w:val="19"/>
        </w:rPr>
        <w:t>Use scripted trials with a ready speaker. Measure audio transport delay separately and report its median and 95th percentile. The selected prototype target is a 95th percentile one-way delay of no more than 150 milliseconds. The three-second target includes speaking activation, not just network delay.</w:t>
      </w:r>
    </w:p>
    <w:p>
      <w:pPr>
        <w:pStyle w:val="Heading1"/>
      </w:pPr>
      <w:r>
        <w:t>3 High level scope and exclusions</w:t>
      </w:r>
    </w:p>
    <w:p>
      <w:r>
        <w:rPr>
          <w:b/>
        </w:rPr>
        <w:t>Included:</w:t>
      </w:r>
      <w:r>
        <w:t xml:space="preserve"> temporary browser sessions, QR or code join, microphone permission, speaking queue, instructor approval and mute/end controls, one active push-to-talk phone, speaker output, recovery guidance and controlled evaluation.</w:t>
      </w:r>
    </w:p>
    <w:p>
      <w:r>
        <w:rPr>
          <w:b/>
        </w:rPr>
        <w:t>Excluded:</w:t>
      </w:r>
      <w:r>
        <w:t xml:space="preserve"> live teaching deployment, a six-week institutional pilot, recording or transcripts, permanent profiles, speech-based grading or attendance, simultaneous microphones, remote learning and paid production infrastructure.</w:t>
      </w:r>
    </w:p>
    <w:p>
      <w:pPr>
        <w:pStyle w:val="Heading1"/>
      </w:pPr>
      <w:r>
        <w:t>4 Deliverables and milestones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8136"/>
      </w:tblGrid>
      <w:tr>
        <w:trPr>
          <w:cantSplit/>
          <w:tblHeader/>
        </w:trPr>
        <w:tc>
          <w:tcPr>
            <w:tcW w:type="dxa" w:w="2088"/>
            <w:vAlign w:val="center"/>
            <w:shd w:fill="263F50"/>
            <w:tcMar>
              <w:top w:w="70" w:type="dxa"/>
              <w:bottom w:w="70" w:type="dxa"/>
              <w:left w:w="90" w:type="dxa"/>
              <w:right w:w="90" w:type="dxa"/>
            </w:tcMar>
          </w:tcPr>
          <w:p>
            <w:pPr>
              <w:spacing w:after="0" w:line="245" w:lineRule="auto"/>
            </w:pPr>
            <w:r>
              <w:rPr>
                <w:rFonts w:ascii="Arial" w:hAnsi="Arial"/>
                <w:b/>
                <w:color w:val="FFFFFF"/>
                <w:sz w:val="20"/>
              </w:rPr>
              <w:t>Planned date</w:t>
            </w:r>
          </w:p>
        </w:tc>
        <w:tc>
          <w:tcPr>
            <w:tcW w:type="dxa" w:w="8136"/>
            <w:vAlign w:val="center"/>
            <w:shd w:fill="263F50"/>
            <w:tcMar>
              <w:top w:w="70" w:type="dxa"/>
              <w:bottom w:w="70" w:type="dxa"/>
              <w:left w:w="90" w:type="dxa"/>
              <w:right w:w="90" w:type="dxa"/>
            </w:tcMar>
          </w:tcPr>
          <w:p>
            <w:pPr>
              <w:spacing w:after="0" w:line="245" w:lineRule="auto"/>
            </w:pPr>
            <w:r>
              <w:rPr>
                <w:rFonts w:ascii="Arial" w:hAnsi="Arial"/>
                <w:b/>
                <w:color w:val="FFFFFF"/>
                <w:sz w:val="20"/>
              </w:rPr>
              <w:t>Deliverable</w:t>
            </w:r>
          </w:p>
        </w:tc>
      </w:tr>
      <w:tr>
        <w:trPr>
          <w:cantSplit/>
        </w:trPr>
        <w:tc>
          <w:tcPr>
            <w:tcW w:type="dxa" w:w="2088"/>
            <w:vAlign w:val="center"/>
            <w:shd w:fill="F1F4F6"/>
            <w:tcMar>
              <w:top w:w="70" w:type="dxa"/>
              <w:bottom w:w="70" w:type="dxa"/>
              <w:left w:w="90" w:type="dxa"/>
              <w:right w:w="90" w:type="dxa"/>
            </w:tcMar>
          </w:tcPr>
          <w:p>
            <w:pPr>
              <w:spacing w:after="0" w:line="245" w:lineRule="auto"/>
            </w:pPr>
            <w:r>
              <w:rPr>
                <w:rFonts w:ascii="Arial" w:hAnsi="Arial"/>
                <w:b w:val="0"/>
                <w:color w:val="000000"/>
                <w:sz w:val="20"/>
              </w:rPr>
              <w:t>By 19 September</w:t>
            </w:r>
          </w:p>
        </w:tc>
        <w:tc>
          <w:tcPr>
            <w:tcW w:type="dxa" w:w="8136"/>
            <w:vAlign w:val="center"/>
            <w:shd w:fill="F1F4F6"/>
            <w:tcMar>
              <w:top w:w="70" w:type="dxa"/>
              <w:bottom w:w="70" w:type="dxa"/>
              <w:left w:w="90" w:type="dxa"/>
              <w:right w:w="90" w:type="dxa"/>
            </w:tcMar>
          </w:tcPr>
          <w:p>
            <w:pPr>
              <w:spacing w:after="0" w:line="245" w:lineRule="auto"/>
            </w:pPr>
            <w:r>
              <w:rPr>
                <w:rFonts w:ascii="Arial" w:hAnsi="Arial"/>
                <w:b w:val="0"/>
                <w:color w:val="000000"/>
                <w:sz w:val="20"/>
              </w:rPr>
              <w:t>Reviewed project direction, requirements, scope and development plan.</w:t>
            </w:r>
          </w:p>
        </w:tc>
      </w:tr>
      <w:tr>
        <w:trPr>
          <w:cantSplit/>
        </w:trPr>
        <w:tc>
          <w:tcPr>
            <w:tcW w:type="dxa" w:w="2088"/>
            <w:vAlign w:val="center"/>
            <w:shd w:fill="FFFFFF"/>
            <w:tcMar>
              <w:top w:w="70" w:type="dxa"/>
              <w:bottom w:w="70" w:type="dxa"/>
              <w:left w:w="90" w:type="dxa"/>
              <w:right w:w="90" w:type="dxa"/>
            </w:tcMar>
          </w:tcPr>
          <w:p>
            <w:pPr>
              <w:spacing w:after="0" w:line="245" w:lineRule="auto"/>
            </w:pPr>
            <w:r>
              <w:rPr>
                <w:rFonts w:ascii="Arial" w:hAnsi="Arial"/>
                <w:b w:val="0"/>
                <w:color w:val="000000"/>
                <w:sz w:val="20"/>
              </w:rPr>
              <w:t>20–26 September</w:t>
            </w:r>
          </w:p>
        </w:tc>
        <w:tc>
          <w:tcPr>
            <w:tcW w:type="dxa" w:w="8136"/>
            <w:vAlign w:val="center"/>
            <w:shd w:fill="FFFFFF"/>
            <w:tcMar>
              <w:top w:w="70" w:type="dxa"/>
              <w:bottom w:w="70" w:type="dxa"/>
              <w:left w:w="90" w:type="dxa"/>
              <w:right w:w="90" w:type="dxa"/>
            </w:tcMar>
          </w:tcPr>
          <w:p>
            <w:pPr>
              <w:spacing w:after="0" w:line="245" w:lineRule="auto"/>
            </w:pPr>
            <w:r>
              <w:rPr>
                <w:rFonts w:ascii="Arial" w:hAnsi="Arial"/>
                <w:b w:val="0"/>
                <w:color w:val="000000"/>
                <w:sz w:val="20"/>
              </w:rPr>
              <w:t>Sprint 1 demo of session access and instructor controls.</w:t>
            </w:r>
          </w:p>
        </w:tc>
      </w:tr>
      <w:tr>
        <w:trPr>
          <w:cantSplit/>
        </w:trPr>
        <w:tc>
          <w:tcPr>
            <w:tcW w:type="dxa" w:w="2088"/>
            <w:vAlign w:val="center"/>
            <w:shd w:fill="F1F4F6"/>
            <w:tcMar>
              <w:top w:w="70" w:type="dxa"/>
              <w:bottom w:w="70" w:type="dxa"/>
              <w:left w:w="90" w:type="dxa"/>
              <w:right w:w="90" w:type="dxa"/>
            </w:tcMar>
          </w:tcPr>
          <w:p>
            <w:pPr>
              <w:spacing w:after="0" w:line="245" w:lineRule="auto"/>
            </w:pPr>
            <w:r>
              <w:rPr>
                <w:rFonts w:ascii="Arial" w:hAnsi="Arial"/>
                <w:b w:val="0"/>
                <w:color w:val="000000"/>
                <w:sz w:val="20"/>
              </w:rPr>
              <w:t>27 September–3 October</w:t>
            </w:r>
          </w:p>
        </w:tc>
        <w:tc>
          <w:tcPr>
            <w:tcW w:type="dxa" w:w="8136"/>
            <w:vAlign w:val="center"/>
            <w:shd w:fill="F1F4F6"/>
            <w:tcMar>
              <w:top w:w="70" w:type="dxa"/>
              <w:bottom w:w="70" w:type="dxa"/>
              <w:left w:w="90" w:type="dxa"/>
              <w:right w:w="90" w:type="dxa"/>
            </w:tcMar>
          </w:tcPr>
          <w:p>
            <w:pPr>
              <w:spacing w:after="0" w:line="245" w:lineRule="auto"/>
            </w:pPr>
            <w:r>
              <w:rPr>
                <w:rFonts w:ascii="Arial" w:hAnsi="Arial"/>
                <w:b w:val="0"/>
                <w:color w:val="000000"/>
                <w:sz w:val="20"/>
              </w:rPr>
              <w:t>Sprint 2 audio prototype, test record, feedback and evaluation.</w:t>
            </w:r>
          </w:p>
        </w:tc>
      </w:tr>
      <w:tr>
        <w:trPr>
          <w:cantSplit/>
        </w:trPr>
        <w:tc>
          <w:tcPr>
            <w:tcW w:type="dxa" w:w="2088"/>
            <w:vAlign w:val="center"/>
            <w:shd w:fill="FFFFFF"/>
            <w:tcMar>
              <w:top w:w="70" w:type="dxa"/>
              <w:bottom w:w="70" w:type="dxa"/>
              <w:left w:w="90" w:type="dxa"/>
              <w:right w:w="90" w:type="dxa"/>
            </w:tcMar>
          </w:tcPr>
          <w:p>
            <w:pPr>
              <w:spacing w:after="0" w:line="245" w:lineRule="auto"/>
            </w:pPr>
            <w:r>
              <w:rPr>
                <w:rFonts w:ascii="Arial" w:hAnsi="Arial"/>
                <w:b w:val="0"/>
                <w:color w:val="000000"/>
                <w:sz w:val="20"/>
              </w:rPr>
              <w:t>4–9 October</w:t>
            </w:r>
          </w:p>
        </w:tc>
        <w:tc>
          <w:tcPr>
            <w:tcW w:type="dxa" w:w="8136"/>
            <w:vAlign w:val="center"/>
            <w:shd w:fill="FFFFFF"/>
            <w:tcMar>
              <w:top w:w="70" w:type="dxa"/>
              <w:bottom w:w="70" w:type="dxa"/>
              <w:left w:w="90" w:type="dxa"/>
              <w:right w:w="90" w:type="dxa"/>
            </w:tcMar>
          </w:tcPr>
          <w:p>
            <w:pPr>
              <w:spacing w:after="0" w:line="245" w:lineRule="auto"/>
            </w:pPr>
            <w:r>
              <w:rPr>
                <w:rFonts w:ascii="Arial" w:hAnsi="Arial"/>
                <w:b w:val="0"/>
                <w:color w:val="000000"/>
                <w:sz w:val="20"/>
              </w:rPr>
              <w:t>Closeout review and final presentation.</w:t>
            </w:r>
          </w:p>
        </w:tc>
      </w:tr>
    </w:tbl>
    <w:p>
      <w:pPr>
        <w:spacing w:after="0"/>
      </w:pPr>
    </w:p>
    <w:p>
      <w:r>
        <w:rPr>
          <w:sz w:val="19"/>
        </w:rPr>
        <w:t>Course milestones follow the published planning, execution and closing cutoffs: 22 September, 4 October and 10 October, respectively, at 00:00.</w:t>
      </w:r>
    </w:p>
    <w:p>
      <w:r>
        <w:br w:type="page"/>
      </w:r>
    </w:p>
    <w:p>
      <w:pPr>
        <w:pStyle w:val="Heading1"/>
      </w:pPr>
      <w:r>
        <w:t>5 High level requirements</w:t>
      </w:r>
    </w:p>
    <w:p>
      <w:r>
        <w:t>The browser requests explicit permission before microphone capture. Only an instructor-approved participant can transmit. Releasing push to talk, muting, disconnecting or ending the session must stop transmission. Expired sessions reject access. The prototype saves no audio or transcripts. Keep anonymous test counts, timings and defect records until 30 days after course feedback, then delete participant-level records. Participants who cannot use the phone workflow can ask the instructor to repeat their question or use an available physical microphone.</w:t>
      </w:r>
    </w:p>
    <w:p>
      <w:pPr>
        <w:pStyle w:val="Heading1"/>
      </w:pPr>
      <w:r>
        <w:t>6 Initial risks assumptions and constraints</w:t>
      </w:r>
    </w:p>
    <w:p>
      <w:r>
        <w:rPr>
          <w:b/>
        </w:rPr>
        <w:t>Risks:</w:t>
      </w:r>
      <w:r>
        <w:t xml:space="preserve"> feedback, network delay, device incompatibility, unwanted transmission, insufficient testing and limited team capacity. Test the audio path early, retain instructor stop controls, record defects and remove optional work if the schedule slips. Stop affected tests for suspected privacy or control failures.</w:t>
      </w:r>
    </w:p>
    <w:p>
      <w:r>
        <w:rPr>
          <w:b/>
        </w:rPr>
        <w:t>Assumptions:</w:t>
      </w:r>
      <w:r>
        <w:t xml:space="preserve"> suitable phones, a laptop and speaker are available; volunteers can review the prototype; the team can provide about 100 hours in total; and the course instructor accepts the proposed sequence. Equipment access, reviewer availability and team capacity require confirmation.</w:t>
      </w:r>
    </w:p>
    <w:p>
      <w:r>
        <w:rPr>
          <w:b/>
        </w:rPr>
        <w:t>Constraints:</w:t>
      </w:r>
      <w:r>
        <w:t xml:space="preserve"> two weekly construction sprints, five priority stories, the published course deadlines and no new spending without approval. The initial cash forecast is AED 0 because existing resources are assumed. Live classroom use requires a separate authorization.</w:t>
      </w:r>
    </w:p>
    <w:p>
      <w:pPr>
        <w:pStyle w:val="Heading1"/>
      </w:pPr>
      <w:r>
        <w:t>7 Sponsor and major stakeholders</w:t>
      </w:r>
    </w:p>
    <w:p>
      <w:r>
        <w:t>Course acceptance authority: the BUS 2010 instructor. Formal charter approval and the named sponsor record remain open. Stakeholders are students as speakers and listeners, instructors as operators, and the two-person project team. IT, AV, privacy and accessibility advisers may support reviews if available. No university department or external sponsor is committed by this draft.</w:t>
      </w:r>
    </w:p>
    <w:p>
      <w:pPr>
        <w:pStyle w:val="Heading1"/>
      </w:pPr>
      <w:r>
        <w:t>8 Project manager and authority</w:t>
      </w:r>
    </w:p>
    <w:p>
      <w:r>
        <w:t>Planning roles: Nurtore Arynuruly is project manager. Temiko Machavariani is technical lead. On approval, the project manager coordinates work, tracks risks and changes, and accepts internal work against the PRD. Temiko leads implementation and technical testing. The course instructor accepts assessed deliverables and material changes to scope or timing. Neither team member may commit university funds or authorize live deployment.</w:t>
      </w:r>
    </w:p>
    <w:p>
      <w:pPr>
        <w:pStyle w:val="Heading1"/>
      </w:pPr>
      <w:r>
        <w:t>Items requiring confirmation</w:t>
      </w:r>
    </w:p>
    <w:p>
      <w:r>
        <w:rPr>
          <w:b/>
          <w:sz w:val="20"/>
        </w:rPr>
        <w:t>Project authorization:</w:t>
      </w:r>
      <w:r>
        <w:rPr>
          <w:b w:val="0"/>
          <w:sz w:val="20"/>
        </w:rPr>
        <w:t xml:space="preserve"> acceptance of the revised A2 aspiration, B2 business case and C1 charter, and identification of the course sponsor.</w:t>
      </w:r>
    </w:p>
    <w:p>
      <w:r>
        <w:rPr>
          <w:b/>
          <w:sz w:val="20"/>
        </w:rPr>
        <w:t>Resources:</w:t>
      </w:r>
      <w:r>
        <w:rPr>
          <w:b w:val="0"/>
          <w:sz w:val="20"/>
        </w:rPr>
        <w:t xml:space="preserve"> access to suitable phones, a laptop and a speaker; at least five volunteer reviewers; and the team’s capacity for the proposed 100 student hours.</w:t>
      </w:r>
    </w:p>
    <w:sectPr w:rsidR="00FC693F" w:rsidRPr="0006063C" w:rsidSect="00034616">
      <w:footerReference w:type="default" r:id="rId9"/>
      <w:headerReference w:type="default" r:id="rId10"/>
      <w:pgSz w:w="12240" w:h="15840"/>
      <w:pgMar w:top="936" w:right="1008" w:bottom="936" w:left="1008"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ClassMic   C1 draft for review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12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line="250" w:lineRule="auto"/>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00" w:line="250"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50" w:lineRule="auto"/>
      <w:contextualSpacing/>
    </w:pPr>
    <w:rPr>
      <w:rFonts w:asciiTheme="majorHAnsi" w:eastAsiaTheme="majorEastAsia" w:hAnsiTheme="majorHAnsi" w:cstheme="majorBidi" w:ascii="Arial" w:hAnsi="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50" w:lineRule="auto" w:after="160"/>
    </w:pPr>
    <w:rPr>
      <w:rFonts w:asciiTheme="majorHAnsi" w:eastAsiaTheme="majorEastAsia" w:hAnsiTheme="majorHAnsi" w:cstheme="majorBidi" w:ascii="Arial" w:hAnsi="Arial"/>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ClassMic Project Charter</dc:title>
  <dc:subject>BUS 2010 ClassMic course project</dc:subject>
  <dc:creator>Temiko Machavariani and Nurtore Arynuruly</dc:creator>
  <cp:keywords/>
  <dc:description>generated by python-docx</dc:description>
  <cp:lastModifiedBy/>
  <cp:revision>1</cp:revision>
  <dcterms:created xsi:type="dcterms:W3CDTF">2013-12-23T23:15:00Z</dcterms:created>
  <dcterms:modified xsi:type="dcterms:W3CDTF">2013-12-23T23:15:00Z</dcterms:modified>
  <cp:category/>
</cp:coreProperties>
</file>