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ClassMic Project Charter</w:t>
      </w:r>
    </w:p>
    <w:p>
      <w:pPr>
        <w:pStyle w:val="Subtitle"/>
      </w:pPr>
      <w:r>
        <w:t>C1   Develop the Project Charter</w:t>
      </w:r>
    </w:p>
    <w:p>
      <w:r>
        <w:rPr>
          <w:sz w:val="20"/>
        </w:rPr>
        <w:t>Temiko Machavariani and Nurtore Arynuruly   |   BUS 2010   |   17 September 2026</w:t>
      </w:r>
    </w:p>
    <w:p>
      <w:r>
        <w:rPr>
          <w:b/>
          <w:sz w:val="20"/>
        </w:rPr>
        <w:t>Proposed charter for a ClassMic browser prototype, developed and evaluated in two weekly sprints.</w:t>
      </w:r>
    </w:p>
    <w:p>
      <w:pPr>
        <w:pStyle w:val="Heading1"/>
      </w:pPr>
      <w:r>
        <w:t>1 Purpose and justification</w:t>
      </w:r>
    </w:p>
    <w:p>
      <w:r>
        <w:t>The project will test whether student phones can make classroom questions easier to hear while the instructor controls speaking turns. We will compare the prototype with the current speaking process before recommending a larger pilot. This supports the CONNECT theme through classroom discussion.</w:t>
      </w:r>
    </w:p>
    <w:p>
      <w:pPr>
        <w:pStyle w:val="Heading1"/>
      </w:pPr>
      <w:r>
        <w:t>2 Measurable objectives and success criteria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48"/>
        <w:gridCol w:w="9576"/>
      </w:tblGrid>
      <w:tr>
        <w:trPr>
          <w:cantSplit/>
          <w:tblHeader/>
        </w:trPr>
        <w:tc>
          <w:tcPr>
            <w:tcW w:type="dxa" w:w="648"/>
            <w:vAlign w:val="center"/>
            <w:shd w:fill="263F50"/>
            <w:tcMar>
              <w:top w:w="70" w:type="dxa"/>
              <w:bottom w:w="70" w:type="dxa"/>
              <w:left w:w="90" w:type="dxa"/>
              <w:right w:w="90" w:type="dxa"/>
            </w:tcMar>
          </w:tcPr>
          <w:p>
            <w:pPr>
              <w:spacing w:after="0" w:line="245" w:lineRule="auto"/>
            </w:pPr>
            <w:r>
              <w:rPr>
                <w:rFonts w:ascii="Arial" w:hAnsi="Arial"/>
                <w:b/>
                <w:color w:val="FFFFFF"/>
                <w:sz w:val="20"/>
              </w:rPr>
              <w:t>ID</w:t>
            </w:r>
          </w:p>
        </w:tc>
        <w:tc>
          <w:tcPr>
            <w:tcW w:type="dxa" w:w="9576"/>
            <w:vAlign w:val="center"/>
            <w:shd w:fill="263F50"/>
            <w:tcMar>
              <w:top w:w="70" w:type="dxa"/>
              <w:bottom w:w="70" w:type="dxa"/>
              <w:left w:w="90" w:type="dxa"/>
              <w:right w:w="90" w:type="dxa"/>
            </w:tcMar>
          </w:tcPr>
          <w:p>
            <w:pPr>
              <w:spacing w:after="0" w:line="245" w:lineRule="auto"/>
            </w:pPr>
            <w:r>
              <w:rPr>
                <w:rFonts w:ascii="Arial" w:hAnsi="Arial"/>
                <w:b/>
                <w:color w:val="FFFFFF"/>
                <w:sz w:val="20"/>
              </w:rPr>
              <w:t>Target by the end of prototype evaluation</w:t>
            </w:r>
          </w:p>
        </w:tc>
      </w:tr>
      <w:tr>
        <w:trPr>
          <w:cantSplit/>
        </w:trPr>
        <w:tc>
          <w:tcPr>
            <w:tcW w:type="dxa" w:w="648"/>
            <w:vAlign w:val="center"/>
            <w:shd w:fill="F1F4F6"/>
            <w:tcMar>
              <w:top w:w="70" w:type="dxa"/>
              <w:bottom w:w="70" w:type="dxa"/>
              <w:left w:w="90" w:type="dxa"/>
              <w:right w:w="90" w:type="dxa"/>
            </w:tcMar>
          </w:tcPr>
          <w:p>
            <w:pPr>
              <w:spacing w:after="0" w:line="245" w:lineRule="auto"/>
            </w:pPr>
            <w:r>
              <w:rPr>
                <w:rFonts w:ascii="Arial" w:hAnsi="Arial"/>
                <w:b w:val="0"/>
                <w:color w:val="000000"/>
                <w:sz w:val="20"/>
              </w:rPr>
              <w:t>O1</w:t>
            </w:r>
          </w:p>
        </w:tc>
        <w:tc>
          <w:tcPr>
            <w:tcW w:type="dxa" w:w="9576"/>
            <w:vAlign w:val="center"/>
            <w:shd w:fill="F1F4F6"/>
            <w:tcMar>
              <w:top w:w="70" w:type="dxa"/>
              <w:bottom w:w="70" w:type="dxa"/>
              <w:left w:w="90" w:type="dxa"/>
              <w:right w:w="90" w:type="dxa"/>
            </w:tcMar>
          </w:tcPr>
          <w:p>
            <w:pPr>
              <w:spacing w:after="0" w:line="245" w:lineRule="auto"/>
            </w:pPr>
            <w:r>
              <w:rPr>
                <w:rFonts w:ascii="Arial" w:hAnsi="Arial"/>
                <w:b w:val="0"/>
                <w:color w:val="000000"/>
                <w:sz w:val="20"/>
              </w:rPr>
              <w:t>Complete five priority user stories. Pass all required acceptance checks with no open critical defect.</w:t>
            </w:r>
          </w:p>
        </w:tc>
      </w:tr>
      <w:tr>
        <w:trPr>
          <w:cantSplit/>
        </w:trPr>
        <w:tc>
          <w:tcPr>
            <w:tcW w:type="dxa" w:w="648"/>
            <w:vAlign w:val="center"/>
            <w:shd w:fill="FFFFFF"/>
            <w:tcMar>
              <w:top w:w="70" w:type="dxa"/>
              <w:bottom w:w="70" w:type="dxa"/>
              <w:left w:w="90" w:type="dxa"/>
              <w:right w:w="90" w:type="dxa"/>
            </w:tcMar>
          </w:tcPr>
          <w:p>
            <w:pPr>
              <w:spacing w:after="0" w:line="245" w:lineRule="auto"/>
            </w:pPr>
            <w:r>
              <w:rPr>
                <w:rFonts w:ascii="Arial" w:hAnsi="Arial"/>
                <w:b w:val="0"/>
                <w:color w:val="000000"/>
                <w:sz w:val="20"/>
              </w:rPr>
              <w:t>O2</w:t>
            </w:r>
          </w:p>
        </w:tc>
        <w:tc>
          <w:tcPr>
            <w:tcW w:type="dxa" w:w="9576"/>
            <w:vAlign w:val="center"/>
            <w:shd w:fill="FFFFFF"/>
            <w:tcMar>
              <w:top w:w="70" w:type="dxa"/>
              <w:bottom w:w="70" w:type="dxa"/>
              <w:left w:w="90" w:type="dxa"/>
              <w:right w:w="90" w:type="dxa"/>
            </w:tcMar>
          </w:tcPr>
          <w:p>
            <w:pPr>
              <w:spacing w:after="0" w:line="245" w:lineRule="auto"/>
            </w:pPr>
            <w:r>
              <w:rPr>
                <w:rFonts w:ascii="Arial" w:hAnsi="Arial"/>
                <w:b w:val="0"/>
                <w:color w:val="000000"/>
                <w:sz w:val="20"/>
              </w:rPr>
              <w:t>At least 9 of 10 setup trials within 2 minutes and 27 of 30 approved speaking trials audible within 3 seconds.</w:t>
            </w:r>
          </w:p>
        </w:tc>
      </w:tr>
      <w:tr>
        <w:trPr>
          <w:cantSplit/>
        </w:trPr>
        <w:tc>
          <w:tcPr>
            <w:tcW w:type="dxa" w:w="648"/>
            <w:vAlign w:val="center"/>
            <w:shd w:fill="F1F4F6"/>
            <w:tcMar>
              <w:top w:w="70" w:type="dxa"/>
              <w:bottom w:w="70" w:type="dxa"/>
              <w:left w:w="90" w:type="dxa"/>
              <w:right w:w="90" w:type="dxa"/>
            </w:tcMar>
          </w:tcPr>
          <w:p>
            <w:pPr>
              <w:spacing w:after="0" w:line="245" w:lineRule="auto"/>
            </w:pPr>
            <w:r>
              <w:rPr>
                <w:rFonts w:ascii="Arial" w:hAnsi="Arial"/>
                <w:b w:val="0"/>
                <w:color w:val="000000"/>
                <w:sz w:val="20"/>
              </w:rPr>
              <w:t>O3</w:t>
            </w:r>
          </w:p>
        </w:tc>
        <w:tc>
          <w:tcPr>
            <w:tcW w:type="dxa" w:w="9576"/>
            <w:vAlign w:val="center"/>
            <w:shd w:fill="F1F4F6"/>
            <w:tcMar>
              <w:top w:w="70" w:type="dxa"/>
              <w:bottom w:w="70" w:type="dxa"/>
              <w:left w:w="90" w:type="dxa"/>
              <w:right w:w="90" w:type="dxa"/>
            </w:tcMar>
          </w:tcPr>
          <w:p>
            <w:pPr>
              <w:spacing w:after="0" w:line="245" w:lineRule="auto"/>
            </w:pPr>
            <w:r>
              <w:rPr>
                <w:rFonts w:ascii="Arial" w:hAnsi="Arial"/>
                <w:b w:val="0"/>
                <w:color w:val="000000"/>
                <w:sz w:val="20"/>
              </w:rPr>
              <w:t>At least 75% positive audibility feedback from at least 5 volunteer reviewers. Include response counts and sample limitations.</w:t>
            </w:r>
          </w:p>
        </w:tc>
      </w:tr>
      <w:tr>
        <w:trPr>
          <w:cantSplit/>
        </w:trPr>
        <w:tc>
          <w:tcPr>
            <w:tcW w:type="dxa" w:w="648"/>
            <w:vAlign w:val="center"/>
            <w:shd w:fill="FFFFFF"/>
            <w:tcMar>
              <w:top w:w="70" w:type="dxa"/>
              <w:bottom w:w="70" w:type="dxa"/>
              <w:left w:w="90" w:type="dxa"/>
              <w:right w:w="90" w:type="dxa"/>
            </w:tcMar>
          </w:tcPr>
          <w:p>
            <w:pPr>
              <w:spacing w:after="0" w:line="245" w:lineRule="auto"/>
            </w:pPr>
            <w:r>
              <w:rPr>
                <w:rFonts w:ascii="Arial" w:hAnsi="Arial"/>
                <w:b w:val="0"/>
                <w:color w:val="000000"/>
                <w:sz w:val="20"/>
              </w:rPr>
              <w:t>O4</w:t>
            </w:r>
          </w:p>
        </w:tc>
        <w:tc>
          <w:tcPr>
            <w:tcW w:type="dxa" w:w="9576"/>
            <w:vAlign w:val="center"/>
            <w:shd w:fill="FFFFFF"/>
            <w:tcMar>
              <w:top w:w="70" w:type="dxa"/>
              <w:bottom w:w="70" w:type="dxa"/>
              <w:left w:w="90" w:type="dxa"/>
              <w:right w:w="90" w:type="dxa"/>
            </w:tcMar>
          </w:tcPr>
          <w:p>
            <w:pPr>
              <w:spacing w:after="0" w:line="245" w:lineRule="auto"/>
            </w:pPr>
            <w:r>
              <w:rPr>
                <w:rFonts w:ascii="Arial" w:hAnsi="Arial"/>
                <w:b w:val="0"/>
                <w:color w:val="000000"/>
                <w:sz w:val="20"/>
              </w:rPr>
              <w:t>Zero unauthorized transmissions in misuse tests. No saved audio or transcripts. Keep a physical microphone or instructor repetition available.</w:t>
            </w:r>
          </w:p>
        </w:tc>
      </w:tr>
    </w:tbl>
    <w:p>
      <w:pPr>
        <w:spacing w:after="0"/>
      </w:pPr>
    </w:p>
    <w:p>
      <w:r>
        <w:rPr>
          <w:sz w:val="19"/>
        </w:rPr>
        <w:t>Use scripted trials with a ready speaker to measure setup and speaking activation. Measure one-way audio delay separately and report its median and 95th percentile. The 95th-percentile target is 150 milliseconds or less; the three-second activation target includes the time from instructor approval until speech is audible.</w:t>
      </w:r>
    </w:p>
    <w:p>
      <w:pPr>
        <w:pStyle w:val="Heading1"/>
      </w:pPr>
      <w:r>
        <w:t>3 High level scope and exclusions</w:t>
      </w:r>
    </w:p>
    <w:p>
      <w:r>
        <w:rPr>
          <w:b/>
        </w:rPr>
        <w:t>Included:</w:t>
      </w:r>
      <w:r>
        <w:t xml:space="preserve"> temporary browser sessions, QR or code join, microphone permission, speaking queue, instructor approval and mute/end controls, one active push-to-talk phone, speaker output, recovery guidance and controlled evaluation.</w:t>
      </w:r>
    </w:p>
    <w:p>
      <w:r>
        <w:rPr>
          <w:b w:val="0"/>
        </w:rPr>
        <w:t>Excluded: live teaching deployment, an extended classroom pilot, recording or transcripts, permanent profiles, speech-based grading or attendance, simultaneous microphones, remote learning and paid production infrastructure.</w:t>
      </w:r>
    </w:p>
    <w:p>
      <w:pPr>
        <w:pStyle w:val="Heading1"/>
      </w:pPr>
      <w:r>
        <w:t>4 Deliverables and milestones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8136"/>
      </w:tblGrid>
      <w:tr>
        <w:trPr>
          <w:cantSplit/>
          <w:tblHeader/>
        </w:trPr>
        <w:tc>
          <w:tcPr>
            <w:tcW w:type="dxa" w:w="2088"/>
            <w:vAlign w:val="center"/>
            <w:shd w:fill="263F50"/>
            <w:tcMar>
              <w:top w:w="70" w:type="dxa"/>
              <w:bottom w:w="70" w:type="dxa"/>
              <w:left w:w="90" w:type="dxa"/>
              <w:right w:w="90" w:type="dxa"/>
            </w:tcMar>
          </w:tcPr>
          <w:p>
            <w:pPr>
              <w:spacing w:after="0" w:line="245" w:lineRule="auto"/>
            </w:pPr>
            <w:r>
              <w:rPr>
                <w:rFonts w:ascii="Arial" w:hAnsi="Arial"/>
                <w:b/>
                <w:color w:val="FFFFFF"/>
                <w:sz w:val="20"/>
              </w:rPr>
              <w:t>Planned date</w:t>
            </w:r>
          </w:p>
        </w:tc>
        <w:tc>
          <w:tcPr>
            <w:tcW w:type="dxa" w:w="8136"/>
            <w:vAlign w:val="center"/>
            <w:shd w:fill="263F50"/>
            <w:tcMar>
              <w:top w:w="70" w:type="dxa"/>
              <w:bottom w:w="70" w:type="dxa"/>
              <w:left w:w="90" w:type="dxa"/>
              <w:right w:w="90" w:type="dxa"/>
            </w:tcMar>
          </w:tcPr>
          <w:p>
            <w:pPr>
              <w:spacing w:after="0" w:line="245" w:lineRule="auto"/>
            </w:pPr>
            <w:r>
              <w:rPr>
                <w:rFonts w:ascii="Arial" w:hAnsi="Arial"/>
                <w:b/>
                <w:color w:val="FFFFFF"/>
                <w:sz w:val="20"/>
              </w:rPr>
              <w:t>Deliverable</w:t>
            </w:r>
          </w:p>
        </w:tc>
      </w:tr>
      <w:tr>
        <w:trPr>
          <w:cantSplit/>
        </w:trPr>
        <w:tc>
          <w:tcPr>
            <w:tcW w:type="dxa" w:w="2088"/>
            <w:vAlign w:val="center"/>
            <w:shd w:fill="F1F4F6"/>
            <w:tcMar>
              <w:top w:w="70" w:type="dxa"/>
              <w:bottom w:w="70" w:type="dxa"/>
              <w:left w:w="90" w:type="dxa"/>
              <w:right w:w="90" w:type="dxa"/>
            </w:tcMar>
          </w:tcPr>
          <w:p>
            <w:pPr>
              <w:spacing w:after="0" w:line="245" w:lineRule="auto"/>
            </w:pPr>
            <w:r>
              <w:rPr>
                <w:rFonts w:ascii="Arial" w:hAnsi="Arial"/>
                <w:b w:val="0"/>
                <w:color w:val="000000"/>
                <w:sz w:val="20"/>
              </w:rPr>
              <w:t>By 18 September</w:t>
            </w:r>
          </w:p>
        </w:tc>
        <w:tc>
          <w:tcPr>
            <w:tcW w:type="dxa" w:w="8136"/>
            <w:vAlign w:val="center"/>
            <w:shd w:fill="F1F4F6"/>
            <w:tcMar>
              <w:top w:w="70" w:type="dxa"/>
              <w:bottom w:w="70" w:type="dxa"/>
              <w:left w:w="90" w:type="dxa"/>
              <w:right w:w="90" w:type="dxa"/>
            </w:tcMar>
          </w:tcPr>
          <w:p>
            <w:pPr>
              <w:spacing w:after="0" w:line="245" w:lineRule="auto"/>
            </w:pPr>
            <w:r>
              <w:rPr>
                <w:rFonts w:ascii="Arial" w:hAnsi="Arial"/>
                <w:b w:val="0"/>
                <w:color w:val="000000"/>
                <w:sz w:val="20"/>
              </w:rPr>
              <w:t>Project purpose, requirements, scope and development plan reviewed.</w:t>
            </w:r>
          </w:p>
        </w:tc>
      </w:tr>
      <w:tr>
        <w:trPr>
          <w:cantSplit/>
        </w:trPr>
        <w:tc>
          <w:tcPr>
            <w:tcW w:type="dxa" w:w="2088"/>
            <w:vAlign w:val="center"/>
            <w:shd w:fill="FFFFFF"/>
            <w:tcMar>
              <w:top w:w="70" w:type="dxa"/>
              <w:bottom w:w="70" w:type="dxa"/>
              <w:left w:w="90" w:type="dxa"/>
              <w:right w:w="90" w:type="dxa"/>
            </w:tcMar>
          </w:tcPr>
          <w:p>
            <w:pPr>
              <w:spacing w:after="0" w:line="245" w:lineRule="auto"/>
            </w:pPr>
            <w:r>
              <w:rPr>
                <w:rFonts w:ascii="Arial" w:hAnsi="Arial"/>
                <w:b w:val="0"/>
                <w:color w:val="000000"/>
                <w:sz w:val="20"/>
              </w:rPr>
              <w:t>19–25 September</w:t>
            </w:r>
          </w:p>
        </w:tc>
        <w:tc>
          <w:tcPr>
            <w:tcW w:type="dxa" w:w="8136"/>
            <w:vAlign w:val="center"/>
            <w:shd w:fill="FFFFFF"/>
            <w:tcMar>
              <w:top w:w="70" w:type="dxa"/>
              <w:bottom w:w="70" w:type="dxa"/>
              <w:left w:w="90" w:type="dxa"/>
              <w:right w:w="90" w:type="dxa"/>
            </w:tcMar>
          </w:tcPr>
          <w:p>
            <w:pPr>
              <w:spacing w:after="0" w:line="245" w:lineRule="auto"/>
            </w:pPr>
            <w:r>
              <w:rPr>
                <w:rFonts w:ascii="Arial" w:hAnsi="Arial"/>
                <w:b w:val="0"/>
                <w:color w:val="000000"/>
                <w:sz w:val="20"/>
              </w:rPr>
              <w:t>Sprint 1 demo of session access and instructor controls.</w:t>
            </w:r>
          </w:p>
        </w:tc>
      </w:tr>
      <w:tr>
        <w:trPr>
          <w:cantSplit/>
        </w:trPr>
        <w:tc>
          <w:tcPr>
            <w:tcW w:type="dxa" w:w="2088"/>
            <w:vAlign w:val="center"/>
            <w:shd w:fill="F1F4F6"/>
            <w:tcMar>
              <w:top w:w="70" w:type="dxa"/>
              <w:bottom w:w="70" w:type="dxa"/>
              <w:left w:w="90" w:type="dxa"/>
              <w:right w:w="90" w:type="dxa"/>
            </w:tcMar>
          </w:tcPr>
          <w:p>
            <w:pPr>
              <w:spacing w:after="0" w:line="245" w:lineRule="auto"/>
            </w:pPr>
            <w:r>
              <w:rPr>
                <w:rFonts w:ascii="Arial" w:hAnsi="Arial"/>
                <w:b w:val="0"/>
                <w:color w:val="000000"/>
                <w:sz w:val="20"/>
              </w:rPr>
              <w:t>26 September–2 October</w:t>
            </w:r>
          </w:p>
        </w:tc>
        <w:tc>
          <w:tcPr>
            <w:tcW w:type="dxa" w:w="8136"/>
            <w:vAlign w:val="center"/>
            <w:shd w:fill="F1F4F6"/>
            <w:tcMar>
              <w:top w:w="70" w:type="dxa"/>
              <w:bottom w:w="70" w:type="dxa"/>
              <w:left w:w="90" w:type="dxa"/>
              <w:right w:w="90" w:type="dxa"/>
            </w:tcMar>
          </w:tcPr>
          <w:p>
            <w:pPr>
              <w:spacing w:after="0" w:line="245" w:lineRule="auto"/>
            </w:pPr>
            <w:r>
              <w:rPr>
                <w:rFonts w:ascii="Arial" w:hAnsi="Arial"/>
                <w:b w:val="0"/>
                <w:color w:val="000000"/>
                <w:sz w:val="20"/>
              </w:rPr>
              <w:t>Sprint 2 audio prototype, test results, volunteer feedback and product report.</w:t>
            </w:r>
          </w:p>
        </w:tc>
      </w:tr>
      <w:tr>
        <w:trPr>
          <w:cantSplit/>
        </w:trPr>
        <w:tc>
          <w:tcPr>
            <w:tcW w:type="dxa" w:w="2088"/>
            <w:vAlign w:val="center"/>
            <w:shd w:fill="FFFFFF"/>
            <w:tcMar>
              <w:top w:w="70" w:type="dxa"/>
              <w:bottom w:w="70" w:type="dxa"/>
              <w:left w:w="90" w:type="dxa"/>
              <w:right w:w="90" w:type="dxa"/>
            </w:tcMar>
          </w:tcPr>
          <w:p>
            <w:pPr>
              <w:spacing w:after="0" w:line="245" w:lineRule="auto"/>
            </w:pPr>
            <w:r>
              <w:rPr>
                <w:rFonts w:ascii="Arial" w:hAnsi="Arial"/>
                <w:b w:val="0"/>
                <w:color w:val="000000"/>
                <w:sz w:val="20"/>
              </w:rPr>
              <w:t>3–9 October</w:t>
            </w:r>
          </w:p>
        </w:tc>
        <w:tc>
          <w:tcPr>
            <w:tcW w:type="dxa" w:w="8136"/>
            <w:vAlign w:val="center"/>
            <w:shd w:fill="FFFFFF"/>
            <w:tcMar>
              <w:top w:w="70" w:type="dxa"/>
              <w:bottom w:w="70" w:type="dxa"/>
              <w:left w:w="90" w:type="dxa"/>
              <w:right w:w="90" w:type="dxa"/>
            </w:tcMar>
          </w:tcPr>
          <w:p>
            <w:pPr>
              <w:spacing w:after="0" w:line="245" w:lineRule="auto"/>
            </w:pPr>
            <w:r>
              <w:rPr>
                <w:rFonts w:ascii="Arial" w:hAnsi="Arial"/>
                <w:b w:val="0"/>
                <w:color w:val="000000"/>
                <w:sz w:val="20"/>
              </w:rPr>
              <w:t>Closeout review and final presentation.</w:t>
            </w:r>
          </w:p>
        </w:tc>
      </w:tr>
    </w:tbl>
    <w:p>
      <w:pPr>
        <w:spacing w:after="0"/>
      </w:pPr>
    </w:p>
    <w:p>
      <w:r>
        <w:t>Course deadlines are 22 September for planning, 3 October for the product report, 4 October for execution evidence and 10 October for closing, all at 00:00. The product report must be ready by the evening of 2 October.</w:t>
      </w:r>
    </w:p>
    <w:p>
      <w:r>
        <w:br w:type="page"/>
      </w:r>
    </w:p>
    <w:p>
      <w:pPr>
        <w:pStyle w:val="Heading1"/>
      </w:pPr>
      <w:r>
        <w:t>5 High level requirements</w:t>
      </w:r>
    </w:p>
    <w:p>
      <w:r>
        <w:t>The browser must request microphone permission before capture. Only an instructor-approved participant may transmit. Releasing push to talk, muting, disconnecting or ending the session must stop transmission. Expired sessions must reject access. The prototype will store no audio or transcripts. Delete participant-level test records 30 days after course feedback and retain aggregate results. Students who cannot use the phone workflow must be able to use a physical microphone or ask the instructor to repeat their question.</w:t>
      </w:r>
    </w:p>
    <w:p>
      <w:pPr>
        <w:pStyle w:val="Heading1"/>
      </w:pPr>
      <w:r>
        <w:t>6 Risks and planning assumptions</w:t>
      </w:r>
    </w:p>
    <w:p>
      <w:r>
        <w:rPr>
          <w:b w:val="0"/>
        </w:rPr>
        <w:t>Risks: speaker feedback, network delay, incompatible devices, unwanted transmission and insufficient testing time. Test the audio path early and keep instructor stop controls. Reduce optional work if the schedule slips. Stop affected tests when a control or privacy failure occurs.</w:t>
      </w:r>
    </w:p>
    <w:p>
      <w:r>
        <w:rPr>
          <w:b w:val="0"/>
        </w:rPr>
        <w:t>Assumptions: suitable phones, a laptop and a speaker are available; volunteers can review the prototype; the team can provide 100 hours in total; and the course instructor accepts the proposed sequence.</w:t>
      </w:r>
    </w:p>
    <w:p>
      <w:r>
        <w:rPr>
          <w:b w:val="0"/>
        </w:rPr>
        <w:t>Constraints: two weekly development sprints, five priority stories and the course deadlines. The AED 0 cash estimate assumes reuse of existing equipment. New spending and live classroom use require separate approval.</w:t>
      </w:r>
    </w:p>
    <w:p>
      <w:pPr>
        <w:pStyle w:val="Heading1"/>
      </w:pPr>
      <w:r>
        <w:t>7 Sponsor and major stakeholders</w:t>
      </w:r>
    </w:p>
    <w:p>
      <w:r>
        <w:t>The BUS 2010 instructor reviews the charter and accepts course deliverables. The charter takes effect after course approval. Main stakeholders are student speakers and listeners, instructors and the project team. IT, AV, privacy and accessibility advisers may support a review if available.</w:t>
      </w:r>
    </w:p>
    <w:p>
      <w:pPr>
        <w:pStyle w:val="Heading1"/>
      </w:pPr>
      <w:r>
        <w:t>8 Project manager and authority</w:t>
      </w:r>
    </w:p>
    <w:p>
      <w:r>
        <w:t>Proposed roles: Nurtore Arynuruly manages the project and requirements. Temiko Machavariani leads development and technical testing. The project manager tracks work, risks and changes against the agreed requirements. The course instructor reviews material scope and schedule changes. Neither team member may commit university funds or authorize live deployment.</w:t>
      </w:r>
    </w:p>
    <w:sectPr w:rsidR="00FC693F" w:rsidRPr="0006063C" w:rsidSect="00034616">
      <w:footerReference w:type="default" r:id="rId9"/>
      <w:headerReference w:type="default" r:id="rId10"/>
      <w:pgSz w:w="12240" w:h="15840"/>
      <w:pgMar w:top="936" w:right="1008" w:bottom="936" w:left="1008"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ClassMic   C1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12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line="250" w:lineRule="auto"/>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00" w:line="250"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50" w:lineRule="auto"/>
      <w:contextualSpacing/>
    </w:pPr>
    <w:rPr>
      <w:rFonts w:asciiTheme="majorHAnsi" w:eastAsiaTheme="majorEastAsia" w:hAnsiTheme="majorHAnsi" w:cstheme="majorBidi" w:ascii="Arial" w:hAnsi="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50" w:lineRule="auto" w:after="160"/>
    </w:pPr>
    <w:rPr>
      <w:rFonts w:asciiTheme="majorHAnsi" w:eastAsiaTheme="majorEastAsia" w:hAnsiTheme="majorHAnsi" w:cstheme="majorBidi" w:ascii="Arial" w:hAnsi="Arial"/>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DocSecurity>0</DocSecurity>
  <ScaleCrop>false</ScaleCrop>
  <HeadingPairs>
    <vt:vector size="2" baseType="variant">
      <vt:variant>
        <vt:lpstr>Title</vt:lpstr>
      </vt:variant>
      <vt:variant>
        <vt:i4>1</vt:i4>
      </vt:variant>
    </vt:vector>
  </HeadingPairs>
  <TitlesOfParts>
    <vt:vector size="1" baseType="lpstr">
      <vt:lpstr/>
    </vt:vector>
  </TitlesOfParts>
  <LinksUpToDate>false</LinksUpToDate>
  <SharedDoc>false</SharedDoc>
  <HyperlinkBase/>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ClassMic Project Charter</dc:title>
  <dc:subject>BUS 2010 ClassMic course project</dc:subject>
  <dc:creator>Temiko Machavariani and Nurtore Arynuruly</dc:creator>
</cp:coreProperties>
</file>