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Business Case</w:t>
      </w:r>
    </w:p>
    <w:p>
      <w:pPr>
        <w:pStyle w:val="Subtitle"/>
      </w:pPr>
      <w:r>
        <w:t>B2   Investment decision for the course prototype</w:t>
      </w:r>
    </w:p>
    <w:p>
      <w:r>
        <w:rPr>
          <w:sz w:val="20"/>
        </w:rPr>
        <w:t>Temiko Machavariani and Nurtore Arynuruly   |   BUS 2010   |   10 September 2026</w:t>
      </w:r>
    </w:p>
    <w:p>
      <w:pPr>
        <w:pStyle w:val="Heading1"/>
      </w:pPr>
      <w:r>
        <w:t>Recommendation</w:t>
      </w:r>
    </w:p>
    <w:p>
      <w:r>
        <w:t>GO for a limited course prototype using existing resources. Build the browser workflow to test the ClassMic idea and complete the course learning objectives. Keep any funded classroom pilot at REVISE until local need, audio performance, support effort and a commercial comparison are established.</w:t>
      </w:r>
    </w:p>
    <w:p>
      <w:r>
        <w:t>The decision sought is authorization to investigate, prototype and evaluate. The preliminary resource budget is 100 student hours with no incremental cash spending, conditional on available team capacity and existing equipment.</w:t>
      </w:r>
    </w:p>
    <w:p>
      <w:pPr>
        <w:pStyle w:val="Heading1"/>
      </w:pPr>
      <w:r>
        <w:t>Opportunity and expected benefit</w:t>
      </w:r>
    </w:p>
    <w:p>
      <w:r>
        <w:t>ClassMic aims to let the room hear student questions without waiting for a microphone to reach the speaker. Students join a temporary browser session, request a turn and transmit audio only after instructor approval. The instructor can mute a speaker or end the session.</w:t>
      </w:r>
    </w:p>
    <w:p>
      <w:r>
        <w:t>Expected value is easier audibility and less interruption during discussion. The course also gains a concrete way to study requirements, project control and iterative delivery. Improved grades, increased participation and institutional savings remain hypotheses. The present evidence cannot support a monetary return calculation.</w:t>
      </w:r>
    </w:p>
    <w:p>
      <w:pPr>
        <w:pStyle w:val="Heading1"/>
      </w:pPr>
      <w:r>
        <w:t>Evidence and its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44"/>
        <w:gridCol w:w="4176"/>
      </w:tblGrid>
      <w:tr>
        <w:trPr>
          <w:cantSplit/>
          <w:tblHeader/>
        </w:trPr>
        <w:tc>
          <w:tcPr>
            <w:tcW w:type="dxa" w:w="2304"/>
            <w:vAlign w:val="center"/>
            <w:shd w:fill="263F50"/>
            <w:tcMar>
              <w:top w:w="70" w:type="dxa"/>
              <w:bottom w:w="70" w:type="dxa"/>
              <w:left w:w="90" w:type="dxa"/>
              <w:right w:w="90" w:type="dxa"/>
            </w:tcMar>
          </w:tcPr>
          <w:p>
            <w:pPr>
              <w:spacing w:after="0" w:line="245" w:lineRule="auto"/>
            </w:pPr>
            <w:r>
              <w:rPr>
                <w:rFonts w:ascii="Arial" w:hAnsi="Arial"/>
                <w:b/>
                <w:color w:val="FFFFFF"/>
                <w:sz w:val="20"/>
              </w:rPr>
              <w:t>Evidence</w:t>
            </w:r>
          </w:p>
        </w:tc>
        <w:tc>
          <w:tcPr>
            <w:tcW w:type="dxa" w:w="3744"/>
            <w:vAlign w:val="center"/>
            <w:shd w:fill="263F50"/>
            <w:tcMar>
              <w:top w:w="70" w:type="dxa"/>
              <w:bottom w:w="70" w:type="dxa"/>
              <w:left w:w="90" w:type="dxa"/>
              <w:right w:w="90" w:type="dxa"/>
            </w:tcMar>
          </w:tcPr>
          <w:p>
            <w:pPr>
              <w:spacing w:after="0" w:line="245" w:lineRule="auto"/>
            </w:pPr>
            <w:r>
              <w:rPr>
                <w:rFonts w:ascii="Arial" w:hAnsi="Arial"/>
                <w:b/>
                <w:color w:val="FFFFFF"/>
                <w:sz w:val="20"/>
              </w:rPr>
              <w:t>What it supports</w:t>
            </w:r>
          </w:p>
        </w:tc>
        <w:tc>
          <w:tcPr>
            <w:tcW w:type="dxa" w:w="4176"/>
            <w:vAlign w:val="center"/>
            <w:shd w:fill="263F50"/>
            <w:tcMar>
              <w:top w:w="70" w:type="dxa"/>
              <w:bottom w:w="70" w:type="dxa"/>
              <w:left w:w="90" w:type="dxa"/>
              <w:right w:w="90" w:type="dxa"/>
            </w:tcMar>
          </w:tcPr>
          <w:p>
            <w:pPr>
              <w:spacing w:after="0" w:line="245" w:lineRule="auto"/>
            </w:pPr>
            <w:r>
              <w:rPr>
                <w:rFonts w:ascii="Arial" w:hAnsi="Arial"/>
                <w:b/>
                <w:color w:val="FFFFFF"/>
                <w:sz w:val="20"/>
              </w:rPr>
              <w:t>What remains unknown</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In-class SMART note</w:t>
            </w:r>
          </w:p>
        </w:tc>
        <w:tc>
          <w:tcPr>
            <w:tcW w:type="dxa" w:w="3744"/>
            <w:vAlign w:val="center"/>
            <w:shd w:fill="F1F4F6"/>
            <w:tcMar>
              <w:top w:w="70" w:type="dxa"/>
              <w:bottom w:w="70" w:type="dxa"/>
              <w:left w:w="90" w:type="dxa"/>
              <w:right w:w="90" w:type="dxa"/>
            </w:tcMar>
          </w:tcPr>
          <w:p>
            <w:pPr>
              <w:spacing w:after="0" w:line="245" w:lineRule="auto"/>
            </w:pPr>
            <w:r>
              <w:rPr>
                <w:rFonts w:ascii="Arial" w:hAnsi="Arial"/>
                <w:b w:val="0"/>
                <w:color w:val="000000"/>
                <w:sz w:val="20"/>
              </w:rPr>
              <w:t>The phone microphone concept and intended outcomes.</w:t>
            </w:r>
          </w:p>
        </w:tc>
        <w:tc>
          <w:tcPr>
            <w:tcW w:type="dxa" w:w="4176"/>
            <w:vAlign w:val="center"/>
            <w:shd w:fill="F1F4F6"/>
            <w:tcMar>
              <w:top w:w="70" w:type="dxa"/>
              <w:bottom w:w="70" w:type="dxa"/>
              <w:left w:w="90" w:type="dxa"/>
              <w:right w:w="90" w:type="dxa"/>
            </w:tcMar>
          </w:tcPr>
          <w:p>
            <w:pPr>
              <w:spacing w:after="0" w:line="245" w:lineRule="auto"/>
            </w:pPr>
            <w:r>
              <w:rPr>
                <w:rFonts w:ascii="Arial" w:hAnsi="Arial"/>
                <w:b w:val="0"/>
                <w:color w:val="000000"/>
                <w:sz w:val="20"/>
              </w:rPr>
              <w:t>How often students miss questions and whether they want this workflow.</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ClassMic aspiration and charter</w:t>
            </w:r>
          </w:p>
        </w:tc>
        <w:tc>
          <w:tcPr>
            <w:tcW w:type="dxa" w:w="3744"/>
            <w:vAlign w:val="center"/>
            <w:shd w:fill="FFFFFF"/>
            <w:tcMar>
              <w:top w:w="70" w:type="dxa"/>
              <w:bottom w:w="70" w:type="dxa"/>
              <w:left w:w="90" w:type="dxa"/>
              <w:right w:w="90" w:type="dxa"/>
            </w:tcMar>
          </w:tcPr>
          <w:p>
            <w:pPr>
              <w:spacing w:after="0" w:line="245" w:lineRule="auto"/>
            </w:pPr>
            <w:r>
              <w:rPr>
                <w:rFonts w:ascii="Arial" w:hAnsi="Arial"/>
                <w:b w:val="0"/>
                <w:color w:val="000000"/>
                <w:sz w:val="20"/>
              </w:rPr>
              <w:t>A starting scope and list of risks.</w:t>
            </w:r>
          </w:p>
        </w:tc>
        <w:tc>
          <w:tcPr>
            <w:tcW w:type="dxa" w:w="4176"/>
            <w:vAlign w:val="center"/>
            <w:shd w:fill="FFFFFF"/>
            <w:tcMar>
              <w:top w:w="70" w:type="dxa"/>
              <w:bottom w:w="70" w:type="dxa"/>
              <w:left w:w="90" w:type="dxa"/>
              <w:right w:w="90" w:type="dxa"/>
            </w:tcMar>
          </w:tcPr>
          <w:p>
            <w:pPr>
              <w:spacing w:after="0" w:line="245" w:lineRule="auto"/>
            </w:pPr>
            <w:r>
              <w:rPr>
                <w:rFonts w:ascii="Arial" w:hAnsi="Arial"/>
                <w:b w:val="0"/>
                <w:color w:val="000000"/>
                <w:sz w:val="20"/>
              </w:rPr>
              <w:t>Approval, available resources and measured feasibility.</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Biamp product information [1]</w:t>
            </w:r>
          </w:p>
        </w:tc>
        <w:tc>
          <w:tcPr>
            <w:tcW w:type="dxa" w:w="3744"/>
            <w:vAlign w:val="center"/>
            <w:shd w:fill="F1F4F6"/>
            <w:tcMar>
              <w:top w:w="70" w:type="dxa"/>
              <w:bottom w:w="70" w:type="dxa"/>
              <w:left w:w="90" w:type="dxa"/>
              <w:right w:w="90" w:type="dxa"/>
            </w:tcMar>
          </w:tcPr>
          <w:p>
            <w:pPr>
              <w:spacing w:after="0" w:line="245" w:lineRule="auto"/>
            </w:pPr>
            <w:r>
              <w:rPr>
                <w:rFonts w:ascii="Arial" w:hAnsi="Arial"/>
                <w:b w:val="0"/>
                <w:color w:val="000000"/>
                <w:sz w:val="20"/>
              </w:rPr>
              <w:t>A commercial product offers the same core microphone and moderator workflow.</w:t>
            </w:r>
          </w:p>
        </w:tc>
        <w:tc>
          <w:tcPr>
            <w:tcW w:type="dxa" w:w="4176"/>
            <w:vAlign w:val="center"/>
            <w:shd w:fill="F1F4F6"/>
            <w:tcMar>
              <w:top w:w="70" w:type="dxa"/>
              <w:bottom w:w="70" w:type="dxa"/>
              <w:left w:w="90" w:type="dxa"/>
              <w:right w:w="90" w:type="dxa"/>
            </w:tcMar>
          </w:tcPr>
          <w:p>
            <w:pPr>
              <w:spacing w:after="0" w:line="245" w:lineRule="auto"/>
            </w:pPr>
            <w:r>
              <w:rPr>
                <w:rFonts w:ascii="Arial" w:hAnsi="Arial"/>
                <w:b w:val="0"/>
                <w:color w:val="000000"/>
                <w:sz w:val="20"/>
              </w:rPr>
              <w:t>Local price, room fit and comparison with our prototype.</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Browser media specification [3]</w:t>
            </w:r>
          </w:p>
        </w:tc>
        <w:tc>
          <w:tcPr>
            <w:tcW w:type="dxa" w:w="3744"/>
            <w:vAlign w:val="center"/>
            <w:shd w:fill="FFFFFF"/>
            <w:tcMar>
              <w:top w:w="70" w:type="dxa"/>
              <w:bottom w:w="70" w:type="dxa"/>
              <w:left w:w="90" w:type="dxa"/>
              <w:right w:w="90" w:type="dxa"/>
            </w:tcMar>
          </w:tcPr>
          <w:p>
            <w:pPr>
              <w:spacing w:after="0" w:line="245" w:lineRule="auto"/>
            </w:pPr>
            <w:r>
              <w:rPr>
                <w:rFonts w:ascii="Arial" w:hAnsi="Arial"/>
                <w:b w:val="0"/>
                <w:color w:val="000000"/>
                <w:sz w:val="20"/>
              </w:rPr>
              <w:t>Browser microphone capture is technically supported with permission controls.</w:t>
            </w:r>
          </w:p>
        </w:tc>
        <w:tc>
          <w:tcPr>
            <w:tcW w:type="dxa" w:w="4176"/>
            <w:vAlign w:val="center"/>
            <w:shd w:fill="FFFFFF"/>
            <w:tcMar>
              <w:top w:w="70" w:type="dxa"/>
              <w:bottom w:w="70" w:type="dxa"/>
              <w:left w:w="90" w:type="dxa"/>
              <w:right w:w="90" w:type="dxa"/>
            </w:tcMar>
          </w:tcPr>
          <w:p>
            <w:pPr>
              <w:spacing w:after="0" w:line="245" w:lineRule="auto"/>
            </w:pPr>
            <w:r>
              <w:rPr>
                <w:rFonts w:ascii="Arial" w:hAnsi="Arial"/>
                <w:b w:val="0"/>
                <w:color w:val="000000"/>
                <w:sz w:val="20"/>
              </w:rPr>
              <w:t>Performance and compatibility on the devices and network we will use.</w:t>
            </w:r>
          </w:p>
        </w:tc>
      </w:tr>
    </w:tbl>
    <w:p>
      <w:pPr>
        <w:spacing w:after="0"/>
      </w:pPr>
    </w:p>
    <w:p>
      <w:pPr>
        <w:pStyle w:val="Heading1"/>
      </w:pPr>
      <w:r>
        <w:t>If we do nothing</w:t>
      </w:r>
    </w:p>
    <w:p>
      <w:r>
        <w:t>Continuing current classroom practice avoids development and maintenance work but leaves any audibility problem unchanged. The prototype evaluation will compare ClassMic with that process.</w:t>
      </w:r>
    </w:p>
    <w:p>
      <w:r>
        <w:br w:type="page"/>
      </w:r>
    </w:p>
    <w:p>
      <w:pPr>
        <w:pStyle w:val="Heading1"/>
      </w:pPr>
      <w:r>
        <w:t>Alternatives appraisal</w:t>
      </w:r>
    </w:p>
    <w:p>
      <w:r>
        <w:t>The three alternatives address the same classroom objective. The assessment is qualitative because local costs, adoption and device performance remain unmeasured.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880"/>
        <w:gridCol w:w="2880"/>
        <w:gridCol w:w="2952"/>
      </w:tblGrid>
      <w:tr>
        <w:trPr>
          <w:cantSplit/>
          <w:tblHeader/>
        </w:trPr>
        <w:tc>
          <w:tcPr>
            <w:tcW w:type="dxa" w:w="1512"/>
            <w:vAlign w:val="center"/>
            <w:shd w:fill="263F50"/>
            <w:tcMar>
              <w:top w:w="70" w:type="dxa"/>
              <w:bottom w:w="70" w:type="dxa"/>
              <w:left w:w="90" w:type="dxa"/>
              <w:right w:w="90" w:type="dxa"/>
            </w:tcMar>
          </w:tcPr>
          <w:p>
            <w:pPr>
              <w:spacing w:after="0" w:line="245" w:lineRule="auto"/>
            </w:pPr>
            <w:r>
              <w:rPr>
                <w:rFonts w:ascii="Arial" w:hAnsi="Arial"/>
                <w:b/>
                <w:color w:val="FFFFFF"/>
                <w:sz w:val="19"/>
              </w:rPr>
              <w:t>Criterion</w:t>
            </w:r>
          </w:p>
        </w:tc>
        <w:tc>
          <w:tcPr>
            <w:tcW w:type="dxa" w:w="2880"/>
            <w:vAlign w:val="center"/>
            <w:shd w:fill="263F50"/>
            <w:tcMar>
              <w:top w:w="70" w:type="dxa"/>
              <w:bottom w:w="70" w:type="dxa"/>
              <w:left w:w="90" w:type="dxa"/>
              <w:right w:w="90" w:type="dxa"/>
            </w:tcMar>
          </w:tcPr>
          <w:p>
            <w:pPr>
              <w:spacing w:after="0" w:line="245" w:lineRule="auto"/>
            </w:pPr>
            <w:r>
              <w:rPr>
                <w:rFonts w:ascii="Arial" w:hAnsi="Arial"/>
                <w:b/>
                <w:color w:val="FFFFFF"/>
                <w:sz w:val="19"/>
              </w:rPr>
              <w:t>Improve current process</w:t>
            </w:r>
          </w:p>
        </w:tc>
        <w:tc>
          <w:tcPr>
            <w:tcW w:type="dxa" w:w="2880"/>
            <w:vAlign w:val="center"/>
            <w:shd w:fill="263F50"/>
            <w:tcMar>
              <w:top w:w="70" w:type="dxa"/>
              <w:bottom w:w="70" w:type="dxa"/>
              <w:left w:w="90" w:type="dxa"/>
              <w:right w:w="90" w:type="dxa"/>
            </w:tcMar>
          </w:tcPr>
          <w:p>
            <w:pPr>
              <w:spacing w:after="0" w:line="245" w:lineRule="auto"/>
            </w:pPr>
            <w:r>
              <w:rPr>
                <w:rFonts w:ascii="Arial" w:hAnsi="Arial"/>
                <w:b/>
                <w:color w:val="FFFFFF"/>
                <w:sz w:val="19"/>
              </w:rPr>
              <w:t>Buy or adapt</w:t>
            </w:r>
          </w:p>
        </w:tc>
        <w:tc>
          <w:tcPr>
            <w:tcW w:type="dxa" w:w="2952"/>
            <w:vAlign w:val="center"/>
            <w:shd w:fill="263F50"/>
            <w:tcMar>
              <w:top w:w="70" w:type="dxa"/>
              <w:bottom w:w="70" w:type="dxa"/>
              <w:left w:w="90" w:type="dxa"/>
              <w:right w:w="90" w:type="dxa"/>
            </w:tcMar>
          </w:tcPr>
          <w:p>
            <w:pPr>
              <w:spacing w:after="0" w:line="245" w:lineRule="auto"/>
            </w:pPr>
            <w:r>
              <w:rPr>
                <w:rFonts w:ascii="Arial" w:hAnsi="Arial"/>
                <w:b/>
                <w:color w:val="FFFFFF"/>
                <w:sz w:val="19"/>
              </w:rPr>
              <w:t>Custom ClassMic prototype</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Strategic fit</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Support discussion by repeating questions or using an existing microphone.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Existing audience microphone workflow may fit the classroom.</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Focused test of browser access and instructor control.</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Expected benefit</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May solve the problem with a small change in teaching practice.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Phone speaking and moderation are established product capabilities [1].</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Benefit must be demonstrated against the current workaround.</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Cost and value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No new platform. Staff time and equipment availability still matter.</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Room hardware and installation require a quote [2]. Total cost unknown.</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Proposed 100 student hours. No incremental cash assumed. Maintenance is unresolved.</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Feasibility</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Lowest technical complexity if the existing workaround is adequate.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Needs procurement, AV integration and a product trial.</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Browser, network, feedback and permission behavior need testing.</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Schedule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Can begin after agreement on the classroom routine.</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Delivery and installation dates require a supplier response.</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Two weekly sprints are planned. Audio is the main schedule risk.</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Security and privacy</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No new microphone software or data flow.</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Review actual configuration, data handling and support access.</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Control data capture and avoid saved speech. The team owns testing.</w:t>
            </w:r>
          </w:p>
        </w:tc>
      </w:tr>
      <w:tr>
        <w:trPr>
          <w:cantSplit/>
        </w:trPr>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Operational support</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Uses current teaching and AV support arrangements.</w:t>
            </w:r>
          </w:p>
        </w:tc>
        <w:tc>
          <w:tcPr>
            <w:tcW w:type="dxa" w:w="2880"/>
            <w:vAlign w:val="center"/>
            <w:shd w:fill="F1F4F6"/>
            <w:tcMar>
              <w:top w:w="70" w:type="dxa"/>
              <w:bottom w:w="70" w:type="dxa"/>
              <w:left w:w="90" w:type="dxa"/>
              <w:right w:w="90" w:type="dxa"/>
            </w:tcMar>
          </w:tcPr>
          <w:p>
            <w:pPr>
              <w:spacing w:after="0" w:line="245" w:lineRule="auto"/>
            </w:pPr>
            <w:r>
              <w:rPr>
                <w:rFonts w:ascii="Arial" w:hAnsi="Arial"/>
                <w:b w:val="0"/>
                <w:color w:val="000000"/>
                <w:sz w:val="19"/>
              </w:rPr>
              <w:t>Supplier and institution divide support duties. Terms are unknown.</w:t>
            </w:r>
          </w:p>
        </w:tc>
        <w:tc>
          <w:tcPr>
            <w:tcW w:type="dxa" w:w="2952"/>
            <w:vAlign w:val="center"/>
            <w:shd w:fill="F1F4F6"/>
            <w:tcMar>
              <w:top w:w="70" w:type="dxa"/>
              <w:bottom w:w="70" w:type="dxa"/>
              <w:left w:w="90" w:type="dxa"/>
              <w:right w:w="90" w:type="dxa"/>
            </w:tcMar>
          </w:tcPr>
          <w:p>
            <w:pPr>
              <w:spacing w:after="0" w:line="245" w:lineRule="auto"/>
            </w:pPr>
            <w:r>
              <w:rPr>
                <w:rFonts w:ascii="Arial" w:hAnsi="Arial"/>
                <w:b w:val="0"/>
                <w:color w:val="000000"/>
                <w:sz w:val="19"/>
              </w:rPr>
              <w:t>Two students support the prototype. Production support is outside scope.</w:t>
            </w:r>
          </w:p>
        </w:tc>
      </w:tr>
      <w:tr>
        <w:trPr>
          <w:cantSplit/>
        </w:trPr>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Stakeholder adoption</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Familiar process, but repeated questions may remain disruptive.</w:t>
            </w:r>
          </w:p>
        </w:tc>
        <w:tc>
          <w:tcPr>
            <w:tcW w:type="dxa" w:w="2880"/>
            <w:vAlign w:val="center"/>
            <w:shd w:fill="FFFFFF"/>
            <w:tcMar>
              <w:top w:w="70" w:type="dxa"/>
              <w:bottom w:w="70" w:type="dxa"/>
              <w:left w:w="90" w:type="dxa"/>
              <w:right w:w="90" w:type="dxa"/>
            </w:tcMar>
          </w:tcPr>
          <w:p>
            <w:pPr>
              <w:spacing w:after="0" w:line="245" w:lineRule="auto"/>
            </w:pPr>
            <w:r>
              <w:rPr>
                <w:rFonts w:ascii="Arial" w:hAnsi="Arial"/>
                <w:b w:val="0"/>
                <w:color w:val="000000"/>
                <w:sz w:val="19"/>
              </w:rPr>
              <w:t>Test the attendee and moderator workflow with real users.</w:t>
            </w:r>
          </w:p>
        </w:tc>
        <w:tc>
          <w:tcPr>
            <w:tcW w:type="dxa" w:w="2952"/>
            <w:vAlign w:val="center"/>
            <w:shd w:fill="FFFFFF"/>
            <w:tcMar>
              <w:top w:w="70" w:type="dxa"/>
              <w:bottom w:w="70" w:type="dxa"/>
              <w:left w:w="90" w:type="dxa"/>
              <w:right w:w="90" w:type="dxa"/>
            </w:tcMar>
          </w:tcPr>
          <w:p>
            <w:pPr>
              <w:spacing w:after="0" w:line="245" w:lineRule="auto"/>
            </w:pPr>
            <w:r>
              <w:rPr>
                <w:rFonts w:ascii="Arial" w:hAnsi="Arial"/>
                <w:b w:val="0"/>
                <w:color w:val="000000"/>
                <w:sz w:val="19"/>
              </w:rPr>
              <w:t>No-install browser access is a hypothesis to validate with students.</w:t>
            </w:r>
          </w:p>
        </w:tc>
      </w:tr>
    </w:tbl>
    <w:p>
      <w:pPr>
        <w:spacing w:after="0"/>
      </w:pPr>
    </w:p>
    <w:p>
      <w:pPr>
        <w:pStyle w:val="Heading1"/>
      </w:pPr>
      <w:r>
        <w:t>Reason for the recommendation</w:t>
      </w:r>
    </w:p>
    <w:p>
      <w:r>
        <w:t>A custom prototype fits the course requirement to build and evaluate selected user stories. That educational reason does not establish that a university should build its own microphone service. A commercial trial and an improved current process remain credible options for a later institutional decision.</w:t>
      </w:r>
    </w:p>
    <w:p>
      <w:r>
        <w:br w:type="page"/>
      </w:r>
    </w:p>
    <w:p>
      <w:pPr>
        <w:pStyle w:val="Heading1"/>
      </w:pPr>
      <w:r>
        <w:t>Proposed delivery and resources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cantSplit/>
          <w:tblHeader/>
        </w:trPr>
        <w:tc>
          <w:tcPr>
            <w:tcW w:type="dxa" w:w="2304"/>
            <w:vAlign w:val="center"/>
            <w:shd w:fill="263F50"/>
            <w:tcMar>
              <w:top w:w="70" w:type="dxa"/>
              <w:bottom w:w="70" w:type="dxa"/>
              <w:left w:w="90" w:type="dxa"/>
              <w:right w:w="90" w:type="dxa"/>
            </w:tcMar>
          </w:tcPr>
          <w:p>
            <w:pPr>
              <w:spacing w:after="0" w:line="245" w:lineRule="auto"/>
            </w:pPr>
            <w:r>
              <w:rPr>
                <w:rFonts w:ascii="Arial" w:hAnsi="Arial"/>
                <w:b/>
                <w:color w:val="FFFFFF"/>
                <w:sz w:val="21"/>
              </w:rPr>
              <w:t>Stage</w:t>
            </w:r>
          </w:p>
        </w:tc>
        <w:tc>
          <w:tcPr>
            <w:tcW w:type="dxa" w:w="2448"/>
            <w:vAlign w:val="center"/>
            <w:shd w:fill="263F50"/>
            <w:tcMar>
              <w:top w:w="70" w:type="dxa"/>
              <w:bottom w:w="70" w:type="dxa"/>
              <w:left w:w="90" w:type="dxa"/>
              <w:right w:w="90" w:type="dxa"/>
            </w:tcMar>
          </w:tcPr>
          <w:p>
            <w:pPr>
              <w:spacing w:after="0" w:line="245" w:lineRule="auto"/>
            </w:pPr>
            <w:r>
              <w:rPr>
                <w:rFonts w:ascii="Arial" w:hAnsi="Arial"/>
                <w:b/>
                <w:color w:val="FFFFFF"/>
                <w:sz w:val="21"/>
              </w:rPr>
              <w:t>Planned dates</w:t>
            </w:r>
          </w:p>
        </w:tc>
        <w:tc>
          <w:tcPr>
            <w:tcW w:type="dxa" w:w="5472"/>
            <w:vAlign w:val="center"/>
            <w:shd w:fill="263F50"/>
            <w:tcMar>
              <w:top w:w="70" w:type="dxa"/>
              <w:bottom w:w="70" w:type="dxa"/>
              <w:left w:w="90" w:type="dxa"/>
              <w:right w:w="90" w:type="dxa"/>
            </w:tcMar>
          </w:tcPr>
          <w:p>
            <w:pPr>
              <w:spacing w:after="0" w:line="245" w:lineRule="auto"/>
            </w:pPr>
            <w:r>
              <w:rPr>
                <w:rFonts w:ascii="Arial" w:hAnsi="Arial"/>
                <w:b/>
                <w:color w:val="FFFFFF"/>
                <w:sz w:val="21"/>
              </w:rPr>
              <w:t>Decision or output</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1"/>
              </w:rPr>
              <w:t>Initiation and planning</w:t>
            </w:r>
          </w:p>
        </w:tc>
        <w:tc>
          <w:tcPr>
            <w:tcW w:type="dxa" w:w="2448"/>
            <w:vAlign w:val="center"/>
            <w:shd w:fill="F1F4F6"/>
            <w:tcMar>
              <w:top w:w="70" w:type="dxa"/>
              <w:bottom w:w="70" w:type="dxa"/>
              <w:left w:w="90" w:type="dxa"/>
              <w:right w:w="90" w:type="dxa"/>
            </w:tcMar>
          </w:tcPr>
          <w:p>
            <w:pPr>
              <w:spacing w:after="0" w:line="245" w:lineRule="auto"/>
            </w:pPr>
            <w:r>
              <w:rPr>
                <w:rFonts w:ascii="Arial" w:hAnsi="Arial"/>
                <w:b w:val="0"/>
                <w:color w:val="000000"/>
                <w:sz w:val="21"/>
              </w:rPr>
              <w:t>10–19 September</w:t>
            </w:r>
          </w:p>
        </w:tc>
        <w:tc>
          <w:tcPr>
            <w:tcW w:type="dxa" w:w="5472"/>
            <w:vAlign w:val="center"/>
            <w:shd w:fill="F1F4F6"/>
            <w:tcMar>
              <w:top w:w="70" w:type="dxa"/>
              <w:bottom w:w="70" w:type="dxa"/>
              <w:left w:w="90" w:type="dxa"/>
              <w:right w:w="90" w:type="dxa"/>
            </w:tcMar>
          </w:tcPr>
          <w:p>
            <w:pPr>
              <w:spacing w:after="0" w:line="245" w:lineRule="auto"/>
            </w:pPr>
            <w:r>
              <w:rPr>
                <w:rFonts w:ascii="Arial" w:hAnsi="Arial"/>
                <w:b w:val="0"/>
                <w:color w:val="000000"/>
                <w:sz w:val="21"/>
              </w:rPr>
              <w:t>Reviewed project direction, requirements and development plan before the first sprint.</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1"/>
              </w:rPr>
              <w:t>Sprint 1</w:t>
            </w:r>
          </w:p>
        </w:tc>
        <w:tc>
          <w:tcPr>
            <w:tcW w:type="dxa" w:w="2448"/>
            <w:vAlign w:val="center"/>
            <w:shd w:fill="FFFFFF"/>
            <w:tcMar>
              <w:top w:w="70" w:type="dxa"/>
              <w:bottom w:w="70" w:type="dxa"/>
              <w:left w:w="90" w:type="dxa"/>
              <w:right w:w="90" w:type="dxa"/>
            </w:tcMar>
          </w:tcPr>
          <w:p>
            <w:pPr>
              <w:spacing w:after="0" w:line="245" w:lineRule="auto"/>
            </w:pPr>
            <w:r>
              <w:rPr>
                <w:rFonts w:ascii="Arial" w:hAnsi="Arial"/>
                <w:b w:val="0"/>
                <w:color w:val="000000"/>
                <w:sz w:val="21"/>
              </w:rPr>
              <w:t>20–26 September</w:t>
            </w:r>
          </w:p>
        </w:tc>
        <w:tc>
          <w:tcPr>
            <w:tcW w:type="dxa" w:w="5472"/>
            <w:vAlign w:val="center"/>
            <w:shd w:fill="FFFFFF"/>
            <w:tcMar>
              <w:top w:w="70" w:type="dxa"/>
              <w:bottom w:w="70" w:type="dxa"/>
              <w:left w:w="90" w:type="dxa"/>
              <w:right w:w="90" w:type="dxa"/>
            </w:tcMar>
          </w:tcPr>
          <w:p>
            <w:pPr>
              <w:spacing w:after="0" w:line="245" w:lineRule="auto"/>
            </w:pPr>
            <w:r>
              <w:rPr>
                <w:rFonts w:ascii="Arial" w:hAnsi="Arial"/>
                <w:b w:val="0"/>
                <w:color w:val="000000"/>
                <w:sz w:val="21"/>
              </w:rPr>
              <w:t>Temporary sessions, permission flow, queue and instructor controls. Review the working flow.</w:t>
            </w:r>
          </w:p>
        </w:tc>
      </w:tr>
      <w:tr>
        <w:trPr>
          <w:cantSplit/>
        </w:trPr>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1"/>
              </w:rPr>
              <w:t>Sprint 2</w:t>
            </w:r>
          </w:p>
        </w:tc>
        <w:tc>
          <w:tcPr>
            <w:tcW w:type="dxa" w:w="2448"/>
            <w:vAlign w:val="center"/>
            <w:shd w:fill="F1F4F6"/>
            <w:tcMar>
              <w:top w:w="70" w:type="dxa"/>
              <w:bottom w:w="70" w:type="dxa"/>
              <w:left w:w="90" w:type="dxa"/>
              <w:right w:w="90" w:type="dxa"/>
            </w:tcMar>
          </w:tcPr>
          <w:p>
            <w:pPr>
              <w:spacing w:after="0" w:line="245" w:lineRule="auto"/>
            </w:pPr>
            <w:r>
              <w:rPr>
                <w:rFonts w:ascii="Arial" w:hAnsi="Arial"/>
                <w:b w:val="0"/>
                <w:color w:val="000000"/>
                <w:sz w:val="21"/>
              </w:rPr>
              <w:t>27 September–3 October</w:t>
            </w:r>
          </w:p>
        </w:tc>
        <w:tc>
          <w:tcPr>
            <w:tcW w:type="dxa" w:w="5472"/>
            <w:vAlign w:val="center"/>
            <w:shd w:fill="F1F4F6"/>
            <w:tcMar>
              <w:top w:w="70" w:type="dxa"/>
              <w:bottom w:w="70" w:type="dxa"/>
              <w:left w:w="90" w:type="dxa"/>
              <w:right w:w="90" w:type="dxa"/>
            </w:tcMar>
          </w:tcPr>
          <w:p>
            <w:pPr>
              <w:spacing w:after="0" w:line="245" w:lineRule="auto"/>
            </w:pPr>
            <w:r>
              <w:rPr>
                <w:rFonts w:ascii="Arial" w:hAnsi="Arial"/>
                <w:b w:val="0"/>
                <w:color w:val="000000"/>
                <w:sz w:val="21"/>
              </w:rPr>
              <w:t>Integrate audio, test misuse and recovery, collect volunteer feedback and report results.</w:t>
            </w:r>
          </w:p>
        </w:tc>
      </w:tr>
      <w:tr>
        <w:trPr>
          <w:cantSplit/>
        </w:trPr>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1"/>
              </w:rPr>
              <w:t>Closing</w:t>
            </w:r>
          </w:p>
        </w:tc>
        <w:tc>
          <w:tcPr>
            <w:tcW w:type="dxa" w:w="2448"/>
            <w:vAlign w:val="center"/>
            <w:shd w:fill="FFFFFF"/>
            <w:tcMar>
              <w:top w:w="70" w:type="dxa"/>
              <w:bottom w:w="70" w:type="dxa"/>
              <w:left w:w="90" w:type="dxa"/>
              <w:right w:w="90" w:type="dxa"/>
            </w:tcMar>
          </w:tcPr>
          <w:p>
            <w:pPr>
              <w:spacing w:after="0" w:line="245" w:lineRule="auto"/>
            </w:pPr>
            <w:r>
              <w:rPr>
                <w:rFonts w:ascii="Arial" w:hAnsi="Arial"/>
                <w:b w:val="0"/>
                <w:color w:val="000000"/>
                <w:sz w:val="21"/>
              </w:rPr>
              <w:t>4–9 October</w:t>
            </w:r>
          </w:p>
        </w:tc>
        <w:tc>
          <w:tcPr>
            <w:tcW w:type="dxa" w:w="5472"/>
            <w:vAlign w:val="center"/>
            <w:shd w:fill="FFFFFF"/>
            <w:tcMar>
              <w:top w:w="70" w:type="dxa"/>
              <w:bottom w:w="70" w:type="dxa"/>
              <w:left w:w="90" w:type="dxa"/>
              <w:right w:w="90" w:type="dxa"/>
            </w:tcMar>
          </w:tcPr>
          <w:p>
            <w:pPr>
              <w:spacing w:after="0" w:line="245" w:lineRule="auto"/>
            </w:pPr>
            <w:r>
              <w:rPr>
                <w:rFonts w:ascii="Arial" w:hAnsi="Arial"/>
                <w:b w:val="0"/>
                <w:color w:val="000000"/>
                <w:sz w:val="21"/>
              </w:rPr>
              <w:t>Assess delivery against the charter and prepare the final recommendation.</w:t>
            </w:r>
          </w:p>
        </w:tc>
      </w:tr>
    </w:tbl>
    <w:p>
      <w:pPr>
        <w:spacing w:after="0"/>
      </w:pPr>
    </w:p>
    <w:p>
      <w:r>
        <w:t>Planning review is scheduled for 19 September, before the two weekly build sprints. The published course cutoffs are 22 September for planning, 4 October for execution and 10 October for closing, each at 00:00. A delayed planning review would require a revised delivery schedule.</w:t>
      </w:r>
    </w:p>
    <w:p>
      <w:pPr>
        <w:pStyle w:val="Heading1"/>
      </w:pPr>
      <w:r>
        <w:t>Preliminary cost and effort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872"/>
        <w:gridCol w:w="1872"/>
        <w:gridCol w:w="1872"/>
      </w:tblGrid>
      <w:tr>
        <w:trPr>
          <w:cantSplit/>
          <w:tblHeader/>
        </w:trPr>
        <w:tc>
          <w:tcPr>
            <w:tcW w:type="dxa" w:w="4608"/>
            <w:vAlign w:val="center"/>
            <w:shd w:fill="263F50"/>
            <w:tcMar>
              <w:top w:w="70" w:type="dxa"/>
              <w:bottom w:w="70" w:type="dxa"/>
              <w:left w:w="90" w:type="dxa"/>
              <w:right w:w="90" w:type="dxa"/>
            </w:tcMar>
          </w:tcPr>
          <w:p>
            <w:pPr>
              <w:spacing w:after="0" w:line="245" w:lineRule="auto"/>
            </w:pPr>
            <w:r>
              <w:rPr>
                <w:rFonts w:ascii="Arial" w:hAnsi="Arial"/>
                <w:b/>
                <w:color w:val="FFFFFF"/>
                <w:sz w:val="21"/>
              </w:rPr>
              <w:t>Work</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Temiko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Nurtore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Total hours</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Initiation and planning</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40</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Sprint 1</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6</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Sprint 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Closing and presentation</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4</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12</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Total hours</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54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46</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100</w:t>
            </w:r>
          </w:p>
        </w:tc>
      </w:tr>
    </w:tbl>
    <w:p>
      <w:pPr>
        <w:spacing w:after="0"/>
      </w:pPr>
    </w:p>
    <w:p>
      <w:r>
        <w:rPr>
          <w:b w:val="0"/>
        </w:rPr>
        <w:t>The cash forecast is AED 0, conditional on reusing available phones, laptops, speakers and permitted tools. Student effort has an opportunity cost, but no cash equivalent is estimated because an agreed labor rate is unavailable. Paid hosting, equipment or account upgrades would require a revised budget and approval.</w:t>
      </w:r>
    </w:p>
    <w:p>
      <w:pPr>
        <w:pStyle w:val="Heading1"/>
      </w:pPr>
      <w:r>
        <w:t>Feasibility conditions</w:t>
      </w:r>
    </w:p>
    <w:p>
      <w:r>
        <w:t>Feasibility depends on access to at least two suitable phones, a laptop and a speaker. Early tests will assess microphone permissions and browser behavior. Evaluation will use volunteers in a controlled setting. Room access, advisers and participants remain unconfirmed.</w:t>
      </w:r>
    </w:p>
    <w:p>
      <w:r>
        <w:t>The selected prototype target is a 95th percentile one-way audio delay of no more than 150 ms across 30 timing trials. This is a planning target, not a tested result. Also assess intelligibility and sustained feedback; a delay number alone does not establish usable room sound. A commercial comparison gives context [2].</w:t>
      </w:r>
    </w:p>
    <w:p>
      <w:r>
        <w:br w:type="page"/>
      </w:r>
    </w:p>
    <w:p>
      <w:pPr>
        <w:pStyle w:val="Heading1"/>
      </w:pPr>
      <w:r>
        <w:t>Decision gates and principal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968"/>
        <w:gridCol w:w="3312"/>
      </w:tblGrid>
      <w:tr>
        <w:trPr>
          <w:cantSplit/>
          <w:tblHeader/>
        </w:trPr>
        <w:tc>
          <w:tcPr>
            <w:tcW w:type="dxa" w:w="1944"/>
            <w:vAlign w:val="center"/>
            <w:shd w:fill="263F50"/>
            <w:tcMar>
              <w:top w:w="70" w:type="dxa"/>
              <w:bottom w:w="70" w:type="dxa"/>
              <w:left w:w="90" w:type="dxa"/>
              <w:right w:w="90" w:type="dxa"/>
            </w:tcMar>
          </w:tcPr>
          <w:p>
            <w:pPr>
              <w:spacing w:after="0" w:line="245" w:lineRule="auto"/>
            </w:pPr>
            <w:r>
              <w:rPr>
                <w:rFonts w:ascii="Arial" w:hAnsi="Arial"/>
                <w:b/>
                <w:color w:val="FFFFFF"/>
                <w:sz w:val="20"/>
              </w:rPr>
              <w:t>Gate</w:t>
            </w:r>
          </w:p>
        </w:tc>
        <w:tc>
          <w:tcPr>
            <w:tcW w:type="dxa" w:w="4968"/>
            <w:vAlign w:val="center"/>
            <w:shd w:fill="263F50"/>
            <w:tcMar>
              <w:top w:w="70" w:type="dxa"/>
              <w:bottom w:w="70" w:type="dxa"/>
              <w:left w:w="90" w:type="dxa"/>
              <w:right w:w="90" w:type="dxa"/>
            </w:tcMar>
          </w:tcPr>
          <w:p>
            <w:pPr>
              <w:spacing w:after="0" w:line="245" w:lineRule="auto"/>
            </w:pPr>
            <w:r>
              <w:rPr>
                <w:rFonts w:ascii="Arial" w:hAnsi="Arial"/>
                <w:b/>
                <w:color w:val="FFFFFF"/>
                <w:sz w:val="20"/>
              </w:rPr>
              <w:t>Evidence required</w:t>
            </w:r>
          </w:p>
        </w:tc>
        <w:tc>
          <w:tcPr>
            <w:tcW w:type="dxa" w:w="3312"/>
            <w:vAlign w:val="center"/>
            <w:shd w:fill="263F50"/>
            <w:tcMar>
              <w:top w:w="70" w:type="dxa"/>
              <w:bottom w:w="70" w:type="dxa"/>
              <w:left w:w="90" w:type="dxa"/>
              <w:right w:w="90" w:type="dxa"/>
            </w:tcMar>
          </w:tcPr>
          <w:p>
            <w:pPr>
              <w:spacing w:after="0" w:line="245" w:lineRule="auto"/>
            </w:pPr>
            <w:r>
              <w:rPr>
                <w:rFonts w:ascii="Arial" w:hAnsi="Arial"/>
                <w:b/>
                <w:color w:val="FFFFFF"/>
                <w:sz w:val="20"/>
              </w:rPr>
              <w:t>Decision</w:t>
            </w:r>
          </w:p>
        </w:tc>
      </w:tr>
      <w:tr>
        <w:trPr>
          <w:cantSplit/>
        </w:trPr>
        <w:tc>
          <w:tcPr>
            <w:tcW w:type="dxa" w:w="1944"/>
            <w:vAlign w:val="center"/>
            <w:shd w:fill="F1F4F6"/>
            <w:tcMar>
              <w:top w:w="70" w:type="dxa"/>
              <w:bottom w:w="70" w:type="dxa"/>
              <w:left w:w="90" w:type="dxa"/>
              <w:right w:w="90" w:type="dxa"/>
            </w:tcMar>
          </w:tcPr>
          <w:p>
            <w:pPr>
              <w:spacing w:after="0" w:line="245" w:lineRule="auto"/>
            </w:pPr>
            <w:r>
              <w:rPr>
                <w:rFonts w:ascii="Arial" w:hAnsi="Arial"/>
                <w:b w:val="0"/>
                <w:color w:val="000000"/>
                <w:sz w:val="20"/>
              </w:rPr>
              <w:t>Before Sprint 1</w:t>
            </w:r>
          </w:p>
        </w:tc>
        <w:tc>
          <w:tcPr>
            <w:tcW w:type="dxa" w:w="496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Team and instructor review, five-story scope, resources, test plan and proposed schedule.</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GO with the prototype only if the plan is feasible. Otherwise revise scope or dates.</w:t>
            </w:r>
          </w:p>
        </w:tc>
      </w:tr>
      <w:tr>
        <w:trPr>
          <w:cantSplit/>
        </w:trPr>
        <w:tc>
          <w:tcPr>
            <w:tcW w:type="dxa" w:w="1944"/>
            <w:vAlign w:val="center"/>
            <w:shd w:fill="FFFFFF"/>
            <w:tcMar>
              <w:top w:w="70" w:type="dxa"/>
              <w:bottom w:w="70" w:type="dxa"/>
              <w:left w:w="90" w:type="dxa"/>
              <w:right w:w="90" w:type="dxa"/>
            </w:tcMar>
          </w:tcPr>
          <w:p>
            <w:pPr>
              <w:spacing w:after="0" w:line="245" w:lineRule="auto"/>
            </w:pPr>
            <w:r>
              <w:rPr>
                <w:rFonts w:ascii="Arial" w:hAnsi="Arial"/>
                <w:b w:val="0"/>
                <w:color w:val="000000"/>
                <w:sz w:val="20"/>
              </w:rPr>
              <w:t>After Sprint 1</w:t>
            </w:r>
          </w:p>
        </w:tc>
        <w:tc>
          <w:tcPr>
            <w:tcW w:type="dxa" w:w="4968"/>
            <w:vAlign w:val="center"/>
            <w:shd w:fill="FFFFFF"/>
            <w:tcMar>
              <w:top w:w="70" w:type="dxa"/>
              <w:bottom w:w="70" w:type="dxa"/>
              <w:left w:w="90" w:type="dxa"/>
              <w:right w:w="90" w:type="dxa"/>
            </w:tcMar>
          </w:tcPr>
          <w:p>
            <w:pPr>
              <w:spacing w:after="0" w:line="245" w:lineRule="auto"/>
            </w:pPr>
            <w:r>
              <w:rPr>
                <w:rFonts w:ascii="Arial" w:hAnsi="Arial"/>
                <w:b w:val="0"/>
                <w:color w:val="000000"/>
                <w:sz w:val="20"/>
              </w:rPr>
              <w:t>Session and queue demo, microphone feasibility check, feedback and updated backlog.</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Continue core audio integration. Drop optional work if capacity or compatibility is weak.</w:t>
            </w:r>
          </w:p>
        </w:tc>
      </w:tr>
      <w:tr>
        <w:trPr>
          <w:cantSplit/>
        </w:trPr>
        <w:tc>
          <w:tcPr>
            <w:tcW w:type="dxa" w:w="1944"/>
            <w:vAlign w:val="center"/>
            <w:shd w:fill="F1F4F6"/>
            <w:tcMar>
              <w:top w:w="70" w:type="dxa"/>
              <w:bottom w:w="70" w:type="dxa"/>
              <w:left w:w="90" w:type="dxa"/>
              <w:right w:w="90" w:type="dxa"/>
            </w:tcMar>
          </w:tcPr>
          <w:p>
            <w:pPr>
              <w:spacing w:after="0" w:line="245" w:lineRule="auto"/>
            </w:pPr>
            <w:r>
              <w:rPr>
                <w:rFonts w:ascii="Arial" w:hAnsi="Arial"/>
                <w:b w:val="0"/>
                <w:color w:val="000000"/>
                <w:sz w:val="20"/>
              </w:rPr>
              <w:t>End of Sprint 2</w:t>
            </w:r>
          </w:p>
        </w:tc>
        <w:tc>
          <w:tcPr>
            <w:tcW w:type="dxa" w:w="4968"/>
            <w:vAlign w:val="center"/>
            <w:shd w:fill="F1F4F6"/>
            <w:tcMar>
              <w:top w:w="70" w:type="dxa"/>
              <w:bottom w:w="70" w:type="dxa"/>
              <w:left w:w="90" w:type="dxa"/>
              <w:right w:w="90" w:type="dxa"/>
            </w:tcMar>
          </w:tcPr>
          <w:p>
            <w:pPr>
              <w:spacing w:after="0" w:line="245" w:lineRule="auto"/>
            </w:pPr>
            <w:r>
              <w:rPr>
                <w:rFonts w:ascii="Arial" w:hAnsi="Arial"/>
                <w:b w:val="0"/>
                <w:color w:val="000000"/>
                <w:sz w:val="20"/>
              </w:rPr>
              <w:t>All Must checks. 9/10 setups within 2 minutes, 27/30 speaking trials within 3 seconds, and at least 75% positive feedback from at least 5 reviewers. No critical defect.</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Complete the course evaluation. Report unmet targets and test limitations.</w:t>
            </w:r>
          </w:p>
        </w:tc>
      </w:tr>
      <w:tr>
        <w:trPr>
          <w:cantSplit/>
        </w:trPr>
        <w:tc>
          <w:tcPr>
            <w:tcW w:type="dxa" w:w="1944"/>
            <w:vAlign w:val="center"/>
            <w:shd w:fill="FFFFFF"/>
            <w:tcMar>
              <w:top w:w="70" w:type="dxa"/>
              <w:bottom w:w="70" w:type="dxa"/>
              <w:left w:w="90" w:type="dxa"/>
              <w:right w:w="90" w:type="dxa"/>
            </w:tcMar>
          </w:tcPr>
          <w:p>
            <w:pPr>
              <w:spacing w:after="0" w:line="245" w:lineRule="auto"/>
            </w:pPr>
            <w:r>
              <w:rPr>
                <w:rFonts w:ascii="Arial" w:hAnsi="Arial"/>
                <w:b w:val="0"/>
                <w:color w:val="000000"/>
                <w:sz w:val="20"/>
              </w:rPr>
              <w:t>Any future live pilot</w:t>
            </w:r>
          </w:p>
        </w:tc>
        <w:tc>
          <w:tcPr>
            <w:tcW w:type="dxa" w:w="4968"/>
            <w:vAlign w:val="center"/>
            <w:shd w:fill="FFFFFF"/>
            <w:tcMar>
              <w:top w:w="70" w:type="dxa"/>
              <w:bottom w:w="70" w:type="dxa"/>
              <w:left w:w="90" w:type="dxa"/>
              <w:right w:w="90" w:type="dxa"/>
            </w:tcMar>
          </w:tcPr>
          <w:p>
            <w:pPr>
              <w:spacing w:after="0" w:line="245" w:lineRule="auto"/>
            </w:pPr>
            <w:r>
              <w:rPr>
                <w:rFonts w:ascii="Arial" w:hAnsi="Arial"/>
                <w:b w:val="0"/>
                <w:color w:val="000000"/>
                <w:sz w:val="20"/>
              </w:rPr>
              <w:t>Local need, acceptable audio, named support owner, privacy and access review, supplier comparison and funded estimate.</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REVISE until evidence is sufficient. Seek a separate authorization.</w:t>
            </w:r>
          </w:p>
        </w:tc>
      </w:tr>
    </w:tbl>
    <w:p>
      <w:pPr>
        <w:spacing w:after="0"/>
      </w:pPr>
    </w:p>
    <w:p>
      <w:pPr>
        <w:pStyle w:val="Heading1"/>
      </w:pPr>
      <w:r>
        <w:t>Risks that could change the decision</w:t>
      </w:r>
    </w:p>
    <w:p>
      <w:r>
        <w:t>Feedback or network delay may make the audio unsuitable. Browser differences may prevent some students from using it. Weak instructor controls could permit unwanted transmission. Limited student time or unavailable reviewers could prevent a useful evaluation. Stop an affected test if control or privacy fails, preserve a physical or instructor-repeat alternative, and narrow the prototype before adding resources.</w:t>
      </w:r>
    </w:p>
    <w:p>
      <w:pPr>
        <w:pStyle w:val="Heading1"/>
      </w:pPr>
      <w:r>
        <w:t>Investment conclusion</w:t>
      </w:r>
    </w:p>
    <w:p>
      <w:r>
        <w:t>The present evidence supports a bounded learning project. It does not justify a funded institutional rollout or a claim that custom development is the best long-term purchase decision. At closeout, recommend further testing only if the prototype demonstrates useful audibility, workable instructor control and a realistic support path.</w:t>
      </w:r>
    </w:p>
    <w:p>
      <w:pPr>
        <w:pStyle w:val="Heading1"/>
      </w:pPr>
      <w:r>
        <w:t>Items requiring confirmation</w:t>
      </w:r>
    </w:p>
    <w:p>
      <w:r>
        <w:t>Open decisions are acceptance of A2 and B2, the team’s 100-hour capacity, planning approval before the first sprint, and access to test equipment and volunteer reviewers.</w:t>
      </w:r>
    </w:p>
    <w:p>
      <w:pPr>
        <w:pStyle w:val="Heading1"/>
      </w:pPr>
      <w:r>
        <w:t>Sources</w:t>
      </w:r>
    </w:p>
    <w:p>
      <w:pPr>
        <w:spacing w:after="60"/>
      </w:pPr>
      <w:hyperlink r:id="rId10">
        <w:r>
          <w:rPr>
            <w:color w:val="1F4E79"/>
            <w:sz w:val="18"/>
          </w:rPr>
          <w:t>[1] Biamp Crowd Mics product overview</w:t>
        </w:r>
      </w:hyperlink>
    </w:p>
    <w:p>
      <w:pPr>
        <w:spacing w:after="60"/>
      </w:pPr>
      <w:hyperlink r:id="rId11">
        <w:r>
          <w:rPr>
            <w:color w:val="1F4E79"/>
            <w:sz w:val="18"/>
          </w:rPr>
          <w:t>[2] Biamp Crowd Mics FAQ, including quote requirements and audio latency</w:t>
        </w:r>
      </w:hyperlink>
    </w:p>
    <w:p>
      <w:pPr>
        <w:spacing w:after="60"/>
      </w:pPr>
      <w:hyperlink r:id="rId12">
        <w:r>
          <w:rPr>
            <w:color w:val="1F4E79"/>
            <w:sz w:val="18"/>
          </w:rPr>
          <w:t>[3] W3C Media Capture and Streams specification</w:t>
        </w:r>
      </w:hyperlink>
    </w:p>
    <w:p>
      <w:r>
        <w:rPr>
          <w:sz w:val="18"/>
        </w:rPr>
        <w:t>Sources reviewed 10 September 2026. The project concept comes from Temiko’s in-class SMART note. Course milestones follow the published BUS 2010 LMS schedule. Local demand, supplier pricing and pilot performance remain unmeasured.</w:t>
      </w:r>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B2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iamp.com/products/families/crowd-mics" TargetMode="External"/><Relationship Id="rId11" Type="http://schemas.openxmlformats.org/officeDocument/2006/relationships/hyperlink" Target="https://www.biamp.com/products/families/crowd-mics/faq" TargetMode="External"/><Relationship Id="rId12" Type="http://schemas.openxmlformats.org/officeDocument/2006/relationships/hyperlink" Target="https://www.w3.org/TR/mediacapture-str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Business Case</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