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ClassMic Project Charter</w:t>
      </w:r>
    </w:p>
    <w:p>
      <w:pPr>
        <w:pStyle w:val="Subtitle"/>
      </w:pPr>
      <w:r>
        <w:t>C1 — Develop the Project Charter</w:t>
      </w:r>
    </w:p>
    <w:p>
      <w:r>
        <w:rPr>
          <w:sz w:val="21"/>
        </w:rPr>
        <w:t>Team  Temiko Machavariani and Nurtore Arynuruly</w:t>
      </w:r>
    </w:p>
    <w:p>
      <w:r>
        <w:rPr>
          <w:b/>
          <w:sz w:val="21"/>
        </w:rPr>
        <w:t>Draft for confirmation.</w:t>
      </w:r>
      <w:r>
        <w:rPr>
          <w:sz w:val="21"/>
        </w:rPr>
        <w:t xml:space="preserve"> This charter requests authorization for the classroom pilot. Approved ClassMic A2 and B2 outputs and sponsor approval have not been supplied.</w:t>
      </w:r>
    </w:p>
    <w:p>
      <w:pPr>
        <w:pStyle w:val="Heading1"/>
      </w:pPr>
      <w:r>
        <w:t>1 Purpose and justification</w:t>
      </w:r>
    </w:p>
    <w:p>
      <w:r>
        <w:t>ClassMic aims to make student questions easier to hear and support inclusive classroom participation. Students use their phones as temporary, instructor-controlled microphones, avoiding the need to pass a physical microphone. A limited pilot will test classroom value and technical feasibility using existing Wi-Fi and speakers before any wider investment. The approved aspiration, alternatives appraisal and investment justification require confirmation from ClassMic A2 and B2.</w:t>
      </w:r>
    </w:p>
    <w:p>
      <w:pPr>
        <w:pStyle w:val="Heading1"/>
      </w:pPr>
      <w:r>
        <w:t>2 Measurable objectives and success criteria</w:t>
      </w:r>
    </w:p>
    <w:p>
      <w:r>
        <w:t>Complete the prototype, testing and six-week pilot in three classrooms by Week 14, within the proposed AED 60,000 ceiling. Evaluate these existing draft targets: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400"/>
        <w:gridCol w:w="2952"/>
      </w:tblGrid>
      <w:tr>
        <w:trPr>
          <w:cantSplit/>
          <w:tblHeader/>
        </w:trPr>
        <w:tc>
          <w:tcPr>
            <w:tcW w:type="dxa" w:w="1872"/>
            <w:vAlign w:val="center"/>
            <w:shd w:fill="263F50"/>
            <w:tcMar>
              <w:top w:w="65" w:type="dxa"/>
              <w:bottom w:w="65" w:type="dxa"/>
              <w:left w:w="95" w:type="dxa"/>
              <w:right w:w="95" w:type="dxa"/>
            </w:tcMar>
          </w:tcPr>
          <w:p>
            <w:pPr>
              <w:spacing w:after="0" w:line="240" w:lineRule="auto"/>
            </w:pPr>
            <w:r>
              <w:rPr>
                <w:rFonts w:ascii="Arial" w:hAnsi="Arial"/>
                <w:b/>
                <w:color w:val="FFFFFF"/>
                <w:sz w:val="21"/>
              </w:rPr>
              <w:t>Measure</w:t>
            </w:r>
          </w:p>
        </w:tc>
        <w:tc>
          <w:tcPr>
            <w:tcW w:type="dxa" w:w="5400"/>
            <w:vAlign w:val="center"/>
            <w:shd w:fill="263F50"/>
            <w:tcMar>
              <w:top w:w="65" w:type="dxa"/>
              <w:bottom w:w="65" w:type="dxa"/>
              <w:left w:w="95" w:type="dxa"/>
              <w:right w:w="95" w:type="dxa"/>
            </w:tcMar>
          </w:tcPr>
          <w:p>
            <w:pPr>
              <w:spacing w:after="0" w:line="240" w:lineRule="auto"/>
            </w:pPr>
            <w:r>
              <w:rPr>
                <w:rFonts w:ascii="Arial" w:hAnsi="Arial"/>
                <w:b/>
                <w:color w:val="FFFFFF"/>
                <w:sz w:val="21"/>
              </w:rPr>
              <w:t>Target by pilot completion</w:t>
            </w:r>
          </w:p>
        </w:tc>
        <w:tc>
          <w:tcPr>
            <w:tcW w:type="dxa" w:w="2952"/>
            <w:vAlign w:val="center"/>
            <w:shd w:fill="263F50"/>
            <w:tcMar>
              <w:top w:w="65" w:type="dxa"/>
              <w:bottom w:w="65" w:type="dxa"/>
              <w:left w:w="95" w:type="dxa"/>
              <w:right w:w="95" w:type="dxa"/>
            </w:tcMar>
          </w:tcPr>
          <w:p>
            <w:pPr>
              <w:spacing w:after="0" w:line="240" w:lineRule="auto"/>
            </w:pPr>
            <w:r>
              <w:rPr>
                <w:rFonts w:ascii="Arial" w:hAnsi="Arial"/>
                <w:b/>
                <w:color w:val="FFFFFF"/>
                <w:sz w:val="21"/>
              </w:rPr>
              <w:t>Evidence</w:t>
            </w:r>
          </w:p>
        </w:tc>
      </w:tr>
      <w:tr>
        <w:trPr>
          <w:cantSplit/>
        </w:trPr>
        <w:tc>
          <w:tcPr>
            <w:tcW w:type="dxa" w:w="1872"/>
            <w:vAlign w:val="center"/>
            <w:shd w:fill="F1F4F6"/>
            <w:tcMar>
              <w:top w:w="65" w:type="dxa"/>
              <w:bottom w:w="65" w:type="dxa"/>
              <w:left w:w="95" w:type="dxa"/>
              <w:right w:w="95" w:type="dxa"/>
            </w:tcMar>
          </w:tcPr>
          <w:p>
            <w:pPr>
              <w:spacing w:after="0" w:line="240" w:lineRule="auto"/>
            </w:pPr>
            <w:r>
              <w:rPr>
                <w:rFonts w:ascii="Arial" w:hAnsi="Arial"/>
                <w:b w:val="0"/>
                <w:color w:val="000000"/>
                <w:sz w:val="21"/>
              </w:rPr>
              <w:t>Session setup</w:t>
            </w:r>
          </w:p>
        </w:tc>
        <w:tc>
          <w:tcPr>
            <w:tcW w:type="dxa" w:w="5400"/>
            <w:vAlign w:val="center"/>
            <w:shd w:fill="F1F4F6"/>
            <w:tcMar>
              <w:top w:w="65" w:type="dxa"/>
              <w:bottom w:w="65" w:type="dxa"/>
              <w:left w:w="95" w:type="dxa"/>
              <w:right w:w="95" w:type="dxa"/>
            </w:tcMar>
          </w:tcPr>
          <w:p>
            <w:pPr>
              <w:spacing w:after="0" w:line="240" w:lineRule="auto"/>
            </w:pPr>
            <w:r>
              <w:rPr>
                <w:rFonts w:ascii="Arial" w:hAnsi="Arial"/>
                <w:b w:val="0"/>
                <w:color w:val="000000"/>
                <w:sz w:val="21"/>
              </w:rPr>
              <w:t>At least 90% start within 2 minutes</w:t>
            </w:r>
          </w:p>
        </w:tc>
        <w:tc>
          <w:tcPr>
            <w:tcW w:type="dxa" w:w="2952"/>
            <w:vAlign w:val="center"/>
            <w:shd w:fill="F1F4F6"/>
            <w:tcMar>
              <w:top w:w="65" w:type="dxa"/>
              <w:bottom w:w="65" w:type="dxa"/>
              <w:left w:w="95" w:type="dxa"/>
              <w:right w:w="95" w:type="dxa"/>
            </w:tcMar>
          </w:tcPr>
          <w:p>
            <w:pPr>
              <w:spacing w:after="0" w:line="240" w:lineRule="auto"/>
            </w:pPr>
            <w:r>
              <w:rPr>
                <w:rFonts w:ascii="Arial" w:hAnsi="Arial"/>
                <w:b w:val="0"/>
                <w:color w:val="000000"/>
                <w:sz w:val="21"/>
              </w:rPr>
              <w:t>Timed session records</w:t>
            </w:r>
          </w:p>
        </w:tc>
      </w:tr>
      <w:tr>
        <w:trPr>
          <w:cantSplit/>
        </w:trPr>
        <w:tc>
          <w:tcPr>
            <w:tcW w:type="dxa" w:w="1872"/>
            <w:vAlign w:val="center"/>
            <w:shd w:fill="FFFFFF"/>
            <w:tcMar>
              <w:top w:w="65" w:type="dxa"/>
              <w:bottom w:w="65" w:type="dxa"/>
              <w:left w:w="95" w:type="dxa"/>
              <w:right w:w="95" w:type="dxa"/>
            </w:tcMar>
          </w:tcPr>
          <w:p>
            <w:pPr>
              <w:spacing w:after="0" w:line="240" w:lineRule="auto"/>
            </w:pPr>
            <w:r>
              <w:rPr>
                <w:rFonts w:ascii="Arial" w:hAnsi="Arial"/>
                <w:b w:val="0"/>
                <w:color w:val="000000"/>
                <w:sz w:val="21"/>
              </w:rPr>
              <w:t>Speaking access</w:t>
            </w:r>
          </w:p>
        </w:tc>
        <w:tc>
          <w:tcPr>
            <w:tcW w:type="dxa" w:w="5400"/>
            <w:vAlign w:val="center"/>
            <w:shd w:fill="FFFFFF"/>
            <w:tcMar>
              <w:top w:w="65" w:type="dxa"/>
              <w:bottom w:w="65" w:type="dxa"/>
              <w:left w:w="95" w:type="dxa"/>
              <w:right w:w="95" w:type="dxa"/>
            </w:tcMar>
          </w:tcPr>
          <w:p>
            <w:pPr>
              <w:spacing w:after="0" w:line="240" w:lineRule="auto"/>
            </w:pPr>
            <w:r>
              <w:rPr>
                <w:rFonts w:ascii="Arial" w:hAnsi="Arial"/>
                <w:b w:val="0"/>
                <w:color w:val="000000"/>
                <w:sz w:val="21"/>
              </w:rPr>
              <w:t>At least 90% of approved requests audible within 3 seconds</w:t>
            </w:r>
          </w:p>
        </w:tc>
        <w:tc>
          <w:tcPr>
            <w:tcW w:type="dxa" w:w="2952"/>
            <w:vAlign w:val="center"/>
            <w:shd w:fill="FFFFFF"/>
            <w:tcMar>
              <w:top w:w="65" w:type="dxa"/>
              <w:bottom w:w="65" w:type="dxa"/>
              <w:left w:w="95" w:type="dxa"/>
              <w:right w:w="95" w:type="dxa"/>
            </w:tcMar>
          </w:tcPr>
          <w:p>
            <w:pPr>
              <w:spacing w:after="0" w:line="240" w:lineRule="auto"/>
            </w:pPr>
            <w:r>
              <w:rPr>
                <w:rFonts w:ascii="Arial" w:hAnsi="Arial"/>
                <w:b w:val="0"/>
                <w:color w:val="000000"/>
                <w:sz w:val="21"/>
              </w:rPr>
              <w:t>Request and audio timing</w:t>
            </w:r>
          </w:p>
        </w:tc>
      </w:tr>
      <w:tr>
        <w:trPr>
          <w:cantSplit/>
        </w:trPr>
        <w:tc>
          <w:tcPr>
            <w:tcW w:type="dxa" w:w="1872"/>
            <w:vAlign w:val="center"/>
            <w:shd w:fill="F1F4F6"/>
            <w:tcMar>
              <w:top w:w="65" w:type="dxa"/>
              <w:bottom w:w="65" w:type="dxa"/>
              <w:left w:w="95" w:type="dxa"/>
              <w:right w:w="95" w:type="dxa"/>
            </w:tcMar>
          </w:tcPr>
          <w:p>
            <w:pPr>
              <w:spacing w:after="0" w:line="240" w:lineRule="auto"/>
            </w:pPr>
            <w:r>
              <w:rPr>
                <w:rFonts w:ascii="Arial" w:hAnsi="Arial"/>
                <w:b w:val="0"/>
                <w:color w:val="000000"/>
                <w:sz w:val="21"/>
              </w:rPr>
              <w:t>Audio delay</w:t>
            </w:r>
          </w:p>
        </w:tc>
        <w:tc>
          <w:tcPr>
            <w:tcW w:type="dxa" w:w="5400"/>
            <w:vAlign w:val="center"/>
            <w:shd w:fill="F1F4F6"/>
            <w:tcMar>
              <w:top w:w="65" w:type="dxa"/>
              <w:bottom w:w="65" w:type="dxa"/>
              <w:left w:w="95" w:type="dxa"/>
              <w:right w:w="95" w:type="dxa"/>
            </w:tcMar>
          </w:tcPr>
          <w:p>
            <w:pPr>
              <w:spacing w:after="0" w:line="240" w:lineRule="auto"/>
            </w:pPr>
            <w:r>
              <w:rPr>
                <w:rFonts w:ascii="Arial" w:hAnsi="Arial"/>
                <w:b w:val="0"/>
                <w:color w:val="000000"/>
                <w:sz w:val="21"/>
              </w:rPr>
              <w:t>Median delay of 700 ms or less</w:t>
            </w:r>
          </w:p>
        </w:tc>
        <w:tc>
          <w:tcPr>
            <w:tcW w:type="dxa" w:w="2952"/>
            <w:vAlign w:val="center"/>
            <w:shd w:fill="F1F4F6"/>
            <w:tcMar>
              <w:top w:w="65" w:type="dxa"/>
              <w:bottom w:w="65" w:type="dxa"/>
              <w:left w:w="95" w:type="dxa"/>
              <w:right w:w="95" w:type="dxa"/>
            </w:tcMar>
          </w:tcPr>
          <w:p>
            <w:pPr>
              <w:spacing w:after="0" w:line="240" w:lineRule="auto"/>
            </w:pPr>
            <w:r>
              <w:rPr>
                <w:rFonts w:ascii="Arial" w:hAnsi="Arial"/>
                <w:b w:val="0"/>
                <w:color w:val="000000"/>
                <w:sz w:val="21"/>
              </w:rPr>
              <w:t>Latency tests</w:t>
            </w:r>
          </w:p>
        </w:tc>
      </w:tr>
      <w:tr>
        <w:trPr>
          <w:cantSplit/>
        </w:trPr>
        <w:tc>
          <w:tcPr>
            <w:tcW w:type="dxa" w:w="1872"/>
            <w:vAlign w:val="center"/>
            <w:shd w:fill="FFFFFF"/>
            <w:tcMar>
              <w:top w:w="65" w:type="dxa"/>
              <w:bottom w:w="65" w:type="dxa"/>
              <w:left w:w="95" w:type="dxa"/>
              <w:right w:w="95" w:type="dxa"/>
            </w:tcMar>
          </w:tcPr>
          <w:p>
            <w:pPr>
              <w:spacing w:after="0" w:line="240" w:lineRule="auto"/>
            </w:pPr>
            <w:r>
              <w:rPr>
                <w:rFonts w:ascii="Arial" w:hAnsi="Arial"/>
                <w:b w:val="0"/>
                <w:color w:val="000000"/>
                <w:sz w:val="21"/>
              </w:rPr>
              <w:t>Audibility</w:t>
            </w:r>
          </w:p>
        </w:tc>
        <w:tc>
          <w:tcPr>
            <w:tcW w:type="dxa" w:w="5400"/>
            <w:vAlign w:val="center"/>
            <w:shd w:fill="FFFFFF"/>
            <w:tcMar>
              <w:top w:w="65" w:type="dxa"/>
              <w:bottom w:w="65" w:type="dxa"/>
              <w:left w:w="95" w:type="dxa"/>
              <w:right w:w="95" w:type="dxa"/>
            </w:tcMar>
          </w:tcPr>
          <w:p>
            <w:pPr>
              <w:spacing w:after="0" w:line="240" w:lineRule="auto"/>
            </w:pPr>
            <w:r>
              <w:rPr>
                <w:rFonts w:ascii="Arial" w:hAnsi="Arial"/>
                <w:b w:val="0"/>
                <w:color w:val="000000"/>
                <w:sz w:val="21"/>
              </w:rPr>
              <w:t>At least 75% positive feedback</w:t>
            </w:r>
          </w:p>
        </w:tc>
        <w:tc>
          <w:tcPr>
            <w:tcW w:type="dxa" w:w="2952"/>
            <w:vAlign w:val="center"/>
            <w:shd w:fill="FFFFFF"/>
            <w:tcMar>
              <w:top w:w="65" w:type="dxa"/>
              <w:bottom w:w="65" w:type="dxa"/>
              <w:left w:w="95" w:type="dxa"/>
              <w:right w:w="95" w:type="dxa"/>
            </w:tcMar>
          </w:tcPr>
          <w:p>
            <w:pPr>
              <w:spacing w:after="0" w:line="240" w:lineRule="auto"/>
            </w:pPr>
            <w:r>
              <w:rPr>
                <w:rFonts w:ascii="Arial" w:hAnsi="Arial"/>
                <w:b w:val="0"/>
                <w:color w:val="000000"/>
                <w:sz w:val="21"/>
              </w:rPr>
              <w:t>Student and instructor survey</w:t>
            </w:r>
          </w:p>
        </w:tc>
      </w:tr>
      <w:tr>
        <w:trPr>
          <w:cantSplit/>
        </w:trPr>
        <w:tc>
          <w:tcPr>
            <w:tcW w:type="dxa" w:w="1872"/>
            <w:vAlign w:val="center"/>
            <w:shd w:fill="F1F4F6"/>
            <w:tcMar>
              <w:top w:w="65" w:type="dxa"/>
              <w:bottom w:w="65" w:type="dxa"/>
              <w:left w:w="95" w:type="dxa"/>
              <w:right w:w="95" w:type="dxa"/>
            </w:tcMar>
          </w:tcPr>
          <w:p>
            <w:pPr>
              <w:spacing w:after="0" w:line="240" w:lineRule="auto"/>
            </w:pPr>
            <w:r>
              <w:rPr>
                <w:rFonts w:ascii="Arial" w:hAnsi="Arial"/>
                <w:b w:val="0"/>
                <w:color w:val="000000"/>
                <w:sz w:val="21"/>
              </w:rPr>
              <w:t>Privacy and security</w:t>
            </w:r>
          </w:p>
        </w:tc>
        <w:tc>
          <w:tcPr>
            <w:tcW w:type="dxa" w:w="5400"/>
            <w:vAlign w:val="center"/>
            <w:shd w:fill="F1F4F6"/>
            <w:tcMar>
              <w:top w:w="65" w:type="dxa"/>
              <w:bottom w:w="65" w:type="dxa"/>
              <w:left w:w="95" w:type="dxa"/>
              <w:right w:w="95" w:type="dxa"/>
            </w:tcMar>
          </w:tcPr>
          <w:p>
            <w:pPr>
              <w:spacing w:after="0" w:line="240" w:lineRule="auto"/>
            </w:pPr>
            <w:r>
              <w:rPr>
                <w:rFonts w:ascii="Arial" w:hAnsi="Arial"/>
                <w:b w:val="0"/>
                <w:color w:val="000000"/>
                <w:sz w:val="21"/>
              </w:rPr>
              <w:t>Zero critical incidents</w:t>
            </w:r>
          </w:p>
        </w:tc>
        <w:tc>
          <w:tcPr>
            <w:tcW w:type="dxa" w:w="2952"/>
            <w:vAlign w:val="center"/>
            <w:shd w:fill="F1F4F6"/>
            <w:tcMar>
              <w:top w:w="65" w:type="dxa"/>
              <w:bottom w:w="65" w:type="dxa"/>
              <w:left w:w="95" w:type="dxa"/>
              <w:right w:w="95" w:type="dxa"/>
            </w:tcMar>
          </w:tcPr>
          <w:p>
            <w:pPr>
              <w:spacing w:after="0" w:line="240" w:lineRule="auto"/>
            </w:pPr>
            <w:r>
              <w:rPr>
                <w:rFonts w:ascii="Arial" w:hAnsi="Arial"/>
                <w:b w:val="0"/>
                <w:color w:val="000000"/>
                <w:sz w:val="21"/>
              </w:rPr>
              <w:t>Incident and control records</w:t>
            </w:r>
          </w:p>
        </w:tc>
      </w:tr>
    </w:tbl>
    <w:p>
      <w:r>
        <w:rPr>
          <w:b/>
          <w:sz w:val="20"/>
        </w:rPr>
        <w:t>Requires confirmation:</w:t>
      </w:r>
      <w:r>
        <w:rPr>
          <w:sz w:val="20"/>
        </w:rPr>
        <w:t xml:space="preserve"> targets, measurement definitions, minimum sample and acceptance owner.</w:t>
      </w:r>
    </w:p>
    <w:p>
      <w:pPr>
        <w:pStyle w:val="Heading1"/>
      </w:pPr>
      <w:r>
        <w:t>3 High level scope and exclusions</w:t>
      </w:r>
    </w:p>
    <w:p>
      <w:r>
        <w:rPr>
          <w:b/>
        </w:rPr>
        <w:t>In scope.</w:t>
      </w:r>
      <w:r>
        <w:t xml:space="preserve"> Browser and QR join, temporary sessions, speaking queue, instructor approval and mute/end controls, one active push-to-talk microphone, classroom speaker output, user guidance, three-room pilot and evaluation.</w:t>
      </w:r>
    </w:p>
    <w:p>
      <w:r>
        <w:rPr>
          <w:b/>
        </w:rPr>
        <w:t>Excluded.</w:t>
      </w:r>
      <w:r>
        <w:t xml:space="preserve"> Recording, stored audio or transcripts, voice identification, speech-based attendance or grading, simultaneous microphones, permanent student profiles, remote-learning use and campus-wide rollout.</w:t>
      </w:r>
    </w:p>
    <w:p>
      <w:pPr>
        <w:pStyle w:val="Heading1"/>
      </w:pPr>
      <w:r>
        <w:t>4 Deliverables and milestones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352"/>
      </w:tblGrid>
      <w:tr>
        <w:trPr>
          <w:cantSplit/>
          <w:tblHeader/>
        </w:trPr>
        <w:tc>
          <w:tcPr>
            <w:tcW w:type="dxa" w:w="1872"/>
            <w:vAlign w:val="center"/>
            <w:shd w:fill="263F50"/>
            <w:tcMar>
              <w:top w:w="65" w:type="dxa"/>
              <w:bottom w:w="65" w:type="dxa"/>
              <w:left w:w="95" w:type="dxa"/>
              <w:right w:w="95" w:type="dxa"/>
            </w:tcMar>
          </w:tcPr>
          <w:p>
            <w:pPr>
              <w:spacing w:after="0" w:line="240" w:lineRule="auto"/>
            </w:pPr>
            <w:r>
              <w:rPr>
                <w:rFonts w:ascii="Arial" w:hAnsi="Arial"/>
                <w:b/>
                <w:color w:val="FFFFFF"/>
                <w:sz w:val="20"/>
              </w:rPr>
              <w:t>Timing</w:t>
            </w:r>
          </w:p>
        </w:tc>
        <w:tc>
          <w:tcPr>
            <w:tcW w:type="dxa" w:w="8352"/>
            <w:vAlign w:val="center"/>
            <w:shd w:fill="263F50"/>
            <w:tcMar>
              <w:top w:w="65" w:type="dxa"/>
              <w:bottom w:w="65" w:type="dxa"/>
              <w:left w:w="95" w:type="dxa"/>
              <w:right w:w="95" w:type="dxa"/>
            </w:tcMar>
          </w:tcPr>
          <w:p>
            <w:pPr>
              <w:spacing w:after="0" w:line="240" w:lineRule="auto"/>
            </w:pPr>
            <w:r>
              <w:rPr>
                <w:rFonts w:ascii="Arial" w:hAnsi="Arial"/>
                <w:b/>
                <w:color w:val="FFFFFF"/>
                <w:sz w:val="20"/>
              </w:rPr>
              <w:t>Deliverable or decision</w:t>
            </w:r>
          </w:p>
        </w:tc>
      </w:tr>
      <w:tr>
        <w:trPr>
          <w:cantSplit/>
        </w:trPr>
        <w:tc>
          <w:tcPr>
            <w:tcW w:type="dxa" w:w="1872"/>
            <w:vAlign w:val="center"/>
            <w:shd w:fill="F1F4F6"/>
            <w:tcMar>
              <w:top w:w="65" w:type="dxa"/>
              <w:bottom w:w="65" w:type="dxa"/>
              <w:left w:w="95" w:type="dxa"/>
              <w:right w:w="95" w:type="dxa"/>
            </w:tcMar>
          </w:tcPr>
          <w:p>
            <w:pPr>
              <w:spacing w:after="0" w:line="240" w:lineRule="auto"/>
            </w:pPr>
            <w:r>
              <w:rPr>
                <w:rFonts w:ascii="Arial" w:hAnsi="Arial"/>
                <w:b w:val="0"/>
                <w:color w:val="000000"/>
                <w:sz w:val="20"/>
              </w:rPr>
              <w:t>Week 1</w:t>
            </w:r>
          </w:p>
        </w:tc>
        <w:tc>
          <w:tcPr>
            <w:tcW w:type="dxa" w:w="8352"/>
            <w:vAlign w:val="center"/>
            <w:shd w:fill="F1F4F6"/>
            <w:tcMar>
              <w:top w:w="65" w:type="dxa"/>
              <w:bottom w:w="65" w:type="dxa"/>
              <w:left w:w="95" w:type="dxa"/>
              <w:right w:w="95" w:type="dxa"/>
            </w:tcMar>
          </w:tcPr>
          <w:p>
            <w:pPr>
              <w:spacing w:after="0" w:line="240" w:lineRule="auto"/>
            </w:pPr>
            <w:r>
              <w:rPr>
                <w:rFonts w:ascii="Arial" w:hAnsi="Arial"/>
                <w:b w:val="0"/>
                <w:color w:val="000000"/>
                <w:sz w:val="20"/>
              </w:rPr>
              <w:t>Charter approval and kickoff</w:t>
            </w:r>
          </w:p>
        </w:tc>
      </w:tr>
      <w:tr>
        <w:trPr>
          <w:cantSplit/>
        </w:trPr>
        <w:tc>
          <w:tcPr>
            <w:tcW w:type="dxa" w:w="1872"/>
            <w:vAlign w:val="center"/>
            <w:shd w:fill="FFFFFF"/>
            <w:tcMar>
              <w:top w:w="65" w:type="dxa"/>
              <w:bottom w:w="65" w:type="dxa"/>
              <w:left w:w="95" w:type="dxa"/>
              <w:right w:w="95" w:type="dxa"/>
            </w:tcMar>
          </w:tcPr>
          <w:p>
            <w:pPr>
              <w:spacing w:after="0" w:line="240" w:lineRule="auto"/>
            </w:pPr>
            <w:r>
              <w:rPr>
                <w:rFonts w:ascii="Arial" w:hAnsi="Arial"/>
                <w:b w:val="0"/>
                <w:color w:val="000000"/>
                <w:sz w:val="20"/>
              </w:rPr>
              <w:t>Weeks 2–3</w:t>
            </w:r>
          </w:p>
        </w:tc>
        <w:tc>
          <w:tcPr>
            <w:tcW w:type="dxa" w:w="8352"/>
            <w:vAlign w:val="center"/>
            <w:shd w:fill="FFFFFF"/>
            <w:tcMar>
              <w:top w:w="65" w:type="dxa"/>
              <w:bottom w:w="65" w:type="dxa"/>
              <w:left w:w="95" w:type="dxa"/>
              <w:right w:w="95" w:type="dxa"/>
            </w:tcMar>
          </w:tcPr>
          <w:p>
            <w:pPr>
              <w:spacing w:after="0" w:line="240" w:lineRule="auto"/>
            </w:pPr>
            <w:r>
              <w:rPr>
                <w:rFonts w:ascii="Arial" w:hAnsi="Arial"/>
                <w:b w:val="0"/>
                <w:color w:val="000000"/>
                <w:sz w:val="20"/>
              </w:rPr>
              <w:t>Confirmed classroom, privacy, accessibility and technical requirements</w:t>
            </w:r>
          </w:p>
        </w:tc>
      </w:tr>
      <w:tr>
        <w:trPr>
          <w:cantSplit/>
        </w:trPr>
        <w:tc>
          <w:tcPr>
            <w:tcW w:type="dxa" w:w="1872"/>
            <w:vAlign w:val="center"/>
            <w:shd w:fill="F1F4F6"/>
            <w:tcMar>
              <w:top w:w="65" w:type="dxa"/>
              <w:bottom w:w="65" w:type="dxa"/>
              <w:left w:w="95" w:type="dxa"/>
              <w:right w:w="95" w:type="dxa"/>
            </w:tcMar>
          </w:tcPr>
          <w:p>
            <w:pPr>
              <w:spacing w:after="0" w:line="240" w:lineRule="auto"/>
            </w:pPr>
            <w:r>
              <w:rPr>
                <w:rFonts w:ascii="Arial" w:hAnsi="Arial"/>
                <w:b w:val="0"/>
                <w:color w:val="000000"/>
                <w:sz w:val="20"/>
              </w:rPr>
              <w:t>Weeks 4–6</w:t>
            </w:r>
          </w:p>
        </w:tc>
        <w:tc>
          <w:tcPr>
            <w:tcW w:type="dxa" w:w="8352"/>
            <w:vAlign w:val="center"/>
            <w:shd w:fill="F1F4F6"/>
            <w:tcMar>
              <w:top w:w="65" w:type="dxa"/>
              <w:bottom w:w="65" w:type="dxa"/>
              <w:left w:w="95" w:type="dxa"/>
              <w:right w:w="95" w:type="dxa"/>
            </w:tcMar>
          </w:tcPr>
          <w:p>
            <w:pPr>
              <w:spacing w:after="0" w:line="240" w:lineRule="auto"/>
            </w:pPr>
            <w:r>
              <w:rPr>
                <w:rFonts w:ascii="Arial" w:hAnsi="Arial"/>
                <w:b w:val="0"/>
                <w:color w:val="000000"/>
                <w:sz w:val="20"/>
              </w:rPr>
              <w:t>Working prototype with instructor controls</w:t>
            </w:r>
          </w:p>
        </w:tc>
      </w:tr>
      <w:tr>
        <w:trPr>
          <w:cantSplit/>
        </w:trPr>
        <w:tc>
          <w:tcPr>
            <w:tcW w:type="dxa" w:w="1872"/>
            <w:vAlign w:val="center"/>
            <w:shd w:fill="FFFFFF"/>
            <w:tcMar>
              <w:top w:w="65" w:type="dxa"/>
              <w:bottom w:w="65" w:type="dxa"/>
              <w:left w:w="95" w:type="dxa"/>
              <w:right w:w="95" w:type="dxa"/>
            </w:tcMar>
          </w:tcPr>
          <w:p>
            <w:pPr>
              <w:spacing w:after="0" w:line="240" w:lineRule="auto"/>
            </w:pPr>
            <w:r>
              <w:rPr>
                <w:rFonts w:ascii="Arial" w:hAnsi="Arial"/>
                <w:b w:val="0"/>
                <w:color w:val="000000"/>
                <w:sz w:val="20"/>
              </w:rPr>
              <w:t>Weeks 7–8</w:t>
            </w:r>
          </w:p>
        </w:tc>
        <w:tc>
          <w:tcPr>
            <w:tcW w:type="dxa" w:w="8352"/>
            <w:vAlign w:val="center"/>
            <w:shd w:fill="FFFFFF"/>
            <w:tcMar>
              <w:top w:w="65" w:type="dxa"/>
              <w:bottom w:w="65" w:type="dxa"/>
              <w:left w:w="95" w:type="dxa"/>
              <w:right w:w="95" w:type="dxa"/>
            </w:tcMar>
          </w:tcPr>
          <w:p>
            <w:pPr>
              <w:spacing w:after="0" w:line="240" w:lineRule="auto"/>
            </w:pPr>
            <w:r>
              <w:rPr>
                <w:rFonts w:ascii="Arial" w:hAnsi="Arial"/>
                <w:b w:val="0"/>
                <w:color w:val="000000"/>
                <w:sz w:val="20"/>
              </w:rPr>
              <w:t>AV, network, browser, misuse and user acceptance test evidence</w:t>
            </w:r>
          </w:p>
        </w:tc>
      </w:tr>
      <w:tr>
        <w:trPr>
          <w:cantSplit/>
        </w:trPr>
        <w:tc>
          <w:tcPr>
            <w:tcW w:type="dxa" w:w="1872"/>
            <w:vAlign w:val="center"/>
            <w:shd w:fill="F1F4F6"/>
            <w:tcMar>
              <w:top w:w="65" w:type="dxa"/>
              <w:bottom w:w="65" w:type="dxa"/>
              <w:left w:w="95" w:type="dxa"/>
              <w:right w:w="95" w:type="dxa"/>
            </w:tcMar>
          </w:tcPr>
          <w:p>
            <w:pPr>
              <w:spacing w:after="0" w:line="240" w:lineRule="auto"/>
            </w:pPr>
            <w:r>
              <w:rPr>
                <w:rFonts w:ascii="Arial" w:hAnsi="Arial"/>
                <w:b w:val="0"/>
                <w:color w:val="000000"/>
                <w:sz w:val="20"/>
              </w:rPr>
              <w:t>Weeks 9–14</w:t>
            </w:r>
          </w:p>
        </w:tc>
        <w:tc>
          <w:tcPr>
            <w:tcW w:type="dxa" w:w="8352"/>
            <w:vAlign w:val="center"/>
            <w:shd w:fill="F1F4F6"/>
            <w:tcMar>
              <w:top w:w="65" w:type="dxa"/>
              <w:bottom w:w="65" w:type="dxa"/>
              <w:left w:w="95" w:type="dxa"/>
              <w:right w:w="95" w:type="dxa"/>
            </w:tcMar>
          </w:tcPr>
          <w:p>
            <w:pPr>
              <w:spacing w:after="0" w:line="240" w:lineRule="auto"/>
            </w:pPr>
            <w:r>
              <w:rPr>
                <w:rFonts w:ascii="Arial" w:hAnsi="Arial"/>
                <w:b w:val="0"/>
                <w:color w:val="000000"/>
                <w:sz w:val="20"/>
              </w:rPr>
              <w:t>Six-week classroom pilot, final evaluation and sponsor decision</w:t>
            </w:r>
          </w:p>
        </w:tc>
      </w:tr>
    </w:tbl>
    <w:p>
      <w:r>
        <w:br w:type="page"/>
      </w:r>
    </w:p>
    <w:p>
      <w:pPr>
        <w:pStyle w:val="Heading1"/>
      </w:pPr>
      <w:r>
        <w:t>5 High level requirements</w:t>
      </w:r>
    </w:p>
    <w:p>
      <w:r>
        <w:t>Students join a temporary browser session and explicitly permit microphone access. The instructor approves speakers and can mute or end the session. Only one approved phone transmits while push to talk is active. The system sends audio to room speakers without recording or retaining audio or transcripts. Supported devices, accessible participation and a physical microphone or instructor-repeat fallback must be available.</w:t>
      </w:r>
    </w:p>
    <w:p>
      <w:pPr>
        <w:pStyle w:val="Heading1"/>
      </w:pPr>
      <w:r>
        <w:t>6 Initial risks assumptions and constraints</w:t>
      </w:r>
    </w:p>
    <w:p>
      <w:r>
        <w:rPr>
          <w:b/>
        </w:rPr>
        <w:t>Risks.</w:t>
      </w:r>
      <w:r>
        <w:t xml:space="preserve"> Feedback and network delay may make audio unusable. Browser incompatibility or unequal phone access may exclude participants. Misuse or unauthorized audio handling may compromise privacy. Low instructor adoption may leave insufficient evaluation evidence.</w:t>
      </w:r>
    </w:p>
    <w:p>
      <w:r>
        <w:rPr>
          <w:b/>
        </w:rPr>
        <w:t>Responses.</w:t>
      </w:r>
      <w:r>
        <w:t xml:space="preserve"> Test rooms and devices before the pilot, use one active microphone and instructor controls, provide training and a fallback, and stop affected sessions for suspected security or privacy incidents.</w:t>
      </w:r>
    </w:p>
    <w:p>
      <w:r>
        <w:rPr>
          <w:b/>
        </w:rPr>
        <w:t>Assumptions.</w:t>
      </w:r>
      <w:r>
        <w:t xml:space="preserve"> Stable Wi-Fi, a computer connected to speakers, compatible phones, participating instructors and access to IT, AV, privacy and accessibility reviewers are available. These assumptions require validation.</w:t>
      </w:r>
    </w:p>
    <w:p>
      <w:r>
        <w:rPr>
          <w:b/>
        </w:rPr>
        <w:t>Constraints.</w:t>
      </w:r>
      <w:r>
        <w:t xml:space="preserve"> The existing draft proposes 14 weeks, three equipped classrooms and an AED 60,000 ceiling. No audio or transcript storage is permitted. Funding, room allocation, dates and resource availability require confirmation.</w:t>
      </w:r>
    </w:p>
    <w:p>
      <w:pPr>
        <w:pStyle w:val="Heading1"/>
      </w:pPr>
      <w:r>
        <w:t>7 Sponsor and major stakeholders</w:t>
      </w:r>
    </w:p>
    <w:p>
      <w:r>
        <w:t>Proposed sponsor: Dean of Academic Affairs, with the named sponsor and approval to be confirmed. Major stakeholders are the Teaching and Learning lead as business owner, pilot instructors, students, IT and classroom AV, cybersecurity and privacy, accessibility services, and Finance and Procurement. They confirm classroom value, readiness, controls and resource commitments. Temiko Machavariani is the technical lead named in the existing draft.</w:t>
      </w:r>
    </w:p>
    <w:p>
      <w:pPr>
        <w:pStyle w:val="Heading1"/>
      </w:pPr>
      <w:r>
        <w:t>8 Project manager and authority</w:t>
      </w:r>
    </w:p>
    <w:p>
      <w:r>
        <w:t>Nurtore Arynuruly is the project manager named in the existing draft, subject to confirmation. On approval, the project manager may coordinate daily work, assign tasks and manage issues within the agreed scope, schedule and ceiling. The sponsor approves material changes and funding exceptions. Relevant IT, AV, privacy and security owners approve readiness in their areas. No authority is effective until the sponsor approves this charter.</w:t>
      </w:r>
    </w:p>
    <w:p>
      <w:pPr>
        <w:pStyle w:val="Heading1"/>
      </w:pPr>
      <w:r>
        <w:t>Items requiring confirmation</w:t>
      </w:r>
    </w:p>
    <w:p>
      <w:r>
        <w:rPr>
          <w:sz w:val="21"/>
        </w:rPr>
        <w:t>1. Supply the approved ClassMic A2 aspiration and B2 business case. The available CampusCrew business case concerns a different project and cannot establish ClassMic approval.</w:t>
      </w:r>
    </w:p>
    <w:p>
      <w:r>
        <w:rPr>
          <w:sz w:val="21"/>
        </w:rPr>
        <w:t>2. Confirm the sponsor, project manager and technical lead appointments, business owner and control reviewers, funding, calendar dates, rooms, participants and evaluation method.</w:t>
      </w:r>
    </w:p>
    <w:p>
      <w:r>
        <w:rPr>
          <w:sz w:val="21"/>
        </w:rPr>
        <w:t>3. Attach genuine photos of the team’s charter brainstorming, with dates, participants and decisions, using the Human Evidence document. Individual student input is handled separately.</w:t>
      </w:r>
    </w:p>
    <w:p>
      <w:r>
        <w:rPr>
          <w:sz w:val="21"/>
        </w:rPr>
        <w:t>Sponsor name and signature  ________________________    Date  __________</w:t>
      </w:r>
    </w:p>
    <w:p>
      <w:r>
        <w:rPr>
          <w:sz w:val="21"/>
        </w:rPr>
        <w:t>Project manager signature  _________________________    Date  __________</w:t>
      </w:r>
    </w:p>
    <w:sectPr w:rsidR="00FC693F" w:rsidRPr="0006063C" w:rsidSect="00034616">
      <w:footerReference w:type="default" r:id="rId9"/>
      <w:pgSz w:w="12240" w:h="15840"/>
      <w:pgMar w:top="893" w:right="1008" w:bottom="893" w:left="1008"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ClassMic C1 draft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50" w:lineRule="auto"/>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60" w:after="80" w:line="250"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5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0" w:lineRule="auto" w:after="100"/>
    </w:pPr>
    <w:rPr>
      <w:rFonts w:asciiTheme="majorHAnsi" w:eastAsiaTheme="majorEastAsia" w:hAnsiTheme="majorHAnsi" w:cstheme="majorBidi" w:ascii="Arial" w:hAnsi="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ClassMic Project Charter</dc:title>
  <dc:subject>C1 Develop the Project Charter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