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keepNext/>
        <w:spacing w:before="0" w:after="140" w:line="264" w:lineRule="auto"/>
        <w:jc w:val="center"/>
      </w:pPr>
      <w:r>
        <w:rPr>
          <w:rFonts w:ascii="Calibri" w:hAnsi="Calibri"/>
          <w:b/>
          <w:i w:val="0"/>
          <w:color w:val="176B4D"/>
          <w:sz w:val="20"/>
        </w:rPr>
        <w:t>CONNECT THEME</w:t>
      </w:r>
    </w:p>
    <w:p>
      <w:pPr>
        <w:keepNext/>
        <w:spacing w:before="0" w:after="40" w:line="240" w:lineRule="auto"/>
        <w:jc w:val="center"/>
      </w:pPr>
      <w:r>
        <w:rPr>
          <w:rFonts w:ascii="Calibri" w:hAnsi="Calibri"/>
          <w:b/>
          <w:i w:val="0"/>
          <w:color w:val="0B2545"/>
          <w:sz w:val="54"/>
        </w:rPr>
        <w:t>CampusCrew</w:t>
      </w:r>
    </w:p>
    <w:p>
      <w:pPr>
        <w:keepNext/>
        <w:spacing w:before="0" w:after="80" w:line="240" w:lineRule="auto"/>
        <w:jc w:val="center"/>
      </w:pPr>
      <w:r>
        <w:rPr>
          <w:rFonts w:ascii="Calibri" w:hAnsi="Calibri"/>
          <w:b/>
          <w:i w:val="0"/>
          <w:color w:val="1F4D78"/>
          <w:sz w:val="28"/>
        </w:rPr>
        <w:t>Phase B — Business Case: Should We Invest?</w:t>
      </w:r>
    </w:p>
    <w:p>
      <w:pPr>
        <w:keepNext/>
        <w:spacing w:before="0" w:after="200" w:line="240" w:lineRule="auto"/>
        <w:jc w:val="center"/>
      </w:pPr>
      <w:r>
        <w:rPr>
          <w:rFonts w:ascii="Calibri" w:hAnsi="Calibri"/>
          <w:b/>
          <w:color w:val="667085"/>
          <w:sz w:val="19"/>
        </w:rPr>
        <w:t>TEAM MEMBERS  •  Temiko Machavariani  •  Nurtore Arynuruly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4" w:space="0" w:color="D8E0E8"/>
          <w:left w:val="single" w:sz="4" w:space="0" w:color="D8E0E8"/>
          <w:bottom w:val="single" w:sz="4" w:space="0" w:color="D8E0E8"/>
          <w:right w:val="single" w:sz="4" w:space="0" w:color="D8E0E8"/>
          <w:insideH w:val="single" w:sz="4" w:space="0" w:color="D8E0E8"/>
          <w:insideV w:val="single" w:sz="4" w:space="0" w:color="D8E0E8"/>
        </w:tblBorders>
      </w:tblPr>
      <w:tblGrid>
        <w:gridCol w:w="4680"/>
        <w:gridCol w:w="4680"/>
      </w:tblGrid>
      <w:tr>
        <w:tc>
          <w:tcPr>
            <w:tcW w:type="dxa" w:w="46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667085"/>
                <w:sz w:val="16"/>
              </w:rPr>
              <w:t>DECISION REQUESTED</w:t>
              <w:br/>
            </w:r>
            <w:r>
              <w:rPr>
                <w:rFonts w:ascii="Calibri" w:hAnsi="Calibri"/>
                <w:b/>
                <w:i w:val="0"/>
                <w:color w:val="0B2545"/>
                <w:sz w:val="19"/>
              </w:rPr>
              <w:t>Authorize a controlled MVP pilot</w:t>
            </w:r>
          </w:p>
        </w:tc>
        <w:tc>
          <w:tcPr>
            <w:tcW w:type="dxa" w:w="46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667085"/>
                <w:sz w:val="16"/>
              </w:rPr>
              <w:t>PLANNING DATE</w:t>
              <w:br/>
            </w:r>
            <w:r>
              <w:rPr>
                <w:rFonts w:ascii="Calibri" w:hAnsi="Calibri"/>
                <w:b/>
                <w:i w:val="0"/>
                <w:color w:val="0B2545"/>
                <w:sz w:val="19"/>
              </w:rPr>
              <w:t>4 September 2026</w:t>
            </w:r>
          </w:p>
        </w:tc>
      </w:tr>
      <w:tr>
        <w:tc>
          <w:tcPr>
            <w:tcW w:type="dxa" w:w="46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667085"/>
                <w:sz w:val="16"/>
              </w:rPr>
              <w:t>PILOT SCOPE</w:t>
              <w:br/>
            </w:r>
            <w:r>
              <w:rPr>
                <w:rFonts w:ascii="Calibri" w:hAnsi="Calibri"/>
                <w:b/>
                <w:i w:val="0"/>
                <w:color w:val="0B2545"/>
                <w:sz w:val="19"/>
              </w:rPr>
              <w:t>One campus • 500 invited students</w:t>
            </w:r>
          </w:p>
        </w:tc>
        <w:tc>
          <w:tcPr>
            <w:tcW w:type="dxa" w:w="46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667085"/>
                <w:sz w:val="16"/>
              </w:rPr>
              <w:t>TIME / FUNDING</w:t>
              <w:br/>
            </w:r>
            <w:r>
              <w:rPr>
                <w:rFonts w:ascii="Calibri" w:hAnsi="Calibri"/>
                <w:b/>
                <w:i w:val="0"/>
                <w:color w:val="0B2545"/>
                <w:sz w:val="19"/>
              </w:rPr>
              <w:t>12 weeks • AED 92,000 cap</w:t>
            </w:r>
          </w:p>
        </w:tc>
      </w:tr>
    </w:tbl>
    <w:p>
      <w:pPr>
        <w:keepNext w:val="0"/>
        <w:spacing w:before="0" w:after="40" w:line="264" w:lineRule="auto"/>
        <w:jc w:val="left"/>
      </w:pPr>
      <w:r>
        <w:rPr>
          <w:rFonts w:ascii="Calibri" w:hAnsi="Calibri"/>
          <w:b w:val="0"/>
          <w:i w:val="0"/>
          <w:color w:val="1D2939"/>
          <w:sz w:val="2"/>
        </w:rPr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80" w:type="dxa"/>
        <w:tblBorders>
          <w:top w:val="single" w:sz="8" w:space="0" w:color="176B4D"/>
          <w:left w:val="single" w:sz="8" w:space="0" w:color="176B4D"/>
          <w:bottom w:val="single" w:sz="8" w:space="0" w:color="176B4D"/>
          <w:right w:val="single" w:sz="8" w:space="0" w:color="176B4D"/>
          <w:insideH w:val="single" w:sz="8" w:space="0" w:color="176B4D"/>
          <w:insideV w:val="single" w:sz="8" w:space="0" w:color="176B4D"/>
        </w:tblBorders>
      </w:tblPr>
      <w:tblGrid>
        <w:gridCol w:w="9360"/>
      </w:tblGrid>
      <w:tr>
        <w:tc>
          <w:tcPr>
            <w:tcW w:type="dxa" w:w="9360"/>
            <w:tcMar>
              <w:top w:w="130" w:type="dxa"/>
              <w:start w:w="180" w:type="dxa"/>
              <w:bottom w:w="130" w:type="dxa"/>
              <w:end w:w="180" w:type="dxa"/>
            </w:tcMar>
            <w:vAlign w:val="center"/>
            <w:shd w:fill="EAF4EF"/>
          </w:tcPr>
          <w:p>
            <w:pPr>
              <w:spacing w:after="0" w:line="259" w:lineRule="auto"/>
            </w:pPr>
            <w:r>
              <w:rPr>
                <w:rFonts w:ascii="Calibri" w:hAnsi="Calibri"/>
                <w:b/>
                <w:i w:val="0"/>
                <w:color w:val="176B4D"/>
                <w:sz w:val="19"/>
              </w:rPr>
              <w:t xml:space="preserve">RECOMMENDATION: GO — PILOT ONLY  </w:t>
            </w:r>
            <w:r>
              <w:rPr>
                <w:rFonts w:ascii="Calibri" w:hAnsi="Calibri"/>
                <w:b/>
                <w:i w:val="0"/>
                <w:color w:val="1D2939"/>
                <w:sz w:val="21"/>
              </w:rPr>
              <w:t>Approve a 12-week custom MVP pilot capped at AED 92,000. Do not approve campus-wide production until local demand, safe adoption, and operating effort are measured against the decision gates on the final page.</w:t>
            </w:r>
          </w:p>
        </w:tc>
      </w:tr>
    </w:tbl>
    <w:p>
      <w:pPr>
        <w:keepNext w:val="0"/>
        <w:spacing w:before="0" w:after="60" w:line="264" w:lineRule="auto"/>
        <w:jc w:val="left"/>
      </w:pPr>
      <w:r>
        <w:rPr>
          <w:rFonts w:ascii="Calibri" w:hAnsi="Calibri"/>
          <w:b w:val="0"/>
          <w:i w:val="0"/>
          <w:color w:val="1D2939"/>
          <w:sz w:val="2"/>
        </w:rPr>
      </w:r>
    </w:p>
    <w:p>
      <w:pPr>
        <w:pStyle w:val="Heading1"/>
      </w:pPr>
      <w:r>
        <w:t>1. Opportunity and proposed solution</w:t>
      </w:r>
    </w:p>
    <w:p>
      <w:pPr>
        <w:spacing w:after="100" w:line="264" w:lineRule="auto"/>
      </w:pPr>
      <w:r>
        <w:rPr>
          <w:rFonts w:ascii="Calibri" w:hAnsi="Calibri"/>
          <w:b/>
          <w:i w:val="0"/>
          <w:color w:val="1D2939"/>
          <w:sz w:val="22"/>
        </w:rPr>
        <w:t xml:space="preserve">The decision problem. </w:t>
      </w:r>
      <w:r>
        <w:rPr>
          <w:rFonts w:ascii="Calibri" w:hAnsi="Calibri"/>
          <w:b w:val="0"/>
          <w:i w:val="0"/>
          <w:color w:val="1D2939"/>
          <w:sz w:val="22"/>
        </w:rPr>
        <w:t>Students can often see clubs and events, yet still struggle to turn interest into a first, low-pressure in-person interaction—especially when they are new, commute, have limited time, or do not already know an organizer. Existing channels advertise broadly; they do not reliably form a small group around a shared goal, time, and place.</w:t>
      </w:r>
    </w:p>
    <w:p>
      <w:pPr>
        <w:spacing w:after="100" w:line="264" w:lineRule="auto"/>
      </w:pPr>
      <w:r>
        <w:rPr>
          <w:rFonts w:ascii="Calibri" w:hAnsi="Calibri"/>
          <w:b/>
          <w:i w:val="0"/>
          <w:color w:val="1D2939"/>
          <w:sz w:val="22"/>
        </w:rPr>
        <w:t xml:space="preserve">CampusCrew. </w:t>
      </w:r>
      <w:r>
        <w:rPr>
          <w:rFonts w:ascii="Calibri" w:hAnsi="Calibri"/>
          <w:b w:val="0"/>
          <w:i w:val="0"/>
          <w:color w:val="1D2939"/>
          <w:sz w:val="22"/>
        </w:rPr>
        <w:t>A verified, mobile-first campus service that creates temporary ‘crews’ of 3–6 students for a specific real-world activity: a study sprint, portfolio build, coding practice, sport, language exchange, or campus event. A 60-second intent card captures goal, availability, preferred language, and accessibility needs; the service proposes a suitable crew and public on-campus meetup. It has no infinite feed, follower counts, or public popularity metrics.</w:t>
      </w:r>
    </w:p>
    <w:p>
      <w:pPr>
        <w:pStyle w:val="Heading1"/>
      </w:pPr>
      <w:r>
        <w:t>2. Why the case merits a pilot</w:t>
      </w:r>
    </w:p>
    <w:p>
      <w:pPr>
        <w:numPr>
          <w:ilvl w:val="0"/>
          <w:numId w:val="91"/>
        </w:numPr>
        <w:spacing w:after="80" w:line="280" w:lineRule="auto"/>
      </w:pPr>
      <w:r>
        <w:rPr>
          <w:rFonts w:ascii="Calibri" w:hAnsi="Calibri"/>
          <w:b w:val="0"/>
          <w:i w:val="0"/>
          <w:color w:val="1D2939"/>
          <w:sz w:val="21"/>
        </w:rPr>
        <w:t>Strategic alignment — strengthens belonging, peer learning, student experience, and cross-discipline collaboration while producing measurable participation data.</w:t>
      </w:r>
    </w:p>
    <w:p>
      <w:pPr>
        <w:numPr>
          <w:ilvl w:val="0"/>
          <w:numId w:val="91"/>
        </w:numPr>
        <w:spacing w:after="80" w:line="280" w:lineRule="auto"/>
      </w:pPr>
      <w:r>
        <w:rPr>
          <w:rFonts w:ascii="Calibri" w:hAnsi="Calibri"/>
          <w:b w:val="0"/>
          <w:i w:val="0"/>
          <w:color w:val="1D2939"/>
          <w:sz w:val="21"/>
        </w:rPr>
        <w:t>External need signal — WHO’s 2025 commission reported that roughly 17–21% of people aged 13–29 experience loneliness, and emphasized practical, scalable social-connection interventions [1].</w:t>
      </w:r>
    </w:p>
    <w:p>
      <w:pPr>
        <w:numPr>
          <w:ilvl w:val="0"/>
          <w:numId w:val="91"/>
        </w:numPr>
        <w:spacing w:after="80" w:line="280" w:lineRule="auto"/>
      </w:pPr>
      <w:r>
        <w:rPr>
          <w:rFonts w:ascii="Calibri" w:hAnsi="Calibri"/>
          <w:b w:val="0"/>
          <w:i w:val="0"/>
          <w:color w:val="1D2939"/>
          <w:sz w:val="21"/>
        </w:rPr>
        <w:t>Intervention logic — the U.S. Surgeon General recommends peer-led programs, supportive environments, and regular opportunities for connection in education settings [2]. CampusCrew operationalizes those principles around real activities.</w:t>
      </w:r>
    </w:p>
    <w:p>
      <w:pPr>
        <w:numPr>
          <w:ilvl w:val="0"/>
          <w:numId w:val="91"/>
        </w:numPr>
        <w:spacing w:after="80" w:line="280" w:lineRule="auto"/>
      </w:pPr>
      <w:r>
        <w:rPr>
          <w:rFonts w:ascii="Calibri" w:hAnsi="Calibri"/>
          <w:b w:val="0"/>
          <w:i w:val="0"/>
          <w:color w:val="1D2939"/>
          <w:sz w:val="21"/>
        </w:rPr>
        <w:t>Evidence caution — the U.S. Department of Education found mixed overall effects for college social-belonging interventions, although one commuter-heavy randomized study showed promising retention evidence [3]. This uncertainty supports a measured pilot, not a full rollout.</w:t>
      </w:r>
    </w:p>
    <w:p>
      <w:pPr>
        <w:pStyle w:val="Heading1"/>
      </w:pPr>
      <w:r>
        <w:t>3. Expected value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4" w:space="0" w:color="D0D5DD"/>
          <w:left w:val="single" w:sz="4" w:space="0" w:color="D0D5DD"/>
          <w:bottom w:val="single" w:sz="4" w:space="0" w:color="D0D5DD"/>
          <w:right w:val="single" w:sz="4" w:space="0" w:color="D0D5DD"/>
          <w:insideH w:val="single" w:sz="4" w:space="0" w:color="D0D5DD"/>
          <w:insideV w:val="single" w:sz="4" w:space="0" w:color="D0D5DD"/>
        </w:tblBorders>
      </w:tblPr>
      <w:tblGrid>
        <w:gridCol w:w="3120"/>
        <w:gridCol w:w="3120"/>
        <w:gridCol w:w="3120"/>
      </w:tblGrid>
      <w:tr>
        <w:trPr>
          <w:tblHeader w:val="true"/>
        </w:trPr>
        <w:tc>
          <w:tcPr>
            <w:tcW w:type="dxa" w:w="31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0B2545"/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Calibri" w:hAnsi="Calibri"/>
                <w:b/>
                <w:i w:val="0"/>
                <w:color w:val="FFFFFF"/>
                <w:sz w:val="18"/>
              </w:rPr>
              <w:t>Student value</w:t>
            </w:r>
          </w:p>
        </w:tc>
        <w:tc>
          <w:tcPr>
            <w:tcW w:type="dxa" w:w="31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0B2545"/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Calibri" w:hAnsi="Calibri"/>
                <w:b/>
                <w:i w:val="0"/>
                <w:color w:val="FFFFFF"/>
                <w:sz w:val="18"/>
              </w:rPr>
              <w:t>Institution value</w:t>
            </w:r>
          </w:p>
        </w:tc>
        <w:tc>
          <w:tcPr>
            <w:tcW w:type="dxa" w:w="31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0B2545"/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Calibri" w:hAnsi="Calibri"/>
                <w:b/>
                <w:i w:val="0"/>
                <w:color w:val="FFFFFF"/>
                <w:sz w:val="18"/>
              </w:rPr>
              <w:t>Learning value</w:t>
            </w:r>
          </w:p>
        </w:tc>
      </w:tr>
      <w:tr>
        <w:tc>
          <w:tcPr>
            <w:tcW w:type="dxa" w:w="31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D2939"/>
                <w:sz w:val="17"/>
              </w:rPr>
              <w:t>Faster path from interest to a useful, face-to-face connection; lower friction for new and commuting students.</w:t>
            </w:r>
          </w:p>
        </w:tc>
        <w:tc>
          <w:tcPr>
            <w:tcW w:type="dxa" w:w="31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D2939"/>
                <w:sz w:val="17"/>
              </w:rPr>
              <w:t>A focused engagement channel with attendance and satisfaction evidence—not just clicks or impressions.</w:t>
            </w:r>
          </w:p>
        </w:tc>
        <w:tc>
          <w:tcPr>
            <w:tcW w:type="dxa" w:w="31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D2939"/>
                <w:sz w:val="17"/>
              </w:rPr>
              <w:t>A low-cost test of demand, safety, matching rules, and support load before any larger investment.</w:t>
            </w:r>
          </w:p>
        </w:tc>
      </w:tr>
    </w:tbl>
    <w:p>
      <w:pPr>
        <w:pStyle w:val="Heading1"/>
      </w:pPr>
      <w:r>
        <w:t>4. Alternatives appraisal</w:t>
      </w:r>
    </w:p>
    <w:p>
      <w:pPr>
        <w:keepNext w:val="0"/>
        <w:spacing w:before="0" w:after="100" w:line="240" w:lineRule="auto"/>
        <w:jc w:val="left"/>
      </w:pPr>
      <w:r>
        <w:rPr>
          <w:rFonts w:ascii="Calibri" w:hAnsi="Calibri"/>
          <w:b w:val="0"/>
          <w:i/>
          <w:color w:val="667085"/>
          <w:sz w:val="18"/>
        </w:rPr>
        <w:t>Scoring scale: 1 = weak, 5 = strong. Weights total 100%. Scores are decision-team judgments based on the stated pilot assumptions; they are not vendor quotations or measured outcomes.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4" w:space="0" w:color="D0D5DD"/>
          <w:left w:val="single" w:sz="4" w:space="0" w:color="D0D5DD"/>
          <w:bottom w:val="single" w:sz="4" w:space="0" w:color="D0D5DD"/>
          <w:right w:val="single" w:sz="4" w:space="0" w:color="D0D5DD"/>
          <w:insideH w:val="single" w:sz="4" w:space="0" w:color="D0D5DD"/>
          <w:insideV w:val="single" w:sz="4" w:space="0" w:color="D0D5DD"/>
        </w:tblBorders>
      </w:tblPr>
      <w:tblGrid>
        <w:gridCol w:w="3000"/>
        <w:gridCol w:w="780"/>
        <w:gridCol w:w="1800"/>
        <w:gridCol w:w="1800"/>
        <w:gridCol w:w="1980"/>
      </w:tblGrid>
      <w:tr>
        <w:trPr>
          <w:tblHeader w:val="true"/>
        </w:trPr>
        <w:tc>
          <w:tcPr>
            <w:tcW w:type="dxa" w:w="3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0B2545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/>
                <w:b/>
                <w:i w:val="0"/>
                <w:color w:val="FFFFFF"/>
                <w:sz w:val="16"/>
              </w:rPr>
              <w:t>Criterion</w:t>
            </w:r>
          </w:p>
        </w:tc>
        <w:tc>
          <w:tcPr>
            <w:tcW w:type="dxa" w:w="7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0B2545"/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Calibri" w:hAnsi="Calibri"/>
                <w:b/>
                <w:i w:val="0"/>
                <w:color w:val="FFFFFF"/>
                <w:sz w:val="16"/>
              </w:rPr>
              <w:t>Weight</w:t>
            </w:r>
          </w:p>
        </w:tc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0B2545"/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Calibri" w:hAnsi="Calibri"/>
                <w:b/>
                <w:i w:val="0"/>
                <w:color w:val="FFFFFF"/>
                <w:sz w:val="16"/>
              </w:rPr>
              <w:t>1  Improve current</w:t>
            </w:r>
          </w:p>
        </w:tc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0B2545"/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Calibri" w:hAnsi="Calibri"/>
                <w:b/>
                <w:i w:val="0"/>
                <w:color w:val="FFFFFF"/>
                <w:sz w:val="16"/>
              </w:rPr>
              <w:t>2  Buy commercial</w:t>
            </w:r>
          </w:p>
        </w:tc>
        <w:tc>
          <w:tcPr>
            <w:tcW w:type="dxa" w:w="19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0B2545"/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Calibri" w:hAnsi="Calibri"/>
                <w:b/>
                <w:i w:val="0"/>
                <w:color w:val="FFFFFF"/>
                <w:sz w:val="16"/>
              </w:rPr>
              <w:t>3  Custom MVP</w:t>
            </w:r>
          </w:p>
        </w:tc>
      </w:tr>
      <w:tr>
        <w:tc>
          <w:tcPr>
            <w:tcW w:type="dxa" w:w="3000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/>
                <w:b/>
                <w:i w:val="0"/>
                <w:color w:val="1D2939"/>
                <w:sz w:val="16"/>
              </w:rPr>
              <w:t>Strategic alignment</w:t>
            </w:r>
          </w:p>
        </w:tc>
        <w:tc>
          <w:tcPr>
            <w:tcW w:type="dxa" w:w="780"/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1D2939"/>
                <w:sz w:val="16"/>
              </w:rPr>
              <w:t>15%</w:t>
            </w:r>
          </w:p>
        </w:tc>
        <w:tc>
          <w:tcPr>
            <w:tcW w:type="dxa" w:w="1800"/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1D2939"/>
                <w:sz w:val="16"/>
              </w:rPr>
              <w:t>3</w:t>
            </w:r>
          </w:p>
        </w:tc>
        <w:tc>
          <w:tcPr>
            <w:tcW w:type="dxa" w:w="1800"/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1D2939"/>
                <w:sz w:val="16"/>
              </w:rPr>
              <w:t>4</w:t>
            </w:r>
          </w:p>
        </w:tc>
        <w:tc>
          <w:tcPr>
            <w:tcW w:type="dxa" w:w="1980"/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1D2939"/>
                <w:sz w:val="16"/>
              </w:rPr>
              <w:t>5</w:t>
            </w:r>
          </w:p>
        </w:tc>
      </w:tr>
      <w:tr>
        <w:tc>
          <w:tcPr>
            <w:tcW w:type="dxa" w:w="3000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/>
                <w:b/>
                <w:i w:val="0"/>
                <w:color w:val="1D2939"/>
                <w:sz w:val="16"/>
              </w:rPr>
              <w:t>Expected benefits</w:t>
            </w:r>
          </w:p>
        </w:tc>
        <w:tc>
          <w:tcPr>
            <w:tcW w:type="dxa" w:w="780"/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1D2939"/>
                <w:sz w:val="16"/>
              </w:rPr>
              <w:t>20%</w:t>
            </w:r>
          </w:p>
        </w:tc>
        <w:tc>
          <w:tcPr>
            <w:tcW w:type="dxa" w:w="1800"/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1D2939"/>
                <w:sz w:val="16"/>
              </w:rPr>
              <w:t>2</w:t>
            </w:r>
          </w:p>
        </w:tc>
        <w:tc>
          <w:tcPr>
            <w:tcW w:type="dxa" w:w="1800"/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1D2939"/>
                <w:sz w:val="16"/>
              </w:rPr>
              <w:t>4</w:t>
            </w:r>
          </w:p>
        </w:tc>
        <w:tc>
          <w:tcPr>
            <w:tcW w:type="dxa" w:w="1980"/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1D2939"/>
                <w:sz w:val="16"/>
              </w:rPr>
              <w:t>5</w:t>
            </w:r>
          </w:p>
        </w:tc>
      </w:tr>
      <w:tr>
        <w:tc>
          <w:tcPr>
            <w:tcW w:type="dxa" w:w="3000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/>
                <w:b/>
                <w:i w:val="0"/>
                <w:color w:val="1D2939"/>
                <w:sz w:val="16"/>
              </w:rPr>
              <w:t>Cost / value</w:t>
            </w:r>
          </w:p>
        </w:tc>
        <w:tc>
          <w:tcPr>
            <w:tcW w:type="dxa" w:w="780"/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1D2939"/>
                <w:sz w:val="16"/>
              </w:rPr>
              <w:t>15%</w:t>
            </w:r>
          </w:p>
        </w:tc>
        <w:tc>
          <w:tcPr>
            <w:tcW w:type="dxa" w:w="1800"/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1D2939"/>
                <w:sz w:val="16"/>
              </w:rPr>
              <w:t>4</w:t>
            </w:r>
          </w:p>
        </w:tc>
        <w:tc>
          <w:tcPr>
            <w:tcW w:type="dxa" w:w="1800"/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1D2939"/>
                <w:sz w:val="16"/>
              </w:rPr>
              <w:t>2</w:t>
            </w:r>
          </w:p>
        </w:tc>
        <w:tc>
          <w:tcPr>
            <w:tcW w:type="dxa" w:w="1980"/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1D2939"/>
                <w:sz w:val="16"/>
              </w:rPr>
              <w:t>3</w:t>
            </w:r>
          </w:p>
        </w:tc>
      </w:tr>
      <w:tr>
        <w:tc>
          <w:tcPr>
            <w:tcW w:type="dxa" w:w="3000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/>
                <w:b/>
                <w:i w:val="0"/>
                <w:color w:val="1D2939"/>
                <w:sz w:val="16"/>
              </w:rPr>
              <w:t>Feasibility</w:t>
            </w:r>
          </w:p>
        </w:tc>
        <w:tc>
          <w:tcPr>
            <w:tcW w:type="dxa" w:w="780"/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1D2939"/>
                <w:sz w:val="16"/>
              </w:rPr>
              <w:t>10%</w:t>
            </w:r>
          </w:p>
        </w:tc>
        <w:tc>
          <w:tcPr>
            <w:tcW w:type="dxa" w:w="1800"/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1D2939"/>
                <w:sz w:val="16"/>
              </w:rPr>
              <w:t>5</w:t>
            </w:r>
          </w:p>
        </w:tc>
        <w:tc>
          <w:tcPr>
            <w:tcW w:type="dxa" w:w="1800"/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1D2939"/>
                <w:sz w:val="16"/>
              </w:rPr>
              <w:t>4</w:t>
            </w:r>
          </w:p>
        </w:tc>
        <w:tc>
          <w:tcPr>
            <w:tcW w:type="dxa" w:w="1980"/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1D2939"/>
                <w:sz w:val="16"/>
              </w:rPr>
              <w:t>3</w:t>
            </w:r>
          </w:p>
        </w:tc>
      </w:tr>
      <w:tr>
        <w:tc>
          <w:tcPr>
            <w:tcW w:type="dxa" w:w="3000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/>
                <w:b/>
                <w:i w:val="0"/>
                <w:color w:val="1D2939"/>
                <w:sz w:val="16"/>
              </w:rPr>
              <w:t>Schedule</w:t>
            </w:r>
          </w:p>
        </w:tc>
        <w:tc>
          <w:tcPr>
            <w:tcW w:type="dxa" w:w="780"/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1D2939"/>
                <w:sz w:val="16"/>
              </w:rPr>
              <w:t>10%</w:t>
            </w:r>
          </w:p>
        </w:tc>
        <w:tc>
          <w:tcPr>
            <w:tcW w:type="dxa" w:w="1800"/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1D2939"/>
                <w:sz w:val="16"/>
              </w:rPr>
              <w:t>5</w:t>
            </w:r>
          </w:p>
        </w:tc>
        <w:tc>
          <w:tcPr>
            <w:tcW w:type="dxa" w:w="1800"/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1D2939"/>
                <w:sz w:val="16"/>
              </w:rPr>
              <w:t>3</w:t>
            </w:r>
          </w:p>
        </w:tc>
        <w:tc>
          <w:tcPr>
            <w:tcW w:type="dxa" w:w="1980"/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1D2939"/>
                <w:sz w:val="16"/>
              </w:rPr>
              <w:t>3</w:t>
            </w:r>
          </w:p>
        </w:tc>
      </w:tr>
      <w:tr>
        <w:tc>
          <w:tcPr>
            <w:tcW w:type="dxa" w:w="3000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/>
                <w:b/>
                <w:i w:val="0"/>
                <w:color w:val="1D2939"/>
                <w:sz w:val="16"/>
              </w:rPr>
              <w:t>Security, privacy &amp; risk</w:t>
            </w:r>
          </w:p>
        </w:tc>
        <w:tc>
          <w:tcPr>
            <w:tcW w:type="dxa" w:w="780"/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1D2939"/>
                <w:sz w:val="16"/>
              </w:rPr>
              <w:t>10%</w:t>
            </w:r>
          </w:p>
        </w:tc>
        <w:tc>
          <w:tcPr>
            <w:tcW w:type="dxa" w:w="1800"/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1D2939"/>
                <w:sz w:val="16"/>
              </w:rPr>
              <w:t>4</w:t>
            </w:r>
          </w:p>
        </w:tc>
        <w:tc>
          <w:tcPr>
            <w:tcW w:type="dxa" w:w="1800"/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1D2939"/>
                <w:sz w:val="16"/>
              </w:rPr>
              <w:t>3</w:t>
            </w:r>
          </w:p>
        </w:tc>
        <w:tc>
          <w:tcPr>
            <w:tcW w:type="dxa" w:w="1980"/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1D2939"/>
                <w:sz w:val="16"/>
              </w:rPr>
              <w:t>4</w:t>
            </w:r>
          </w:p>
        </w:tc>
      </w:tr>
      <w:tr>
        <w:tc>
          <w:tcPr>
            <w:tcW w:type="dxa" w:w="3000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/>
                <w:b/>
                <w:i w:val="0"/>
                <w:color w:val="1D2939"/>
                <w:sz w:val="16"/>
              </w:rPr>
              <w:t>Operational support</w:t>
            </w:r>
          </w:p>
        </w:tc>
        <w:tc>
          <w:tcPr>
            <w:tcW w:type="dxa" w:w="780"/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1D2939"/>
                <w:sz w:val="16"/>
              </w:rPr>
              <w:t>10%</w:t>
            </w:r>
          </w:p>
        </w:tc>
        <w:tc>
          <w:tcPr>
            <w:tcW w:type="dxa" w:w="1800"/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1D2939"/>
                <w:sz w:val="16"/>
              </w:rPr>
              <w:t>3</w:t>
            </w:r>
          </w:p>
        </w:tc>
        <w:tc>
          <w:tcPr>
            <w:tcW w:type="dxa" w:w="1800"/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1D2939"/>
                <w:sz w:val="16"/>
              </w:rPr>
              <w:t>3</w:t>
            </w:r>
          </w:p>
        </w:tc>
        <w:tc>
          <w:tcPr>
            <w:tcW w:type="dxa" w:w="1980"/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1D2939"/>
                <w:sz w:val="16"/>
              </w:rPr>
              <w:t>4</w:t>
            </w:r>
          </w:p>
        </w:tc>
      </w:tr>
      <w:tr>
        <w:tc>
          <w:tcPr>
            <w:tcW w:type="dxa" w:w="3000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/>
                <w:b/>
                <w:i w:val="0"/>
                <w:color w:val="1D2939"/>
                <w:sz w:val="16"/>
              </w:rPr>
              <w:t>Stakeholder adoption</w:t>
            </w:r>
          </w:p>
        </w:tc>
        <w:tc>
          <w:tcPr>
            <w:tcW w:type="dxa" w:w="780"/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1D2939"/>
                <w:sz w:val="16"/>
              </w:rPr>
              <w:t>10%</w:t>
            </w:r>
          </w:p>
        </w:tc>
        <w:tc>
          <w:tcPr>
            <w:tcW w:type="dxa" w:w="1800"/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1D2939"/>
                <w:sz w:val="16"/>
              </w:rPr>
              <w:t>2</w:t>
            </w:r>
          </w:p>
        </w:tc>
        <w:tc>
          <w:tcPr>
            <w:tcW w:type="dxa" w:w="1800"/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1D2939"/>
                <w:sz w:val="16"/>
              </w:rPr>
              <w:t>3</w:t>
            </w:r>
          </w:p>
        </w:tc>
        <w:tc>
          <w:tcPr>
            <w:tcW w:type="dxa" w:w="1980"/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1D2939"/>
                <w:sz w:val="16"/>
              </w:rPr>
              <w:t>4</w:t>
            </w:r>
          </w:p>
        </w:tc>
      </w:tr>
      <w:tr>
        <w:tc>
          <w:tcPr>
            <w:tcW w:type="dxa" w:w="3000"/>
            <w:shd w:fill="E8F1F8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/>
                <w:b/>
                <w:i w:val="0"/>
                <w:color w:val="1D2939"/>
                <w:sz w:val="16"/>
              </w:rPr>
              <w:t>Weighted total</w:t>
            </w:r>
          </w:p>
        </w:tc>
        <w:tc>
          <w:tcPr>
            <w:tcW w:type="dxa" w:w="780"/>
            <w:shd w:fill="E8F1F8"/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Calibri" w:hAnsi="Calibri"/>
                <w:b/>
                <w:i w:val="0"/>
                <w:color w:val="1D2939"/>
                <w:sz w:val="16"/>
              </w:rPr>
              <w:t>100%</w:t>
            </w:r>
          </w:p>
        </w:tc>
        <w:tc>
          <w:tcPr>
            <w:tcW w:type="dxa" w:w="1800"/>
            <w:shd w:fill="E8F1F8"/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Calibri" w:hAnsi="Calibri"/>
                <w:b/>
                <w:i w:val="0"/>
                <w:color w:val="1D2939"/>
                <w:sz w:val="16"/>
              </w:rPr>
              <w:t>67 / 100</w:t>
            </w:r>
          </w:p>
        </w:tc>
        <w:tc>
          <w:tcPr>
            <w:tcW w:type="dxa" w:w="1800"/>
            <w:shd w:fill="E8F1F8"/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Calibri" w:hAnsi="Calibri"/>
                <w:b/>
                <w:i w:val="0"/>
                <w:color w:val="1D2939"/>
                <w:sz w:val="16"/>
              </w:rPr>
              <w:t>66 / 100</w:t>
            </w:r>
          </w:p>
        </w:tc>
        <w:tc>
          <w:tcPr>
            <w:tcW w:type="dxa" w:w="1980"/>
            <w:shd w:fill="EAF4EF"/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Calibri" w:hAnsi="Calibri"/>
                <w:b/>
                <w:i w:val="0"/>
                <w:color w:val="1D2939"/>
                <w:sz w:val="16"/>
              </w:rPr>
              <w:t>80 / 100</w:t>
            </w:r>
          </w:p>
        </w:tc>
      </w:tr>
    </w:tbl>
    <w:p>
      <w:pPr>
        <w:pStyle w:val="Heading2"/>
      </w:pPr>
      <w:r>
        <w:t>Option findings</w:t>
      </w:r>
    </w:p>
    <w:p>
      <w:pPr>
        <w:spacing w:after="80" w:line="252" w:lineRule="auto"/>
      </w:pPr>
      <w:r>
        <w:rPr>
          <w:rFonts w:ascii="Calibri" w:hAnsi="Calibri"/>
          <w:b/>
          <w:i w:val="0"/>
          <w:color w:val="1D2939"/>
          <w:sz w:val="20"/>
        </w:rPr>
        <w:t xml:space="preserve">1 — Improve current process (AED 28k–45k/year). </w:t>
      </w:r>
      <w:r>
        <w:rPr>
          <w:rFonts w:ascii="Calibri" w:hAnsi="Calibri"/>
          <w:b w:val="0"/>
          <w:i w:val="0"/>
          <w:color w:val="1D2939"/>
          <w:sz w:val="20"/>
        </w:rPr>
        <w:t>Use existing email, forms, calendars, clubs, and messaging groups with a part-time coordinator. Fast and low-risk, but fragmented, manual, difficult to scale, and unlikely to solve the ‘first small group’ problem. Suitable only as a short baseline/control.</w:t>
      </w:r>
    </w:p>
    <w:p>
      <w:pPr>
        <w:spacing w:after="80" w:line="252" w:lineRule="auto"/>
      </w:pPr>
      <w:r>
        <w:rPr>
          <w:rFonts w:ascii="Calibri" w:hAnsi="Calibri"/>
          <w:b/>
          <w:i w:val="0"/>
          <w:color w:val="1D2939"/>
          <w:sz w:val="20"/>
        </w:rPr>
        <w:t xml:space="preserve">2 — Buy a commercial platform (AED 160k–300k Year 1 allowance). </w:t>
      </w:r>
      <w:r>
        <w:rPr>
          <w:rFonts w:ascii="Calibri" w:hAnsi="Calibri"/>
          <w:b w:val="0"/>
          <w:i w:val="0"/>
          <w:color w:val="1D2939"/>
          <w:sz w:val="20"/>
        </w:rPr>
        <w:t>A product such as CampusGroups already offers groups, events, registration, attendance, analytics, mobile access, and integrations [4]. It is broad and mature, but public pricing is not provided; procurement, configuration, vendor dependency, and paying for unused modules reduce fit for a narrowly defined pilot. A supplier quote and privacy review would be mandatory.</w:t>
      </w:r>
    </w:p>
    <w:p>
      <w:pPr>
        <w:spacing w:after="100" w:line="252" w:lineRule="auto"/>
      </w:pPr>
      <w:r>
        <w:rPr>
          <w:rFonts w:ascii="Calibri" w:hAnsi="Calibri"/>
          <w:b/>
          <w:i w:val="0"/>
          <w:color w:val="1D2939"/>
          <w:sz w:val="20"/>
        </w:rPr>
        <w:t xml:space="preserve">3 — Build a focused custom MVP (AED 92k cap). </w:t>
      </w:r>
      <w:r>
        <w:rPr>
          <w:rFonts w:ascii="Calibri" w:hAnsi="Calibri"/>
          <w:b w:val="0"/>
          <w:i w:val="0"/>
          <w:color w:val="1D2939"/>
          <w:sz w:val="20"/>
        </w:rPr>
        <w:t>Best fit to the differentiated workflow and smallest viable data footprint. It takes more design and technical ownership, but can reuse university identity, email/calendar, and analytics services. A rules-based matcher should be used first; optional AI may summarize free-text interests into tags, but must not make safety, disciplinary, or academic decisions.</w:t>
      </w:r>
    </w:p>
    <w:p>
      <w:pPr>
        <w:pStyle w:val="Heading1"/>
      </w:pPr>
      <w:r>
        <w:t>5. Pilot economics and schedule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4" w:space="0" w:color="D0D5DD"/>
          <w:left w:val="single" w:sz="4" w:space="0" w:color="D0D5DD"/>
          <w:bottom w:val="single" w:sz="4" w:space="0" w:color="D0D5DD"/>
          <w:right w:val="single" w:sz="4" w:space="0" w:color="D0D5DD"/>
          <w:insideH w:val="single" w:sz="4" w:space="0" w:color="D0D5DD"/>
          <w:insideV w:val="single" w:sz="4" w:space="0" w:color="D0D5DD"/>
        </w:tblBorders>
      </w:tblPr>
      <w:tblGrid>
        <w:gridCol w:w="4320"/>
        <w:gridCol w:w="1680"/>
        <w:gridCol w:w="3360"/>
      </w:tblGrid>
      <w:tr>
        <w:trPr>
          <w:tblHeader w:val="true"/>
        </w:trPr>
        <w:tc>
          <w:tcPr>
            <w:tcW w:type="dxa" w:w="43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/>
                <w:b/>
                <w:i w:val="0"/>
                <w:color w:val="0B2545"/>
                <w:sz w:val="17"/>
              </w:rPr>
              <w:t>Cost element</w:t>
            </w:r>
          </w:p>
        </w:tc>
        <w:tc>
          <w:tcPr>
            <w:tcW w:type="dxa" w:w="16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Calibri" w:hAnsi="Calibri"/>
                <w:b/>
                <w:i w:val="0"/>
                <w:color w:val="0B2545"/>
                <w:sz w:val="17"/>
              </w:rPr>
              <w:t>AED</w:t>
            </w:r>
          </w:p>
        </w:tc>
        <w:tc>
          <w:tcPr>
            <w:tcW w:type="dxa" w:w="3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/>
                <w:b/>
                <w:i w:val="0"/>
                <w:color w:val="0B2545"/>
                <w:sz w:val="17"/>
              </w:rPr>
              <w:t>Basis</w:t>
            </w:r>
          </w:p>
        </w:tc>
      </w:tr>
      <w:tr>
        <w:tc>
          <w:tcPr>
            <w:tcW w:type="dxa" w:w="4320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D2939"/>
                <w:sz w:val="16"/>
              </w:rPr>
              <w:t>Discovery, service design &amp; usability</w:t>
            </w:r>
          </w:p>
        </w:tc>
        <w:tc>
          <w:tcPr>
            <w:tcW w:type="dxa" w:w="1680"/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1D2939"/>
                <w:sz w:val="16"/>
              </w:rPr>
              <w:t>12,000</w:t>
            </w:r>
          </w:p>
        </w:tc>
        <w:tc>
          <w:tcPr>
            <w:tcW w:type="dxa" w:w="3360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D2939"/>
                <w:sz w:val="16"/>
              </w:rPr>
              <w:t>Interviews, workflow, prototype tests</w:t>
            </w:r>
          </w:p>
        </w:tc>
      </w:tr>
      <w:tr>
        <w:tc>
          <w:tcPr>
            <w:tcW w:type="dxa" w:w="4320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D2939"/>
                <w:sz w:val="16"/>
              </w:rPr>
              <w:t>MVP engineering &amp; integration</w:t>
            </w:r>
          </w:p>
        </w:tc>
        <w:tc>
          <w:tcPr>
            <w:tcW w:type="dxa" w:w="1680"/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1D2939"/>
                <w:sz w:val="16"/>
              </w:rPr>
              <w:t>46,000</w:t>
            </w:r>
          </w:p>
        </w:tc>
        <w:tc>
          <w:tcPr>
            <w:tcW w:type="dxa" w:w="3360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D2939"/>
                <w:sz w:val="16"/>
              </w:rPr>
              <w:t>Responsive web app, SSO, calendar/email</w:t>
            </w:r>
          </w:p>
        </w:tc>
      </w:tr>
      <w:tr>
        <w:tc>
          <w:tcPr>
            <w:tcW w:type="dxa" w:w="4320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D2939"/>
                <w:sz w:val="16"/>
              </w:rPr>
              <w:t>Security, privacy &amp; QA</w:t>
            </w:r>
          </w:p>
        </w:tc>
        <w:tc>
          <w:tcPr>
            <w:tcW w:type="dxa" w:w="1680"/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1D2939"/>
                <w:sz w:val="16"/>
              </w:rPr>
              <w:t>12,000</w:t>
            </w:r>
          </w:p>
        </w:tc>
        <w:tc>
          <w:tcPr>
            <w:tcW w:type="dxa" w:w="3360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D2939"/>
                <w:sz w:val="16"/>
              </w:rPr>
              <w:t>Threat review, testing, consent and logs</w:t>
            </w:r>
          </w:p>
        </w:tc>
      </w:tr>
      <w:tr>
        <w:tc>
          <w:tcPr>
            <w:tcW w:type="dxa" w:w="4320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D2939"/>
                <w:sz w:val="16"/>
              </w:rPr>
              <w:t>Pilot operations &amp; student ambassadors</w:t>
            </w:r>
          </w:p>
        </w:tc>
        <w:tc>
          <w:tcPr>
            <w:tcW w:type="dxa" w:w="1680"/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1D2939"/>
                <w:sz w:val="16"/>
              </w:rPr>
              <w:t>10,000</w:t>
            </w:r>
          </w:p>
        </w:tc>
        <w:tc>
          <w:tcPr>
            <w:tcW w:type="dxa" w:w="3360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D2939"/>
                <w:sz w:val="16"/>
              </w:rPr>
              <w:t>Recruitment, moderation, support</w:t>
            </w:r>
          </w:p>
        </w:tc>
      </w:tr>
      <w:tr>
        <w:tc>
          <w:tcPr>
            <w:tcW w:type="dxa" w:w="4320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D2939"/>
                <w:sz w:val="16"/>
              </w:rPr>
              <w:t>Hosting, monitoring &amp; tools</w:t>
            </w:r>
          </w:p>
        </w:tc>
        <w:tc>
          <w:tcPr>
            <w:tcW w:type="dxa" w:w="1680"/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1D2939"/>
                <w:sz w:val="16"/>
              </w:rPr>
              <w:t>6,000</w:t>
            </w:r>
          </w:p>
        </w:tc>
        <w:tc>
          <w:tcPr>
            <w:tcW w:type="dxa" w:w="3360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D2939"/>
                <w:sz w:val="16"/>
              </w:rPr>
              <w:t>12-week pilot allowance</w:t>
            </w:r>
          </w:p>
        </w:tc>
      </w:tr>
      <w:tr>
        <w:tc>
          <w:tcPr>
            <w:tcW w:type="dxa" w:w="4320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D2939"/>
                <w:sz w:val="16"/>
              </w:rPr>
              <w:t>Contingency</w:t>
            </w:r>
          </w:p>
        </w:tc>
        <w:tc>
          <w:tcPr>
            <w:tcW w:type="dxa" w:w="1680"/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1D2939"/>
                <w:sz w:val="16"/>
              </w:rPr>
              <w:t>6,000</w:t>
            </w:r>
          </w:p>
        </w:tc>
        <w:tc>
          <w:tcPr>
            <w:tcW w:type="dxa" w:w="3360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D2939"/>
                <w:sz w:val="16"/>
              </w:rPr>
              <w:t>Approx. 7% of base cost</w:t>
            </w:r>
          </w:p>
        </w:tc>
      </w:tr>
      <w:tr>
        <w:tc>
          <w:tcPr>
            <w:tcW w:type="dxa" w:w="4320"/>
            <w:shd w:fill="EAF4EF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/>
                <w:b/>
                <w:i w:val="0"/>
                <w:color w:val="1D2939"/>
                <w:sz w:val="16"/>
              </w:rPr>
              <w:t>Total authorization cap</w:t>
            </w:r>
          </w:p>
        </w:tc>
        <w:tc>
          <w:tcPr>
            <w:tcW w:type="dxa" w:w="1680"/>
            <w:shd w:fill="EAF4EF"/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Calibri" w:hAnsi="Calibri"/>
                <w:b/>
                <w:i w:val="0"/>
                <w:color w:val="1D2939"/>
                <w:sz w:val="16"/>
              </w:rPr>
              <w:t>92,000</w:t>
            </w:r>
          </w:p>
        </w:tc>
        <w:tc>
          <w:tcPr>
            <w:tcW w:type="dxa" w:w="3360"/>
            <w:shd w:fill="EAF4EF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/>
                <w:b/>
                <w:i w:val="0"/>
                <w:color w:val="1D2939"/>
                <w:sz w:val="16"/>
              </w:rPr>
              <w:t>Stop-spend limit; change control required</w:t>
            </w:r>
          </w:p>
        </w:tc>
      </w:tr>
    </w:tbl>
    <w:p>
      <w:pPr>
        <w:keepNext w:val="0"/>
        <w:spacing w:before="0" w:after="100" w:line="240" w:lineRule="auto"/>
        <w:jc w:val="left"/>
      </w:pPr>
      <w:r>
        <w:rPr>
          <w:rFonts w:ascii="Calibri" w:hAnsi="Calibri"/>
          <w:b w:val="0"/>
          <w:i/>
          <w:color w:val="667085"/>
          <w:sz w:val="17"/>
        </w:rPr>
        <w:t>Budget note: planning allowances are exclusive of VAT and assume existing campus SSO, email/calendar, meeting spaces, and one internal product owner. Ongoing production cost is not authorized. Retention ROI remains a hypothesis; the break-even formula is AED 92,000 ÷ average net contribution per retained student.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4" w:space="0" w:color="D0D5DD"/>
          <w:left w:val="single" w:sz="4" w:space="0" w:color="D0D5DD"/>
          <w:bottom w:val="single" w:sz="4" w:space="0" w:color="D0D5DD"/>
          <w:right w:val="single" w:sz="4" w:space="0" w:color="D0D5DD"/>
          <w:insideH w:val="single" w:sz="4" w:space="0" w:color="D0D5DD"/>
          <w:insideV w:val="single" w:sz="4" w:space="0" w:color="D0D5DD"/>
        </w:tblBorders>
      </w:tblPr>
      <w:tblGrid>
        <w:gridCol w:w="1872"/>
        <w:gridCol w:w="1872"/>
        <w:gridCol w:w="1872"/>
        <w:gridCol w:w="1872"/>
        <w:gridCol w:w="1872"/>
      </w:tblGrid>
      <w:tr>
        <w:trPr>
          <w:tblHeader w:val="true"/>
        </w:trPr>
        <w:tc>
          <w:tcPr>
            <w:tcW w:type="dxa" w:w="187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0B2545"/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Calibri" w:hAnsi="Calibri"/>
                <w:b/>
                <w:i w:val="0"/>
                <w:color w:val="FFFFFF"/>
                <w:sz w:val="16"/>
              </w:rPr>
              <w:t>Wk 1–2</w:t>
            </w:r>
          </w:p>
        </w:tc>
        <w:tc>
          <w:tcPr>
            <w:tcW w:type="dxa" w:w="187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0B2545"/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Calibri" w:hAnsi="Calibri"/>
                <w:b/>
                <w:i w:val="0"/>
                <w:color w:val="FFFFFF"/>
                <w:sz w:val="16"/>
              </w:rPr>
              <w:t>Wk 3–6</w:t>
            </w:r>
          </w:p>
        </w:tc>
        <w:tc>
          <w:tcPr>
            <w:tcW w:type="dxa" w:w="187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0B2545"/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Calibri" w:hAnsi="Calibri"/>
                <w:b/>
                <w:i w:val="0"/>
                <w:color w:val="FFFFFF"/>
                <w:sz w:val="16"/>
              </w:rPr>
              <w:t>Wk 7–8</w:t>
            </w:r>
          </w:p>
        </w:tc>
        <w:tc>
          <w:tcPr>
            <w:tcW w:type="dxa" w:w="187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0B2545"/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Calibri" w:hAnsi="Calibri"/>
                <w:b/>
                <w:i w:val="0"/>
                <w:color w:val="FFFFFF"/>
                <w:sz w:val="16"/>
              </w:rPr>
              <w:t>Wk 9–11</w:t>
            </w:r>
          </w:p>
        </w:tc>
        <w:tc>
          <w:tcPr>
            <w:tcW w:type="dxa" w:w="187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0B2545"/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Calibri" w:hAnsi="Calibri"/>
                <w:b/>
                <w:i w:val="0"/>
                <w:color w:val="FFFFFF"/>
                <w:sz w:val="16"/>
              </w:rPr>
              <w:t>Wk 12</w:t>
            </w:r>
          </w:p>
        </w:tc>
      </w:tr>
      <w:tr>
        <w:tc>
          <w:tcPr>
            <w:tcW w:type="dxa" w:w="187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1D2939"/>
                <w:sz w:val="16"/>
              </w:rPr>
              <w:t>Validate need + privacy</w:t>
            </w:r>
          </w:p>
        </w:tc>
        <w:tc>
          <w:tcPr>
            <w:tcW w:type="dxa" w:w="187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1D2939"/>
                <w:sz w:val="16"/>
              </w:rPr>
              <w:t>Build + integrate</w:t>
            </w:r>
          </w:p>
        </w:tc>
        <w:tc>
          <w:tcPr>
            <w:tcW w:type="dxa" w:w="187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1D2939"/>
                <w:sz w:val="16"/>
              </w:rPr>
              <w:t>Test + recruit</w:t>
            </w:r>
          </w:p>
        </w:tc>
        <w:tc>
          <w:tcPr>
            <w:tcW w:type="dxa" w:w="187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1D2939"/>
                <w:sz w:val="16"/>
              </w:rPr>
              <w:t>Live pilot</w:t>
            </w:r>
          </w:p>
        </w:tc>
        <w:tc>
          <w:tcPr>
            <w:tcW w:type="dxa" w:w="187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1D2939"/>
                <w:sz w:val="16"/>
              </w:rPr>
              <w:t>Evaluate + decide</w:t>
            </w:r>
          </w:p>
        </w:tc>
      </w:tr>
    </w:tbl>
    <w:p>
      <w:pPr>
        <w:pStyle w:val="Heading1"/>
      </w:pPr>
      <w:r>
        <w:t>6. Recommended pilot design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4" w:space="0" w:color="D0D5DD"/>
          <w:left w:val="single" w:sz="4" w:space="0" w:color="D0D5DD"/>
          <w:bottom w:val="single" w:sz="4" w:space="0" w:color="D0D5DD"/>
          <w:right w:val="single" w:sz="4" w:space="0" w:color="D0D5DD"/>
          <w:insideH w:val="single" w:sz="4" w:space="0" w:color="D0D5DD"/>
          <w:insideV w:val="single" w:sz="4" w:space="0" w:color="D0D5DD"/>
        </w:tblBorders>
      </w:tblPr>
      <w:tblGrid>
        <w:gridCol w:w="4680"/>
        <w:gridCol w:w="4680"/>
      </w:tblGrid>
      <w:tr>
        <w:trPr>
          <w:tblHeader w:val="true"/>
        </w:trPr>
        <w:tc>
          <w:tcPr>
            <w:tcW w:type="dxa" w:w="46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0B2545"/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Calibri" w:hAnsi="Calibri"/>
                <w:b/>
                <w:i w:val="0"/>
                <w:color w:val="FFFFFF"/>
                <w:sz w:val="18"/>
              </w:rPr>
              <w:t>MVP must include</w:t>
            </w:r>
          </w:p>
        </w:tc>
        <w:tc>
          <w:tcPr>
            <w:tcW w:type="dxa" w:w="46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0B2545"/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Calibri" w:hAnsi="Calibri"/>
                <w:b/>
                <w:i w:val="0"/>
                <w:color w:val="FFFFFF"/>
                <w:sz w:val="18"/>
              </w:rPr>
              <w:t>Explicitly out of scope</w:t>
            </w:r>
          </w:p>
        </w:tc>
      </w:tr>
      <w:tr>
        <w:tc>
          <w:tcPr>
            <w:tcW w:type="dxa" w:w="4680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D2939"/>
                <w:sz w:val="17"/>
              </w:rPr>
              <w:t>Verified SSO; optional intent card; transparent crew suggestions; organizer-confirmed public campus meetups; reminders; QR attendance; three-question pulse survey; reporting, moderation and incident workflow.</w:t>
            </w:r>
          </w:p>
        </w:tc>
        <w:tc>
          <w:tcPr>
            <w:tcW w:type="dxa" w:w="4680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D2939"/>
                <w:sz w:val="17"/>
              </w:rPr>
              <w:t>Public social feed; follower counts; open direct messages; external users; precise GPS tracking; health or academic-record data; paid events; autonomous AI decisions; ranking students by popularity or ‘fit’.</w:t>
            </w:r>
          </w:p>
        </w:tc>
      </w:tr>
    </w:tbl>
    <w:p>
      <w:pPr>
        <w:pStyle w:val="Heading1"/>
      </w:pPr>
      <w:r>
        <w:t>7. Principal risks and controls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4" w:space="0" w:color="D0D5DD"/>
          <w:left w:val="single" w:sz="4" w:space="0" w:color="D0D5DD"/>
          <w:bottom w:val="single" w:sz="4" w:space="0" w:color="D0D5DD"/>
          <w:right w:val="single" w:sz="4" w:space="0" w:color="D0D5DD"/>
          <w:insideH w:val="single" w:sz="4" w:space="0" w:color="D0D5DD"/>
          <w:insideV w:val="single" w:sz="4" w:space="0" w:color="D0D5DD"/>
        </w:tblBorders>
      </w:tblPr>
      <w:tblGrid>
        <w:gridCol w:w="2280"/>
        <w:gridCol w:w="3960"/>
        <w:gridCol w:w="1560"/>
        <w:gridCol w:w="1560"/>
      </w:tblGrid>
      <w:tr>
        <w:trPr>
          <w:tblHeader w:val="true"/>
        </w:trPr>
        <w:tc>
          <w:tcPr>
            <w:tcW w:type="dxa" w:w="22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/>
                <w:b/>
                <w:i w:val="0"/>
                <w:color w:val="0B2545"/>
                <w:sz w:val="16"/>
              </w:rPr>
              <w:t>Risk</w:t>
            </w:r>
          </w:p>
        </w:tc>
        <w:tc>
          <w:tcPr>
            <w:tcW w:type="dxa" w:w="39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/>
                <w:b/>
                <w:i w:val="0"/>
                <w:color w:val="0B2545"/>
                <w:sz w:val="16"/>
              </w:rPr>
              <w:t>Preventive / response control</w:t>
            </w:r>
          </w:p>
        </w:tc>
        <w:tc>
          <w:tcPr>
            <w:tcW w:type="dxa" w:w="1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Calibri" w:hAnsi="Calibri"/>
                <w:b/>
                <w:i w:val="0"/>
                <w:color w:val="0B2545"/>
                <w:sz w:val="16"/>
              </w:rPr>
              <w:t>Owner</w:t>
            </w:r>
          </w:p>
        </w:tc>
        <w:tc>
          <w:tcPr>
            <w:tcW w:type="dxa" w:w="1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Calibri" w:hAnsi="Calibri"/>
                <w:b/>
                <w:i w:val="0"/>
                <w:color w:val="0B2545"/>
                <w:sz w:val="16"/>
              </w:rPr>
              <w:t>Trigger</w:t>
            </w:r>
          </w:p>
        </w:tc>
      </w:tr>
      <w:tr>
        <w:tc>
          <w:tcPr>
            <w:tcW w:type="dxa" w:w="2280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/>
                <w:b/>
                <w:i w:val="0"/>
                <w:color w:val="1D2939"/>
                <w:sz w:val="15"/>
              </w:rPr>
              <w:t>Low student adoption</w:t>
            </w:r>
          </w:p>
        </w:tc>
        <w:tc>
          <w:tcPr>
            <w:tcW w:type="dxa" w:w="3960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D2939"/>
                <w:sz w:val="15"/>
              </w:rPr>
              <w:t>Co-design with target users; ambassadors; seed useful crews; test onboarding weekly.</w:t>
            </w:r>
          </w:p>
        </w:tc>
        <w:tc>
          <w:tcPr>
            <w:tcW w:type="dxa" w:w="1560"/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1D2939"/>
                <w:sz w:val="15"/>
              </w:rPr>
              <w:t>Product owner</w:t>
            </w:r>
          </w:p>
        </w:tc>
        <w:tc>
          <w:tcPr>
            <w:tcW w:type="dxa" w:w="1560"/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1D2939"/>
                <w:sz w:val="15"/>
              </w:rPr>
              <w:t>&lt;25% activation by day 14</w:t>
            </w:r>
          </w:p>
        </w:tc>
      </w:tr>
      <w:tr>
        <w:tc>
          <w:tcPr>
            <w:tcW w:type="dxa" w:w="2280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/>
                <w:b/>
                <w:i w:val="0"/>
                <w:color w:val="1D2939"/>
                <w:sz w:val="15"/>
              </w:rPr>
              <w:t>Safety or misconduct</w:t>
            </w:r>
          </w:p>
        </w:tc>
        <w:tc>
          <w:tcPr>
            <w:tcW w:type="dxa" w:w="3960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D2939"/>
                <w:sz w:val="15"/>
              </w:rPr>
              <w:t>Verified accounts; public venues; code of conduct; report/block; escalation pathway.</w:t>
            </w:r>
          </w:p>
        </w:tc>
        <w:tc>
          <w:tcPr>
            <w:tcW w:type="dxa" w:w="1560"/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1D2939"/>
                <w:sz w:val="15"/>
              </w:rPr>
              <w:t>Student Affairs</w:t>
            </w:r>
          </w:p>
        </w:tc>
        <w:tc>
          <w:tcPr>
            <w:tcW w:type="dxa" w:w="1560"/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1D2939"/>
                <w:sz w:val="15"/>
              </w:rPr>
              <w:t>Any high-severity report</w:t>
            </w:r>
          </w:p>
        </w:tc>
      </w:tr>
      <w:tr>
        <w:tc>
          <w:tcPr>
            <w:tcW w:type="dxa" w:w="2280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/>
                <w:b/>
                <w:i w:val="0"/>
                <w:color w:val="1D2939"/>
                <w:sz w:val="15"/>
              </w:rPr>
              <w:t>Privacy or breach</w:t>
            </w:r>
          </w:p>
        </w:tc>
        <w:tc>
          <w:tcPr>
            <w:tcW w:type="dxa" w:w="3960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D2939"/>
                <w:sz w:val="15"/>
              </w:rPr>
              <w:t>Consent, minimization, encryption, role access, logs, 90-day post-evaluation deletion.</w:t>
            </w:r>
          </w:p>
        </w:tc>
        <w:tc>
          <w:tcPr>
            <w:tcW w:type="dxa" w:w="1560"/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1D2939"/>
                <w:sz w:val="15"/>
              </w:rPr>
              <w:t>Privacy / IT</w:t>
            </w:r>
          </w:p>
        </w:tc>
        <w:tc>
          <w:tcPr>
            <w:tcW w:type="dxa" w:w="1560"/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1D2939"/>
                <w:sz w:val="15"/>
              </w:rPr>
              <w:t>Unauthorized access or loss</w:t>
            </w:r>
          </w:p>
        </w:tc>
      </w:tr>
      <w:tr>
        <w:tc>
          <w:tcPr>
            <w:tcW w:type="dxa" w:w="2280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/>
                <w:b/>
                <w:i w:val="0"/>
                <w:color w:val="1D2939"/>
                <w:sz w:val="15"/>
              </w:rPr>
              <w:t>Biased or exclusionary matching</w:t>
            </w:r>
          </w:p>
        </w:tc>
        <w:tc>
          <w:tcPr>
            <w:tcW w:type="dxa" w:w="3960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D2939"/>
                <w:sz w:val="15"/>
              </w:rPr>
              <w:t>Rules first; explain matches; opt-out/edit preferences; accessibility and language testing.</w:t>
            </w:r>
          </w:p>
        </w:tc>
        <w:tc>
          <w:tcPr>
            <w:tcW w:type="dxa" w:w="1560"/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1D2939"/>
                <w:sz w:val="15"/>
              </w:rPr>
              <w:t>Product owner</w:t>
            </w:r>
          </w:p>
        </w:tc>
        <w:tc>
          <w:tcPr>
            <w:tcW w:type="dxa" w:w="1560"/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1D2939"/>
                <w:sz w:val="15"/>
              </w:rPr>
              <w:t>&gt;15-point outcome gap</w:t>
            </w:r>
          </w:p>
        </w:tc>
      </w:tr>
      <w:tr>
        <w:tc>
          <w:tcPr>
            <w:tcW w:type="dxa" w:w="2280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/>
                <w:b/>
                <w:i w:val="0"/>
                <w:color w:val="1D2939"/>
                <w:sz w:val="15"/>
              </w:rPr>
              <w:t>Support load exceeds value</w:t>
            </w:r>
          </w:p>
        </w:tc>
        <w:tc>
          <w:tcPr>
            <w:tcW w:type="dxa" w:w="3960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D2939"/>
                <w:sz w:val="15"/>
              </w:rPr>
              <w:t>Self-service help; triage queue; weekly defect review; cap cohorts.</w:t>
            </w:r>
          </w:p>
        </w:tc>
        <w:tc>
          <w:tcPr>
            <w:tcW w:type="dxa" w:w="1560"/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1D2939"/>
                <w:sz w:val="15"/>
              </w:rPr>
              <w:t>Service owner</w:t>
            </w:r>
          </w:p>
        </w:tc>
        <w:tc>
          <w:tcPr>
            <w:tcW w:type="dxa" w:w="1560"/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1D2939"/>
                <w:sz w:val="15"/>
              </w:rPr>
              <w:t>&gt;0.25 FTE for 2 weeks</w:t>
            </w:r>
          </w:p>
        </w:tc>
      </w:tr>
    </w:tbl>
    <w:p>
      <w:pPr>
        <w:keepNext w:val="0"/>
        <w:spacing w:before="0" w:after="100" w:line="252" w:lineRule="auto"/>
        <w:jc w:val="left"/>
      </w:pPr>
      <w:r>
        <w:rPr>
          <w:rFonts w:ascii="Calibri" w:hAnsi="Calibri"/>
          <w:b/>
          <w:i w:val="0"/>
          <w:color w:val="0B2545"/>
          <w:sz w:val="18"/>
        </w:rPr>
        <w:t>Privacy requirement. UAE Federal Decree-Law No. 45 of 2021 provides a framework for personal-data governance and generally prohibits processing without consent except in specified cases [5]. The pilot must document purpose, lawful basis, consent, access rights, security controls, retention, deletion, and any processor arrangements before recruitment.</w:t>
      </w:r>
    </w:p>
    <w:p>
      <w:pPr>
        <w:pStyle w:val="Heading1"/>
      </w:pPr>
      <w:r>
        <w:t>8. Success measures and decision gates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4" w:space="0" w:color="D0D5DD"/>
          <w:left w:val="single" w:sz="4" w:space="0" w:color="D0D5DD"/>
          <w:bottom w:val="single" w:sz="4" w:space="0" w:color="D0D5DD"/>
          <w:right w:val="single" w:sz="4" w:space="0" w:color="D0D5DD"/>
          <w:insideH w:val="single" w:sz="4" w:space="0" w:color="D0D5DD"/>
          <w:insideV w:val="single" w:sz="4" w:space="0" w:color="D0D5DD"/>
        </w:tblBorders>
      </w:tblPr>
      <w:tblGrid>
        <w:gridCol w:w="3960"/>
        <w:gridCol w:w="2520"/>
        <w:gridCol w:w="2880"/>
      </w:tblGrid>
      <w:tr>
        <w:trPr>
          <w:tblHeader w:val="true"/>
        </w:trPr>
        <w:tc>
          <w:tcPr>
            <w:tcW w:type="dxa" w:w="39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0B2545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/>
                <w:b/>
                <w:i w:val="0"/>
                <w:color w:val="FFFFFF"/>
                <w:sz w:val="16"/>
              </w:rPr>
              <w:t>Measure</w:t>
            </w:r>
          </w:p>
        </w:tc>
        <w:tc>
          <w:tcPr>
            <w:tcW w:type="dxa" w:w="25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0B2545"/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Calibri" w:hAnsi="Calibri"/>
                <w:b/>
                <w:i w:val="0"/>
                <w:color w:val="FFFFFF"/>
                <w:sz w:val="16"/>
              </w:rPr>
              <w:t>Pilot threshold</w:t>
            </w:r>
          </w:p>
        </w:tc>
        <w:tc>
          <w:tcPr>
            <w:tcW w:type="dxa" w:w="28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0B2545"/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Calibri" w:hAnsi="Calibri"/>
                <w:b/>
                <w:i w:val="0"/>
                <w:color w:val="FFFFFF"/>
                <w:sz w:val="16"/>
              </w:rPr>
              <w:t>Evidence</w:t>
            </w:r>
          </w:p>
        </w:tc>
      </w:tr>
      <w:tr>
        <w:tc>
          <w:tcPr>
            <w:tcW w:type="dxa" w:w="3960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/>
                <w:b/>
                <w:i w:val="0"/>
                <w:color w:val="1D2939"/>
                <w:sz w:val="16"/>
              </w:rPr>
              <w:t>Activation</w:t>
            </w:r>
          </w:p>
        </w:tc>
        <w:tc>
          <w:tcPr>
            <w:tcW w:type="dxa" w:w="2520"/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1D2939"/>
                <w:sz w:val="16"/>
              </w:rPr>
              <w:t>≥35% of 500 invitees</w:t>
            </w:r>
          </w:p>
        </w:tc>
        <w:tc>
          <w:tcPr>
            <w:tcW w:type="dxa" w:w="2880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D2939"/>
                <w:sz w:val="16"/>
              </w:rPr>
              <w:t>Verified onboarding log</w:t>
            </w:r>
          </w:p>
        </w:tc>
      </w:tr>
      <w:tr>
        <w:tc>
          <w:tcPr>
            <w:tcW w:type="dxa" w:w="3960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/>
                <w:b/>
                <w:i w:val="0"/>
                <w:color w:val="1D2939"/>
                <w:sz w:val="16"/>
              </w:rPr>
              <w:t>Match acceptance</w:t>
            </w:r>
          </w:p>
        </w:tc>
        <w:tc>
          <w:tcPr>
            <w:tcW w:type="dxa" w:w="2520"/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1D2939"/>
                <w:sz w:val="16"/>
              </w:rPr>
              <w:t>≥50% of proposed crews</w:t>
            </w:r>
          </w:p>
        </w:tc>
        <w:tc>
          <w:tcPr>
            <w:tcW w:type="dxa" w:w="2880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D2939"/>
                <w:sz w:val="16"/>
              </w:rPr>
              <w:t>Accepted / proposed</w:t>
            </w:r>
          </w:p>
        </w:tc>
      </w:tr>
      <w:tr>
        <w:tc>
          <w:tcPr>
            <w:tcW w:type="dxa" w:w="3960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/>
                <w:b/>
                <w:i w:val="0"/>
                <w:color w:val="1D2939"/>
                <w:sz w:val="16"/>
              </w:rPr>
              <w:t>Real-world participation</w:t>
            </w:r>
          </w:p>
        </w:tc>
        <w:tc>
          <w:tcPr>
            <w:tcW w:type="dxa" w:w="2520"/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1D2939"/>
                <w:sz w:val="16"/>
              </w:rPr>
              <w:t>≥75 unique attendees</w:t>
            </w:r>
          </w:p>
        </w:tc>
        <w:tc>
          <w:tcPr>
            <w:tcW w:type="dxa" w:w="2880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D2939"/>
                <w:sz w:val="16"/>
              </w:rPr>
              <w:t>QR check-in + audit sample</w:t>
            </w:r>
          </w:p>
        </w:tc>
      </w:tr>
      <w:tr>
        <w:tc>
          <w:tcPr>
            <w:tcW w:type="dxa" w:w="3960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/>
                <w:b/>
                <w:i w:val="0"/>
                <w:color w:val="1D2939"/>
                <w:sz w:val="16"/>
              </w:rPr>
              <w:t>Connection outcome</w:t>
            </w:r>
          </w:p>
        </w:tc>
        <w:tc>
          <w:tcPr>
            <w:tcW w:type="dxa" w:w="2520"/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1D2939"/>
                <w:sz w:val="16"/>
              </w:rPr>
              <w:t>≥60% report one useful new connection</w:t>
            </w:r>
          </w:p>
        </w:tc>
        <w:tc>
          <w:tcPr>
            <w:tcW w:type="dxa" w:w="2880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D2939"/>
                <w:sz w:val="16"/>
              </w:rPr>
              <w:t>Anonymous post-meetup pulse</w:t>
            </w:r>
          </w:p>
        </w:tc>
      </w:tr>
      <w:tr>
        <w:tc>
          <w:tcPr>
            <w:tcW w:type="dxa" w:w="3960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/>
                <w:b/>
                <w:i w:val="0"/>
                <w:color w:val="1D2939"/>
                <w:sz w:val="16"/>
              </w:rPr>
              <w:t>Speed</w:t>
            </w:r>
          </w:p>
        </w:tc>
        <w:tc>
          <w:tcPr>
            <w:tcW w:type="dxa" w:w="2520"/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1D2939"/>
                <w:sz w:val="16"/>
              </w:rPr>
              <w:t>Median ≤7 days to accepted crew</w:t>
            </w:r>
          </w:p>
        </w:tc>
        <w:tc>
          <w:tcPr>
            <w:tcW w:type="dxa" w:w="2880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D2939"/>
                <w:sz w:val="16"/>
              </w:rPr>
              <w:t>Event timestamps</w:t>
            </w:r>
          </w:p>
        </w:tc>
      </w:tr>
      <w:tr>
        <w:tc>
          <w:tcPr>
            <w:tcW w:type="dxa" w:w="3960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/>
                <w:b/>
                <w:i w:val="0"/>
                <w:color w:val="1D2939"/>
                <w:sz w:val="16"/>
              </w:rPr>
              <w:t>Safety / operations</w:t>
            </w:r>
          </w:p>
        </w:tc>
        <w:tc>
          <w:tcPr>
            <w:tcW w:type="dxa" w:w="2520"/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1D2939"/>
                <w:sz w:val="16"/>
              </w:rPr>
              <w:t>0 unresolved critical incidents; ≤0.25 FTE</w:t>
            </w:r>
          </w:p>
        </w:tc>
        <w:tc>
          <w:tcPr>
            <w:tcW w:type="dxa" w:w="2880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D2939"/>
                <w:sz w:val="16"/>
              </w:rPr>
              <w:t>Incident + support logs</w:t>
            </w:r>
          </w:p>
        </w:tc>
      </w:tr>
    </w:tbl>
    <w:p>
      <w:pPr>
        <w:spacing w:after="100" w:line="252" w:lineRule="auto"/>
      </w:pPr>
      <w:r>
        <w:rPr>
          <w:rFonts w:ascii="Calibri" w:hAnsi="Calibri"/>
          <w:b/>
          <w:i w:val="0"/>
          <w:color w:val="1D2939"/>
          <w:sz w:val="18"/>
        </w:rPr>
        <w:t xml:space="preserve">GO to production discovery: </w:t>
      </w:r>
      <w:r>
        <w:rPr>
          <w:rFonts w:ascii="Calibri" w:hAnsi="Calibri"/>
          <w:b w:val="0"/>
          <w:i w:val="0"/>
          <w:color w:val="1D2939"/>
          <w:sz w:val="18"/>
        </w:rPr>
        <w:t xml:space="preserve">zero unresolved critical incidents, the safety/operations gate is met, and at least four of the five engagement/outcome thresholds are achieved. </w:t>
      </w:r>
      <w:r>
        <w:rPr>
          <w:rFonts w:ascii="Calibri" w:hAnsi="Calibri"/>
          <w:b/>
          <w:i w:val="0"/>
          <w:color w:val="1D2939"/>
          <w:sz w:val="18"/>
        </w:rPr>
        <w:t xml:space="preserve">REVISE: </w:t>
      </w:r>
      <w:r>
        <w:rPr>
          <w:rFonts w:ascii="Calibri" w:hAnsi="Calibri"/>
          <w:b w:val="0"/>
          <w:i w:val="0"/>
          <w:color w:val="1D2939"/>
          <w:sz w:val="18"/>
        </w:rPr>
        <w:t xml:space="preserve">no critical incident, but only two or three thresholds are met; run one corrected cohort within the existing cap. </w:t>
      </w:r>
      <w:r>
        <w:rPr>
          <w:rFonts w:ascii="Calibri" w:hAnsi="Calibri"/>
          <w:b/>
          <w:i w:val="0"/>
          <w:color w:val="1D2939"/>
          <w:sz w:val="18"/>
        </w:rPr>
        <w:t xml:space="preserve">NO-GO: </w:t>
      </w:r>
      <w:r>
        <w:rPr>
          <w:rFonts w:ascii="Calibri" w:hAnsi="Calibri"/>
          <w:b w:val="0"/>
          <w:i w:val="0"/>
          <w:color w:val="1D2939"/>
          <w:sz w:val="18"/>
        </w:rPr>
        <w:t>fewer than two thresholds are met, support is disproportionate, or a severe control failure cannot be acceptably remediated.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80" w:type="dxa"/>
        <w:tblBorders>
          <w:top w:val="single" w:sz="8" w:space="0" w:color="176B4D"/>
          <w:left w:val="single" w:sz="8" w:space="0" w:color="176B4D"/>
          <w:bottom w:val="single" w:sz="8" w:space="0" w:color="176B4D"/>
          <w:right w:val="single" w:sz="8" w:space="0" w:color="176B4D"/>
          <w:insideH w:val="single" w:sz="8" w:space="0" w:color="176B4D"/>
          <w:insideV w:val="single" w:sz="8" w:space="0" w:color="176B4D"/>
        </w:tblBorders>
      </w:tblPr>
      <w:tblGrid>
        <w:gridCol w:w="9360"/>
      </w:tblGrid>
      <w:tr>
        <w:tc>
          <w:tcPr>
            <w:tcW w:type="dxa" w:w="9360"/>
            <w:tcMar>
              <w:top w:w="130" w:type="dxa"/>
              <w:start w:w="180" w:type="dxa"/>
              <w:bottom w:w="130" w:type="dxa"/>
              <w:end w:w="180" w:type="dxa"/>
            </w:tcMar>
            <w:vAlign w:val="center"/>
            <w:shd w:fill="EAF4EF"/>
          </w:tcPr>
          <w:p>
            <w:pPr>
              <w:spacing w:after="0" w:line="259" w:lineRule="auto"/>
            </w:pPr>
            <w:r>
              <w:rPr>
                <w:rFonts w:ascii="Calibri" w:hAnsi="Calibri"/>
                <w:b/>
                <w:i w:val="0"/>
                <w:color w:val="176B4D"/>
                <w:sz w:val="19"/>
              </w:rPr>
              <w:t xml:space="preserve">DECISION  </w:t>
            </w:r>
            <w:r>
              <w:rPr>
                <w:rFonts w:ascii="Calibri" w:hAnsi="Calibri"/>
                <w:b/>
                <w:i w:val="0"/>
                <w:color w:val="1D2939"/>
                <w:sz w:val="21"/>
              </w:rPr>
              <w:t>GO with Option 3: a tightly scoped custom MVP pilot. Preserve Option 1 as the comparison baseline; request a commercial quote only if the pilot proves demand for broader club, event, and engagement-management capabilities.</w:t>
            </w:r>
          </w:p>
        </w:tc>
      </w:tr>
    </w:tbl>
    <w:p>
      <w:pPr>
        <w:keepNext w:val="0"/>
        <w:spacing w:before="0" w:after="60" w:line="264" w:lineRule="auto"/>
        <w:jc w:val="left"/>
      </w:pPr>
      <w:r>
        <w:rPr>
          <w:rFonts w:ascii="Calibri" w:hAnsi="Calibri"/>
          <w:b w:val="0"/>
          <w:i w:val="0"/>
          <w:color w:val="1D2939"/>
          <w:sz w:val="2"/>
        </w:rPr>
      </w:r>
    </w:p>
    <w:p>
      <w:pPr>
        <w:pStyle w:val="Heading2"/>
      </w:pPr>
      <w:r>
        <w:t>Sources</w:t>
      </w:r>
    </w:p>
    <w:p>
      <w:pPr>
        <w:pStyle w:val="Reference"/>
      </w:pPr>
      <w:r>
        <w:t xml:space="preserve">[1] World Health Organization, Commission on Social Connection report and 2025 release. </w:t>
      </w:r>
      <w:hyperlink r:id="rId13">
        <w:r>
          <w:rPr>
            <w:rFonts w:ascii="Calibri" w:hAnsi="Calibri"/>
            <w:color w:val="2E74B5"/>
            <w:u w:val="single"/>
            <w:sz w:val="18"/>
          </w:rPr>
          <w:t>Open source</w:t>
        </w:r>
      </w:hyperlink>
    </w:p>
    <w:p>
      <w:pPr>
        <w:pStyle w:val="Reference"/>
      </w:pPr>
      <w:r>
        <w:t xml:space="preserve">[2] U.S. Surgeon General, Our Epidemic of Loneliness and Isolation (education recommendations, 2023). </w:t>
      </w:r>
      <w:hyperlink r:id="rId14">
        <w:r>
          <w:rPr>
            <w:rFonts w:ascii="Calibri" w:hAnsi="Calibri"/>
            <w:color w:val="2E74B5"/>
            <w:u w:val="single"/>
            <w:sz w:val="18"/>
          </w:rPr>
          <w:t>Open source</w:t>
        </w:r>
      </w:hyperlink>
    </w:p>
    <w:p>
      <w:pPr>
        <w:pStyle w:val="Reference"/>
      </w:pPr>
      <w:r>
        <w:t xml:space="preserve">[3] U.S. Department of Education, What Works Clearinghouse: Social Belonging (2022). </w:t>
      </w:r>
      <w:hyperlink r:id="rId15">
        <w:r>
          <w:rPr>
            <w:rFonts w:ascii="Calibri" w:hAnsi="Calibri"/>
            <w:color w:val="2E74B5"/>
            <w:u w:val="single"/>
            <w:sz w:val="18"/>
          </w:rPr>
          <w:t>Open source</w:t>
        </w:r>
      </w:hyperlink>
    </w:p>
    <w:p>
      <w:pPr>
        <w:pStyle w:val="Reference"/>
      </w:pPr>
      <w:r>
        <w:t xml:space="preserve">[4] Ready Education, CampusGroups product capabilities (accessed 4 Sep 2026). </w:t>
      </w:r>
      <w:hyperlink r:id="rId16">
        <w:r>
          <w:rPr>
            <w:rFonts w:ascii="Calibri" w:hAnsi="Calibri"/>
            <w:color w:val="2E74B5"/>
            <w:u w:val="single"/>
            <w:sz w:val="18"/>
          </w:rPr>
          <w:t>Open source</w:t>
        </w:r>
      </w:hyperlink>
    </w:p>
    <w:p>
      <w:pPr>
        <w:pStyle w:val="Reference"/>
      </w:pPr>
      <w:r>
        <w:t xml:space="preserve">[5] UAE Government, Data protection laws: Federal Decree-Law No. 45 of 2021 (accessed 4 Sep 2026). </w:t>
      </w:r>
      <w:hyperlink r:id="rId17">
        <w:r>
          <w:rPr>
            <w:rFonts w:ascii="Calibri" w:hAnsi="Calibri"/>
            <w:color w:val="2E74B5"/>
            <w:u w:val="single"/>
            <w:sz w:val="18"/>
          </w:rPr>
          <w:t>Open source</w:t>
        </w:r>
      </w:hyperlink>
    </w:p>
    <w:sectPr w:rsidR="00FC693F" w:rsidRPr="0006063C" w:rsidSect="00034616">
      <w:headerReference w:type="default" r:id="rId9"/>
      <w:footerReference w:type="default" r:id="rId10"/>
      <w:headerReference w:type="even" r:id="rId11"/>
      <w:footerReference w:type="even" r:id="rId12"/>
      <w:pgSz w:w="12240" w:h="15840"/>
      <w:pgMar w:top="1037" w:right="1440" w:bottom="979" w:left="1440" w:header="504" w:footer="504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rFonts w:ascii="Calibri" w:hAnsi="Calibri"/>
        <w:b/>
        <w:i w:val="0"/>
        <w:color w:val="667085"/>
        <w:sz w:val="17"/>
      </w:rPr>
      <w:t xml:space="preserve">PHASE B  •  BUSINESS CASE     |     </w:t>
    </w:r>
    <w:r>
      <w:rPr>
        <w:rFonts w:ascii="Calibri" w:hAnsi="Calibri"/>
        <w:b/>
        <w:i w:val="0"/>
        <w:color w:val="667085"/>
        <w:sz w:val="17"/>
      </w:rPr>
      <w:fldChar w:fldCharType="begin"/>
      <w:instrText xml:space="preserve">PAGE</w:instrText>
      <w:fldChar w:fldCharType="end"/>
    </w:r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rFonts w:ascii="Calibri" w:hAnsi="Calibri"/>
        <w:b/>
        <w:i w:val="0"/>
        <w:color w:val="667085"/>
        <w:sz w:val="17"/>
      </w:rPr>
      <w:t xml:space="preserve">PHASE B  •  BUSINESS CASE     |     </w:t>
    </w:r>
    <w:r>
      <w:rPr>
        <w:rFonts w:ascii="Calibri" w:hAnsi="Calibri"/>
        <w:b/>
        <w:i w:val="0"/>
        <w:color w:val="667085"/>
        <w:sz w:val="17"/>
      </w:rPr>
      <w:fldChar w:fldCharType="begin"/>
      <w:instrText xml:space="preserve">PAGE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after="0"/>
      <w:jc w:val="right"/>
    </w:pPr>
    <w:r>
      <w:rPr>
        <w:rFonts w:ascii="Calibri" w:hAnsi="Calibri"/>
        <w:b/>
        <w:i w:val="0"/>
        <w:color w:val="667085"/>
        <w:sz w:val="17"/>
      </w:rPr>
      <w:t>CAMPUSCREW  |  DECISION BRIEF</w:t>
    </w:r>
  </w:p>
</w:hdr>
</file>

<file path=word/header2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after="0"/>
      <w:jc w:val="right"/>
    </w:pPr>
    <w:r>
      <w:rPr>
        <w:rFonts w:ascii="Calibri" w:hAnsi="Calibri"/>
        <w:b/>
        <w:i w:val="0"/>
        <w:color w:val="667085"/>
        <w:sz w:val="17"/>
      </w:rPr>
      <w:t>CAMPUSCREW  |  DECISION BRIEF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abstractNum w:abstractNumId="91">
    <w:multiLevelType w:val="singleLevel"/>
    <w:lvl w:ilvl="0">
      <w:start w:val="1"/>
      <w:numFmt w:val="bullet"/>
      <w:lvlText w:val="•"/>
      <w:lvlJc w:val="left"/>
      <w:pPr>
        <w:tabs>
          <w:tab w:val="num" w:pos="720"/>
        </w:tabs>
        <w:ind w:left="720" w:hanging="360"/>
        <w:spacing w:after="160" w:line="280" w:lineRule="auto"/>
      </w:pPr>
      <w:rPr>
        <w:rFonts w:ascii="Symbol" w:hAnsi="Symbol"/>
      </w:rPr>
    </w:lvl>
  </w:abstractNum>
  <w:num w:numId="91">
    <w:abstractNumId w:val="9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evenAndOddHeaders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  <w:updateFields w:val="true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120" w:line="264" w:lineRule="auto"/>
    </w:pPr>
    <w:rPr>
      <w:rFonts w:ascii="Calibri" w:hAnsi="Calibri"/>
      <w:color w:val="1D2939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pageBreakBefore w:val="0"/>
      <w:spacing w:before="320" w:after="160"/>
      <w:outlineLvl w:val="0"/>
    </w:pPr>
    <w:rPr>
      <w:rFonts w:asciiTheme="majorHAnsi" w:eastAsiaTheme="majorEastAsia" w:hAnsiTheme="majorHAnsi" w:cstheme="majorBidi" w:ascii="Calibri" w:hAnsi="Calibri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pageBreakBefore w:val="0"/>
      <w:spacing w:before="240" w:after="120"/>
      <w:outlineLvl w:val="1"/>
    </w:pPr>
    <w:rPr>
      <w:rFonts w:asciiTheme="majorHAnsi" w:eastAsiaTheme="majorEastAsia" w:hAnsiTheme="majorHAnsi" w:cstheme="majorBidi" w:ascii="Calibri" w:hAnsi="Calibri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pageBreakBefore w:val="0"/>
      <w:spacing w:before="160" w:after="80"/>
      <w:outlineLvl w:val="2"/>
    </w:pPr>
    <w:rPr>
      <w:rFonts w:asciiTheme="majorHAnsi" w:eastAsiaTheme="majorEastAsia" w:hAnsiTheme="majorHAnsi" w:cstheme="majorBidi" w:ascii="Calibri" w:hAnsi="Calibri"/>
      <w:b/>
      <w:bCs/>
      <w:color w:val="1F4D7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Reference">
    <w:name w:val="Reference"/>
    <w:pPr>
      <w:spacing w:after="60" w:line="240" w:lineRule="auto"/>
    </w:pPr>
    <w:rPr>
      <w:rFonts w:ascii="Calibri" w:hAnsi="Calibri"/>
      <w:color w:val="667085"/>
      <w:sz w:val="18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header" Target="header2.xml"/><Relationship Id="rId12" Type="http://schemas.openxmlformats.org/officeDocument/2006/relationships/footer" Target="footer2.xml"/><Relationship Id="rId13" Type="http://schemas.openxmlformats.org/officeDocument/2006/relationships/hyperlink" Target="https://www.who.int/publications/i/item/978240112360" TargetMode="External"/><Relationship Id="rId14" Type="http://schemas.openxmlformats.org/officeDocument/2006/relationships/hyperlink" Target="https://www.hhs.gov/sites/default/files/surgeon-general-social-connection-advisory.pdf" TargetMode="External"/><Relationship Id="rId15" Type="http://schemas.openxmlformats.org/officeDocument/2006/relationships/hyperlink" Target="https://ies.ed.gov/ncee/WWC/EvidenceSnapshot/720" TargetMode="External"/><Relationship Id="rId16" Type="http://schemas.openxmlformats.org/officeDocument/2006/relationships/hyperlink" Target="https://www.readyeducation.com/campusgroups/" TargetMode="External"/><Relationship Id="rId17" Type="http://schemas.openxmlformats.org/officeDocument/2006/relationships/hyperlink" Target="https://u.ae/en/about-the-uae/digital-uae/data/data-protection-laws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CampusCrew — Phase B Business Case</dc:title>
  <dc:subject>GO / REVISE / NO-GO investment recommendation</dc:subject>
  <dc:creator>Project Team</dc:creator>
  <cp:keywords>CampusCrew, business case, CONNECT, student engagement, MVP pilot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