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100" w:line="259" w:lineRule="auto"/>
        <w:jc w:val="center"/>
      </w:pPr>
      <w:r>
        <w:rPr>
          <w:rFonts w:ascii="Calibri" w:hAnsi="Calibri"/>
          <w:b/>
          <w:i w:val="0"/>
          <w:color w:val="176B4D"/>
          <w:sz w:val="19"/>
        </w:rPr>
        <w:t>CONNECT THEME</w:t>
      </w:r>
    </w:p>
    <w:p>
      <w:pPr>
        <w:pStyle w:val="Title"/>
        <w:jc w:val="center"/>
        <w:pBdr>
          <w:top w:val="nil"/>
          <w:left w:val="nil"/>
          <w:bottom w:val="nil"/>
          <w:right w:val="nil"/>
          <w:between w:val="nil"/>
          <w:bar w:val="nil"/>
        </w:pBdr>
      </w:pPr>
      <w:r>
        <w:t>ClassMic Classroom Microphone Pilot Project Charter</w:t>
      </w:r>
    </w:p>
    <w:p>
      <w:pPr>
        <w:keepNext/>
        <w:spacing w:before="0" w:after="100" w:line="259" w:lineRule="auto"/>
        <w:jc w:val="center"/>
      </w:pPr>
      <w:r>
        <w:rPr>
          <w:rFonts w:ascii="Calibri" w:hAnsi="Calibri"/>
          <w:b/>
          <w:i w:val="0"/>
          <w:color w:val="000000"/>
          <w:sz w:val="26"/>
        </w:rPr>
        <w:t>Phase C Authorization and Governance</w:t>
      </w:r>
    </w:p>
    <w:p>
      <w:pPr>
        <w:keepNext/>
        <w:spacing w:before="0" w:after="200" w:line="259" w:lineRule="auto"/>
        <w:jc w:val="center"/>
      </w:pPr>
      <w:r>
        <w:rPr>
          <w:rFonts w:ascii="Calibri" w:hAnsi="Calibri"/>
          <w:b w:val="0"/>
          <w:i w:val="0"/>
          <w:color w:val="667085"/>
          <w:sz w:val="19"/>
        </w:rPr>
        <w:t>Team members  Temiko Machavariani and Nurtore Arynuruly</w:t>
      </w:r>
    </w:p>
    <w:tbl>
      <w:tblPr>
        <w:tblW w:type="dxa" w:w="936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680"/>
        <w:gridCol w:w="4680"/>
      </w:tblGrid>
      <w:tr>
        <w:trPr>
          <w:cantSplit/>
          <w:cantSplit/>
          <w:tblHeader w:val="true"/>
        </w:trPr>
        <w:tc>
          <w:tcPr>
            <w:tcW w:type="dxa" w:w="4680"/>
            <w:tcMar>
              <w:top w:w="80" w:type="dxa"/>
              <w:start w:w="110" w:type="dxa"/>
              <w:bottom w:w="80" w:type="dxa"/>
              <w:end w:w="110" w:type="dxa"/>
            </w:tcMar>
            <w:vAlign w:val="center"/>
            <w:shd w:fill="F3F4F6"/>
          </w:tcPr>
          <w:p>
            <w:pPr>
              <w:spacing w:after="0"/>
            </w:pPr>
            <w:r>
              <w:rPr>
                <w:rFonts w:ascii="Calibri" w:hAnsi="Calibri"/>
                <w:b/>
                <w:i w:val="0"/>
                <w:color w:val="667085"/>
                <w:sz w:val="15"/>
              </w:rPr>
              <w:t>SPONSOR</w:t>
              <w:br/>
            </w:r>
            <w:r>
              <w:rPr>
                <w:rFonts w:ascii="Calibri" w:hAnsi="Calibri"/>
                <w:b/>
                <w:i w:val="0"/>
                <w:color w:val="17365D"/>
                <w:sz w:val="18"/>
              </w:rPr>
              <w:t>Dean of Academic Affairs</w:t>
            </w:r>
          </w:p>
        </w:tc>
        <w:tc>
          <w:tcPr>
            <w:tcW w:type="dxa" w:w="4680"/>
            <w:tcMar>
              <w:top w:w="80" w:type="dxa"/>
              <w:start w:w="110" w:type="dxa"/>
              <w:bottom w:w="80" w:type="dxa"/>
              <w:end w:w="110" w:type="dxa"/>
            </w:tcMar>
            <w:vAlign w:val="center"/>
            <w:shd w:fill="F3F4F6"/>
          </w:tcPr>
          <w:p>
            <w:pPr>
              <w:spacing w:after="0"/>
            </w:pPr>
            <w:r>
              <w:rPr>
                <w:rFonts w:ascii="Calibri" w:hAnsi="Calibri"/>
                <w:b/>
                <w:i w:val="0"/>
                <w:color w:val="667085"/>
                <w:sz w:val="15"/>
              </w:rPr>
              <w:t>PROJECT MANAGER</w:t>
              <w:br/>
            </w:r>
            <w:r>
              <w:rPr>
                <w:rFonts w:ascii="Calibri" w:hAnsi="Calibri"/>
                <w:b/>
                <w:i w:val="0"/>
                <w:color w:val="17365D"/>
                <w:sz w:val="18"/>
              </w:rPr>
              <w:t>Nurtore Arynuruly</w:t>
            </w:r>
          </w:p>
        </w:tc>
      </w:tr>
      <w:tr>
        <w:trPr>
          <w:cantSplit/>
          <w:cantSplit/>
        </w:trPr>
        <w:tc>
          <w:tcPr>
            <w:tcW w:type="dxa" w:w="4680"/>
            <w:tcMar>
              <w:top w:w="80" w:type="dxa"/>
              <w:start w:w="110" w:type="dxa"/>
              <w:bottom w:w="80" w:type="dxa"/>
              <w:end w:w="110" w:type="dxa"/>
            </w:tcMar>
            <w:vAlign w:val="center"/>
            <w:shd w:fill="F3F4F6"/>
          </w:tcPr>
          <w:p>
            <w:pPr>
              <w:spacing w:after="0"/>
            </w:pPr>
            <w:r>
              <w:rPr>
                <w:rFonts w:ascii="Calibri" w:hAnsi="Calibri"/>
                <w:b/>
                <w:i w:val="0"/>
                <w:color w:val="667085"/>
                <w:sz w:val="15"/>
              </w:rPr>
              <w:t>TECHNICAL LEAD</w:t>
              <w:br/>
            </w:r>
            <w:r>
              <w:rPr>
                <w:rFonts w:ascii="Calibri" w:hAnsi="Calibri"/>
                <w:b/>
                <w:i w:val="0"/>
                <w:color w:val="17365D"/>
                <w:sz w:val="18"/>
              </w:rPr>
              <w:t>Temiko Machavariani</w:t>
            </w:r>
          </w:p>
        </w:tc>
        <w:tc>
          <w:tcPr>
            <w:tcW w:type="dxa" w:w="4680"/>
            <w:tcMar>
              <w:top w:w="80" w:type="dxa"/>
              <w:start w:w="110" w:type="dxa"/>
              <w:bottom w:w="80" w:type="dxa"/>
              <w:end w:w="110" w:type="dxa"/>
            </w:tcMar>
            <w:vAlign w:val="center"/>
            <w:shd w:fill="F3F4F6"/>
          </w:tcPr>
          <w:p>
            <w:pPr>
              <w:spacing w:after="0"/>
            </w:pPr>
            <w:r>
              <w:rPr>
                <w:rFonts w:ascii="Calibri" w:hAnsi="Calibri"/>
                <w:b/>
                <w:i w:val="0"/>
                <w:color w:val="667085"/>
                <w:sz w:val="15"/>
              </w:rPr>
              <w:t>AUTHORIZATION</w:t>
              <w:br/>
            </w:r>
            <w:r>
              <w:rPr>
                <w:rFonts w:ascii="Calibri" w:hAnsi="Calibri"/>
                <w:b/>
                <w:i w:val="0"/>
                <w:color w:val="17365D"/>
                <w:sz w:val="18"/>
              </w:rPr>
              <w:t>14 weeks  |  3 classrooms  |  AED 60,000 ceiling</w:t>
            </w:r>
          </w:p>
        </w:tc>
      </w:tr>
    </w:tbl>
    <w:p>
      <w:pPr>
        <w:pStyle w:val="Heading1"/>
      </w:pPr>
      <w:r>
        <w:t>1 Project purpose and authorization</w:t>
      </w:r>
    </w:p>
    <w:p>
      <w:pPr>
        <w:keepNext w:val="0"/>
        <w:spacing w:before="0" w:after="80" w:line="259" w:lineRule="auto"/>
        <w:jc w:val="left"/>
      </w:pPr>
      <w:r>
        <w:rPr>
          <w:rFonts w:ascii="Calibri" w:hAnsi="Calibri"/>
          <w:b w:val="0"/>
          <w:i w:val="0"/>
          <w:color w:val="1D2939"/>
          <w:sz w:val="21"/>
        </w:rPr>
        <w:t>ClassMic will test whether a student's own phone can work as a secure, instructor-controlled wireless microphone in a classroom. Students join a temporary browser session by QR code, request permission to speak, and use push to talk; only one approved phone transmits audio to the classroom sound system at a time.</w:t>
      </w:r>
    </w:p>
    <w:p>
      <w:pPr>
        <w:keepNext w:val="0"/>
        <w:spacing w:before="0" w:after="100" w:line="259" w:lineRule="auto"/>
        <w:jc w:val="left"/>
      </w:pPr>
      <w:r>
        <w:rPr>
          <w:rFonts w:ascii="Calibri" w:hAnsi="Calibri"/>
          <w:b w:val="0"/>
          <w:i w:val="0"/>
          <w:color w:val="1D2939"/>
          <w:sz w:val="21"/>
        </w:rPr>
        <w:t>This charter authorizes a limited pilot, not a campus-wide rollout. The project aims to make student questions easier to hear without passing a physical microphone, while protecting privacy through explicit microphone permission, no recording, no persistent audio storage, and instructor control.</w:t>
      </w:r>
    </w:p>
    <w:p>
      <w:pPr>
        <w:pStyle w:val="Heading1"/>
      </w:pPr>
      <w:r>
        <w:t>2 SMART objective</w:t>
      </w:r>
    </w:p>
    <w:tbl>
      <w:tblPr>
        <w:tblW w:type="dxa" w:w="936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500"/>
        <w:gridCol w:w="7860"/>
      </w:tblGrid>
      <w:tr>
        <w:trPr>
          <w:tblHeader w:val="true"/>
          <w:cantSplit/>
        </w:trPr>
        <w:tc>
          <w:tcPr>
            <w:tcW w:type="dxa" w:w="1500"/>
            <w:tcMar>
              <w:top w:w="80" w:type="dxa"/>
              <w:start w:w="110" w:type="dxa"/>
              <w:bottom w:w="80" w:type="dxa"/>
              <w:end w:w="110" w:type="dxa"/>
            </w:tcMar>
            <w:vAlign w:val="center"/>
            <w:shd w:fill="17365D"/>
          </w:tcPr>
          <w:p>
            <w:pPr>
              <w:spacing w:before="0" w:after="0" w:line="245" w:lineRule="auto"/>
              <w:jc w:val="left"/>
            </w:pPr>
            <w:r/>
            <w:r>
              <w:rPr>
                <w:rFonts w:ascii="Calibri" w:hAnsi="Calibri"/>
                <w:b/>
                <w:i w:val="0"/>
                <w:color w:val="FFFFFF"/>
                <w:sz w:val="16"/>
              </w:rPr>
              <w:t>Element</w:t>
            </w:r>
          </w:p>
        </w:tc>
        <w:tc>
          <w:tcPr>
            <w:tcW w:type="dxa" w:w="7860"/>
            <w:tcMar>
              <w:top w:w="80" w:type="dxa"/>
              <w:start w:w="110" w:type="dxa"/>
              <w:bottom w:w="80" w:type="dxa"/>
              <w:end w:w="110" w:type="dxa"/>
            </w:tcMar>
            <w:vAlign w:val="center"/>
            <w:shd w:fill="17365D"/>
          </w:tcPr>
          <w:p>
            <w:pPr>
              <w:spacing w:before="0" w:after="0" w:line="245" w:lineRule="auto"/>
              <w:jc w:val="center"/>
            </w:pPr>
            <w:r/>
            <w:r>
              <w:rPr>
                <w:rFonts w:ascii="Calibri" w:hAnsi="Calibri"/>
                <w:b/>
                <w:i w:val="0"/>
                <w:color w:val="FFFFFF"/>
                <w:sz w:val="16"/>
              </w:rPr>
              <w:t>ClassMic response</w:t>
            </w:r>
          </w:p>
        </w:tc>
      </w:tr>
      <w:tr>
        <w:trPr>
          <w:cantSplit/>
        </w:trPr>
        <w:tc>
          <w:tcPr>
            <w:tcW w:type="dxa" w:w="1500"/>
          </w:tcPr>
          <w:p>
            <w:pPr>
              <w:spacing w:before="0" w:after="0" w:line="245" w:lineRule="auto"/>
              <w:jc w:val="left"/>
            </w:pPr>
            <w:r/>
            <w:r>
              <w:rPr>
                <w:rFonts w:ascii="Calibri" w:hAnsi="Calibri"/>
                <w:b/>
                <w:i w:val="0"/>
                <w:color w:val="1D2939"/>
                <w:sz w:val="15"/>
              </w:rPr>
              <w:t>Specific</w:t>
            </w:r>
          </w:p>
        </w:tc>
        <w:tc>
          <w:tcPr>
            <w:tcW w:type="dxa" w:w="7860"/>
          </w:tcPr>
          <w:p>
            <w:pPr>
              <w:spacing w:before="0" w:after="0" w:line="245" w:lineRule="auto"/>
              <w:jc w:val="left"/>
            </w:pPr>
            <w:r/>
            <w:r>
              <w:rPr>
                <w:rFonts w:ascii="Calibri" w:hAnsi="Calibri"/>
                <w:b w:val="0"/>
                <w:i w:val="0"/>
                <w:color w:val="1D2939"/>
                <w:sz w:val="15"/>
              </w:rPr>
              <w:t>Develop and pilot an instructor-controlled, browser-based system that lets students use a phone as a push-to-talk classroom microphone in three equipped classrooms.</w:t>
            </w:r>
          </w:p>
        </w:tc>
      </w:tr>
      <w:tr>
        <w:trPr>
          <w:cantSplit/>
        </w:trPr>
        <w:tc>
          <w:tcPr>
            <w:tcW w:type="dxa" w:w="1500"/>
            <w:shd w:fill="EAF2F8"/>
          </w:tcPr>
          <w:p>
            <w:pPr>
              <w:spacing w:before="0" w:after="0" w:line="245" w:lineRule="auto"/>
              <w:jc w:val="left"/>
            </w:pPr>
            <w:r/>
            <w:r>
              <w:rPr>
                <w:rFonts w:ascii="Calibri" w:hAnsi="Calibri"/>
                <w:b/>
                <w:i w:val="0"/>
                <w:color w:val="1D2939"/>
                <w:sz w:val="15"/>
              </w:rPr>
              <w:t>Measurable</w:t>
            </w:r>
          </w:p>
        </w:tc>
        <w:tc>
          <w:tcPr>
            <w:tcW w:type="dxa" w:w="7860"/>
            <w:shd w:fill="EAF2F8"/>
          </w:tcPr>
          <w:p>
            <w:pPr>
              <w:spacing w:before="0" w:after="0" w:line="245" w:lineRule="auto"/>
              <w:jc w:val="left"/>
            </w:pPr>
            <w:r/>
            <w:r>
              <w:rPr>
                <w:rFonts w:ascii="Calibri" w:hAnsi="Calibri"/>
                <w:b w:val="0"/>
                <w:i w:val="0"/>
                <w:color w:val="1D2939"/>
                <w:sz w:val="15"/>
              </w:rPr>
              <w:t>Success requires 90% of sessions to start within 2 minutes, 90% of approved requests to become audible within 3 seconds, median delay of 700 ms or less, 75% positive audibility feedback, and zero critical privacy or security incidents.</w:t>
            </w:r>
          </w:p>
        </w:tc>
      </w:tr>
      <w:tr>
        <w:trPr>
          <w:cantSplit/>
        </w:trPr>
        <w:tc>
          <w:tcPr>
            <w:tcW w:type="dxa" w:w="1500"/>
          </w:tcPr>
          <w:p>
            <w:pPr>
              <w:spacing w:before="0" w:after="0" w:line="245" w:lineRule="auto"/>
              <w:jc w:val="left"/>
            </w:pPr>
            <w:r/>
            <w:r>
              <w:rPr>
                <w:rFonts w:ascii="Calibri" w:hAnsi="Calibri"/>
                <w:b/>
                <w:i w:val="0"/>
                <w:color w:val="1D2939"/>
                <w:sz w:val="15"/>
              </w:rPr>
              <w:t>Achievable</w:t>
            </w:r>
          </w:p>
        </w:tc>
        <w:tc>
          <w:tcPr>
            <w:tcW w:type="dxa" w:w="7860"/>
          </w:tcPr>
          <w:p>
            <w:pPr>
              <w:spacing w:before="0" w:after="0" w:line="245" w:lineRule="auto"/>
              <w:jc w:val="left"/>
            </w:pPr>
            <w:r/>
            <w:r>
              <w:rPr>
                <w:rFonts w:ascii="Calibri" w:hAnsi="Calibri"/>
                <w:b w:val="0"/>
                <w:i w:val="0"/>
                <w:color w:val="1D2939"/>
                <w:sz w:val="15"/>
              </w:rPr>
              <w:t>The limited pilot reuses student phones, existing Wi-Fi, classroom speakers, and standard browsers, while one active microphone and a physical-mic fallback keep the solution realistic for the team and available resources.</w:t>
            </w:r>
          </w:p>
        </w:tc>
      </w:tr>
      <w:tr>
        <w:trPr>
          <w:cantSplit/>
        </w:trPr>
        <w:tc>
          <w:tcPr>
            <w:tcW w:type="dxa" w:w="1500"/>
            <w:shd w:fill="EAF2F8"/>
          </w:tcPr>
          <w:p>
            <w:pPr>
              <w:spacing w:before="0" w:after="0" w:line="245" w:lineRule="auto"/>
              <w:jc w:val="left"/>
            </w:pPr>
            <w:r/>
            <w:r>
              <w:rPr>
                <w:rFonts w:ascii="Calibri" w:hAnsi="Calibri"/>
                <w:b/>
                <w:i w:val="0"/>
                <w:color w:val="1D2939"/>
                <w:sz w:val="15"/>
              </w:rPr>
              <w:t>Relevant</w:t>
            </w:r>
          </w:p>
        </w:tc>
        <w:tc>
          <w:tcPr>
            <w:tcW w:type="dxa" w:w="7860"/>
            <w:shd w:fill="EAF2F8"/>
          </w:tcPr>
          <w:p>
            <w:pPr>
              <w:spacing w:before="0" w:after="0" w:line="245" w:lineRule="auto"/>
              <w:jc w:val="left"/>
            </w:pPr>
            <w:r/>
            <w:r>
              <w:rPr>
                <w:rFonts w:ascii="Calibri" w:hAnsi="Calibri"/>
                <w:b w:val="0"/>
                <w:i w:val="0"/>
                <w:color w:val="1D2939"/>
                <w:sz w:val="15"/>
              </w:rPr>
              <w:t>ClassMic supports inclusive participation and teaching quality by helping the whole room hear student questions without disrupting discussion to pass around a physical microphone.</w:t>
            </w:r>
          </w:p>
        </w:tc>
      </w:tr>
      <w:tr>
        <w:trPr>
          <w:cantSplit/>
        </w:trPr>
        <w:tc>
          <w:tcPr>
            <w:tcW w:type="dxa" w:w="1500"/>
          </w:tcPr>
          <w:p>
            <w:pPr>
              <w:spacing w:before="0" w:after="0" w:line="245" w:lineRule="auto"/>
              <w:jc w:val="left"/>
            </w:pPr>
            <w:r/>
            <w:r>
              <w:rPr>
                <w:rFonts w:ascii="Calibri" w:hAnsi="Calibri"/>
                <w:b/>
                <w:i w:val="0"/>
                <w:color w:val="1D2939"/>
                <w:sz w:val="15"/>
              </w:rPr>
              <w:t>Time-bound</w:t>
            </w:r>
          </w:p>
        </w:tc>
        <w:tc>
          <w:tcPr>
            <w:tcW w:type="dxa" w:w="7860"/>
          </w:tcPr>
          <w:p>
            <w:pPr>
              <w:spacing w:before="0" w:after="0" w:line="245" w:lineRule="auto"/>
              <w:jc w:val="left"/>
            </w:pPr>
            <w:r/>
            <w:r>
              <w:rPr>
                <w:rFonts w:ascii="Calibri" w:hAnsi="Calibri"/>
                <w:b w:val="0"/>
                <w:i w:val="0"/>
                <w:color w:val="1D2939"/>
                <w:sz w:val="15"/>
              </w:rPr>
              <w:t>The project will complete discovery, prototype development, testing, and a six-week classroom pilot within 14 weeks, followed by the Dean's decision to close, revise, or continue.</w:t>
            </w:r>
          </w:p>
        </w:tc>
      </w:tr>
    </w:tbl>
    <w:p>
      <w:pPr>
        <w:pStyle w:val="Heading1"/>
      </w:pPr>
      <w:r>
        <w:t>3 Scope and boundaries</w:t>
      </w:r>
    </w:p>
    <w:tbl>
      <w:tblPr>
        <w:tblW w:type="dxa" w:w="936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680"/>
        <w:gridCol w:w="4680"/>
      </w:tblGrid>
      <w:tr>
        <w:trPr>
          <w:tblHeader w:val="true"/>
          <w:cantSplit/>
        </w:trPr>
        <w:tc>
          <w:tcPr>
            <w:tcW w:type="dxa" w:w="4680"/>
            <w:tcMar>
              <w:top w:w="80" w:type="dxa"/>
              <w:start w:w="110" w:type="dxa"/>
              <w:bottom w:w="80" w:type="dxa"/>
              <w:end w:w="110" w:type="dxa"/>
            </w:tcMar>
            <w:vAlign w:val="center"/>
            <w:shd w:fill="17365D"/>
          </w:tcPr>
          <w:p>
            <w:pPr>
              <w:spacing w:before="0" w:after="0" w:line="245" w:lineRule="auto"/>
              <w:jc w:val="left"/>
            </w:pPr>
            <w:r/>
            <w:r>
              <w:rPr>
                <w:rFonts w:ascii="Calibri" w:hAnsi="Calibri"/>
                <w:b/>
                <w:i w:val="0"/>
                <w:color w:val="FFFFFF"/>
                <w:sz w:val="16"/>
              </w:rPr>
              <w:t>In scope</w:t>
            </w:r>
          </w:p>
        </w:tc>
        <w:tc>
          <w:tcPr>
            <w:tcW w:type="dxa" w:w="4680"/>
            <w:tcMar>
              <w:top w:w="80" w:type="dxa"/>
              <w:start w:w="110" w:type="dxa"/>
              <w:bottom w:w="80" w:type="dxa"/>
              <w:end w:w="110" w:type="dxa"/>
            </w:tcMar>
            <w:vAlign w:val="center"/>
            <w:shd w:fill="17365D"/>
          </w:tcPr>
          <w:p>
            <w:pPr>
              <w:spacing w:before="0" w:after="0" w:line="245" w:lineRule="auto"/>
              <w:jc w:val="center"/>
            </w:pPr>
            <w:r/>
            <w:r>
              <w:rPr>
                <w:rFonts w:ascii="Calibri" w:hAnsi="Calibri"/>
                <w:b/>
                <w:i w:val="0"/>
                <w:color w:val="FFFFFF"/>
                <w:sz w:val="16"/>
              </w:rPr>
              <w:t>Out of scope</w:t>
            </w:r>
          </w:p>
        </w:tc>
      </w:tr>
      <w:tr>
        <w:trPr>
          <w:cantSplit/>
        </w:trPr>
        <w:tc>
          <w:tcPr>
            <w:tcW w:type="dxa" w:w="4680"/>
          </w:tcPr>
          <w:p>
            <w:pPr>
              <w:spacing w:before="0" w:after="0" w:line="245" w:lineRule="auto"/>
              <w:jc w:val="left"/>
            </w:pPr>
            <w:r/>
            <w:r>
              <w:rPr>
                <w:rFonts w:ascii="Calibri" w:hAnsi="Calibri"/>
                <w:b w:val="0"/>
                <w:i w:val="0"/>
                <w:color w:val="1D2939"/>
                <w:sz w:val="16"/>
              </w:rPr>
              <w:t>Browser-based QR join; temporary classroom session; request-to-speak queue; instructor approve, mute, and end controls; one active microphone; push to talk; classroom speaker output; basic support guide; three-classroom pilot and evaluation.</w:t>
            </w:r>
          </w:p>
        </w:tc>
        <w:tc>
          <w:tcPr>
            <w:tcW w:type="dxa" w:w="4680"/>
          </w:tcPr>
          <w:p>
            <w:pPr>
              <w:spacing w:before="0" w:after="0" w:line="245" w:lineRule="auto"/>
              <w:jc w:val="left"/>
            </w:pPr>
            <w:r/>
            <w:r>
              <w:rPr>
                <w:rFonts w:ascii="Calibri" w:hAnsi="Calibri"/>
                <w:b w:val="0"/>
                <w:i w:val="0"/>
                <w:color w:val="1D2939"/>
                <w:sz w:val="16"/>
              </w:rPr>
              <w:t>Continuous or secret recording; saved audio or transcripts; voice identification; attendance or grading from speech; simultaneous student microphones; remote-learning use; campus-wide production deployment; permanent student profiles.</w:t>
            </w:r>
          </w:p>
        </w:tc>
      </w:tr>
    </w:tbl>
    <w:p>
      <w:pPr>
        <w:pStyle w:val="Heading1"/>
      </w:pPr>
      <w:r>
        <w:t>4 Major deliverables and milestones</w:t>
      </w:r>
    </w:p>
    <w:tbl>
      <w:tblPr>
        <w:tblW w:type="dxa" w:w="936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800"/>
        <w:gridCol w:w="4260"/>
        <w:gridCol w:w="3300"/>
      </w:tblGrid>
      <w:tr>
        <w:trPr>
          <w:tblHeader w:val="true"/>
          <w:cantSplit/>
        </w:trPr>
        <w:tc>
          <w:tcPr>
            <w:tcW w:type="dxa" w:w="1800"/>
            <w:tcMar>
              <w:top w:w="80" w:type="dxa"/>
              <w:start w:w="110" w:type="dxa"/>
              <w:bottom w:w="80" w:type="dxa"/>
              <w:end w:w="110" w:type="dxa"/>
            </w:tcMar>
            <w:vAlign w:val="center"/>
            <w:shd w:fill="17365D"/>
          </w:tcPr>
          <w:p>
            <w:pPr>
              <w:spacing w:before="0" w:after="0" w:line="245" w:lineRule="auto"/>
              <w:jc w:val="left"/>
            </w:pPr>
            <w:r/>
            <w:r>
              <w:rPr>
                <w:rFonts w:ascii="Calibri" w:hAnsi="Calibri"/>
                <w:b/>
                <w:i w:val="0"/>
                <w:color w:val="FFFFFF"/>
                <w:sz w:val="16"/>
              </w:rPr>
              <w:t>Timing</w:t>
            </w:r>
          </w:p>
        </w:tc>
        <w:tc>
          <w:tcPr>
            <w:tcW w:type="dxa" w:w="4260"/>
            <w:tcMar>
              <w:top w:w="80" w:type="dxa"/>
              <w:start w:w="110" w:type="dxa"/>
              <w:bottom w:w="80" w:type="dxa"/>
              <w:end w:w="110" w:type="dxa"/>
            </w:tcMar>
            <w:vAlign w:val="center"/>
            <w:shd w:fill="17365D"/>
          </w:tcPr>
          <w:p>
            <w:pPr>
              <w:spacing w:before="0" w:after="0" w:line="245" w:lineRule="auto"/>
              <w:jc w:val="center"/>
            </w:pPr>
            <w:r/>
            <w:r>
              <w:rPr>
                <w:rFonts w:ascii="Calibri" w:hAnsi="Calibri"/>
                <w:b/>
                <w:i w:val="0"/>
                <w:color w:val="FFFFFF"/>
                <w:sz w:val="16"/>
              </w:rPr>
              <w:t>Milestone</w:t>
            </w:r>
          </w:p>
        </w:tc>
        <w:tc>
          <w:tcPr>
            <w:tcW w:type="dxa" w:w="3300"/>
            <w:tcMar>
              <w:top w:w="80" w:type="dxa"/>
              <w:start w:w="110" w:type="dxa"/>
              <w:bottom w:w="80" w:type="dxa"/>
              <w:end w:w="110" w:type="dxa"/>
            </w:tcMar>
            <w:vAlign w:val="center"/>
            <w:shd w:fill="17365D"/>
          </w:tcPr>
          <w:p>
            <w:pPr>
              <w:spacing w:before="0" w:after="0" w:line="245" w:lineRule="auto"/>
              <w:jc w:val="center"/>
            </w:pPr>
            <w:r/>
            <w:r>
              <w:rPr>
                <w:rFonts w:ascii="Calibri" w:hAnsi="Calibri"/>
                <w:b/>
                <w:i w:val="0"/>
                <w:color w:val="FFFFFF"/>
                <w:sz w:val="16"/>
              </w:rPr>
              <w:t>Approval or evidence</w:t>
            </w:r>
          </w:p>
        </w:tc>
      </w:tr>
      <w:tr>
        <w:trPr>
          <w:cantSplit/>
        </w:trPr>
        <w:tc>
          <w:tcPr>
            <w:tcW w:type="dxa" w:w="1800"/>
          </w:tcPr>
          <w:p>
            <w:pPr>
              <w:spacing w:before="0" w:after="0" w:line="245" w:lineRule="auto"/>
              <w:jc w:val="center"/>
            </w:pPr>
            <w:r/>
            <w:r>
              <w:rPr>
                <w:rFonts w:ascii="Calibri" w:hAnsi="Calibri"/>
                <w:b/>
                <w:i w:val="0"/>
                <w:color w:val="1D2939"/>
                <w:sz w:val="15"/>
              </w:rPr>
              <w:t>Week 1</w:t>
            </w:r>
          </w:p>
        </w:tc>
        <w:tc>
          <w:tcPr>
            <w:tcW w:type="dxa" w:w="4260"/>
          </w:tcPr>
          <w:p>
            <w:pPr>
              <w:spacing w:before="0" w:after="0" w:line="245" w:lineRule="auto"/>
              <w:jc w:val="left"/>
            </w:pPr>
            <w:r/>
            <w:r>
              <w:rPr>
                <w:rFonts w:ascii="Calibri" w:hAnsi="Calibri"/>
                <w:b w:val="0"/>
                <w:i w:val="0"/>
                <w:color w:val="1D2939"/>
                <w:sz w:val="15"/>
              </w:rPr>
              <w:t>Charter approved and project kickoff</w:t>
            </w:r>
          </w:p>
        </w:tc>
        <w:tc>
          <w:tcPr>
            <w:tcW w:type="dxa" w:w="3300"/>
          </w:tcPr>
          <w:p>
            <w:pPr>
              <w:spacing w:before="0" w:after="0" w:line="245" w:lineRule="auto"/>
              <w:jc w:val="left"/>
            </w:pPr>
            <w:r/>
            <w:r>
              <w:rPr>
                <w:rFonts w:ascii="Calibri" w:hAnsi="Calibri"/>
                <w:b w:val="0"/>
                <w:i w:val="0"/>
                <w:color w:val="1D2939"/>
                <w:sz w:val="15"/>
              </w:rPr>
              <w:t>Dean's authorization</w:t>
            </w:r>
          </w:p>
        </w:tc>
      </w:tr>
      <w:tr>
        <w:trPr>
          <w:cantSplit/>
        </w:trPr>
        <w:tc>
          <w:tcPr>
            <w:tcW w:type="dxa" w:w="1800"/>
            <w:shd w:fill="F3F4F6"/>
          </w:tcPr>
          <w:p>
            <w:pPr>
              <w:spacing w:before="0" w:after="0" w:line="245" w:lineRule="auto"/>
              <w:jc w:val="center"/>
            </w:pPr>
            <w:r/>
            <w:r>
              <w:rPr>
                <w:rFonts w:ascii="Calibri" w:hAnsi="Calibri"/>
                <w:b/>
                <w:i w:val="0"/>
                <w:color w:val="1D2939"/>
                <w:sz w:val="15"/>
              </w:rPr>
              <w:t>Weeks 2 to 3</w:t>
            </w:r>
          </w:p>
        </w:tc>
        <w:tc>
          <w:tcPr>
            <w:tcW w:type="dxa" w:w="4260"/>
            <w:shd w:fill="F3F4F6"/>
          </w:tcPr>
          <w:p>
            <w:pPr>
              <w:spacing w:before="0" w:after="0" w:line="245" w:lineRule="auto"/>
              <w:jc w:val="left"/>
            </w:pPr>
            <w:r/>
            <w:r>
              <w:rPr>
                <w:rFonts w:ascii="Calibri" w:hAnsi="Calibri"/>
                <w:b w:val="0"/>
                <w:i w:val="0"/>
                <w:color w:val="1D2939"/>
                <w:sz w:val="15"/>
              </w:rPr>
              <w:t>Classroom, privacy, accessibility, and technical needs confirmed</w:t>
            </w:r>
          </w:p>
        </w:tc>
        <w:tc>
          <w:tcPr>
            <w:tcW w:type="dxa" w:w="3300"/>
            <w:shd w:fill="F3F4F6"/>
          </w:tcPr>
          <w:p>
            <w:pPr>
              <w:spacing w:before="0" w:after="0" w:line="245" w:lineRule="auto"/>
              <w:jc w:val="left"/>
            </w:pPr>
            <w:r/>
            <w:r>
              <w:rPr>
                <w:rFonts w:ascii="Calibri" w:hAnsi="Calibri"/>
                <w:b w:val="0"/>
                <w:i w:val="0"/>
                <w:color w:val="1D2939"/>
                <w:sz w:val="15"/>
              </w:rPr>
              <w:t>Business owner and control-owner sign-off</w:t>
            </w:r>
          </w:p>
        </w:tc>
      </w:tr>
      <w:tr>
        <w:trPr>
          <w:cantSplit/>
        </w:trPr>
        <w:tc>
          <w:tcPr>
            <w:tcW w:type="dxa" w:w="1800"/>
          </w:tcPr>
          <w:p>
            <w:pPr>
              <w:spacing w:before="0" w:after="0" w:line="245" w:lineRule="auto"/>
              <w:jc w:val="center"/>
            </w:pPr>
            <w:r/>
            <w:r>
              <w:rPr>
                <w:rFonts w:ascii="Calibri" w:hAnsi="Calibri"/>
                <w:b/>
                <w:i w:val="0"/>
                <w:color w:val="1D2939"/>
                <w:sz w:val="15"/>
              </w:rPr>
              <w:t>Weeks 4 to 6</w:t>
            </w:r>
          </w:p>
        </w:tc>
        <w:tc>
          <w:tcPr>
            <w:tcW w:type="dxa" w:w="4260"/>
          </w:tcPr>
          <w:p>
            <w:pPr>
              <w:spacing w:before="0" w:after="0" w:line="245" w:lineRule="auto"/>
              <w:jc w:val="left"/>
            </w:pPr>
            <w:r/>
            <w:r>
              <w:rPr>
                <w:rFonts w:ascii="Calibri" w:hAnsi="Calibri"/>
                <w:b w:val="0"/>
                <w:i w:val="0"/>
                <w:color w:val="1D2939"/>
                <w:sz w:val="15"/>
              </w:rPr>
              <w:t>Working prototype and instructor controls completed</w:t>
            </w:r>
          </w:p>
        </w:tc>
        <w:tc>
          <w:tcPr>
            <w:tcW w:type="dxa" w:w="3300"/>
          </w:tcPr>
          <w:p>
            <w:pPr>
              <w:spacing w:before="0" w:after="0" w:line="245" w:lineRule="auto"/>
              <w:jc w:val="left"/>
            </w:pPr>
            <w:r/>
            <w:r>
              <w:rPr>
                <w:rFonts w:ascii="Calibri" w:hAnsi="Calibri"/>
                <w:b w:val="0"/>
                <w:i w:val="0"/>
                <w:color w:val="1D2939"/>
                <w:sz w:val="15"/>
              </w:rPr>
              <w:t>Project manager acceptance</w:t>
            </w:r>
          </w:p>
        </w:tc>
      </w:tr>
      <w:tr>
        <w:trPr>
          <w:cantSplit/>
        </w:trPr>
        <w:tc>
          <w:tcPr>
            <w:tcW w:type="dxa" w:w="1800"/>
            <w:shd w:fill="F3F4F6"/>
          </w:tcPr>
          <w:p>
            <w:pPr>
              <w:spacing w:before="0" w:after="0" w:line="245" w:lineRule="auto"/>
              <w:jc w:val="center"/>
            </w:pPr>
            <w:r/>
            <w:r>
              <w:rPr>
                <w:rFonts w:ascii="Calibri" w:hAnsi="Calibri"/>
                <w:b/>
                <w:i w:val="0"/>
                <w:color w:val="1D2939"/>
                <w:sz w:val="15"/>
              </w:rPr>
              <w:t>Weeks 7 to 8</w:t>
            </w:r>
          </w:p>
        </w:tc>
        <w:tc>
          <w:tcPr>
            <w:tcW w:type="dxa" w:w="4260"/>
            <w:shd w:fill="F3F4F6"/>
          </w:tcPr>
          <w:p>
            <w:pPr>
              <w:spacing w:before="0" w:after="0" w:line="245" w:lineRule="auto"/>
              <w:jc w:val="left"/>
            </w:pPr>
            <w:r/>
            <w:r>
              <w:rPr>
                <w:rFonts w:ascii="Calibri" w:hAnsi="Calibri"/>
                <w:b w:val="0"/>
                <w:i w:val="0"/>
                <w:color w:val="1D2939"/>
                <w:sz w:val="15"/>
              </w:rPr>
              <w:t>AV, network, browser, misuse, and user acceptance tests passed</w:t>
            </w:r>
          </w:p>
        </w:tc>
        <w:tc>
          <w:tcPr>
            <w:tcW w:type="dxa" w:w="3300"/>
            <w:shd w:fill="F3F4F6"/>
          </w:tcPr>
          <w:p>
            <w:pPr>
              <w:spacing w:before="0" w:after="0" w:line="245" w:lineRule="auto"/>
              <w:jc w:val="left"/>
            </w:pPr>
            <w:r/>
            <w:r>
              <w:rPr>
                <w:rFonts w:ascii="Calibri" w:hAnsi="Calibri"/>
                <w:b w:val="0"/>
                <w:i w:val="0"/>
                <w:color w:val="1D2939"/>
                <w:sz w:val="15"/>
              </w:rPr>
              <w:t>IT, AV, privacy, and pilot instructors</w:t>
            </w:r>
          </w:p>
        </w:tc>
      </w:tr>
      <w:tr>
        <w:trPr>
          <w:cantSplit/>
        </w:trPr>
        <w:tc>
          <w:tcPr>
            <w:tcW w:type="dxa" w:w="1800"/>
          </w:tcPr>
          <w:p>
            <w:pPr>
              <w:spacing w:before="0" w:after="0" w:line="245" w:lineRule="auto"/>
              <w:jc w:val="center"/>
            </w:pPr>
            <w:r/>
            <w:r>
              <w:rPr>
                <w:rFonts w:ascii="Calibri" w:hAnsi="Calibri"/>
                <w:b/>
                <w:i w:val="0"/>
                <w:color w:val="1D2939"/>
                <w:sz w:val="15"/>
              </w:rPr>
              <w:t>Weeks 9 to 14</w:t>
            </w:r>
          </w:p>
        </w:tc>
        <w:tc>
          <w:tcPr>
            <w:tcW w:type="dxa" w:w="4260"/>
          </w:tcPr>
          <w:p>
            <w:pPr>
              <w:spacing w:before="0" w:after="0" w:line="245" w:lineRule="auto"/>
              <w:jc w:val="left"/>
            </w:pPr>
            <w:r/>
            <w:r>
              <w:rPr>
                <w:rFonts w:ascii="Calibri" w:hAnsi="Calibri"/>
                <w:b w:val="0"/>
                <w:i w:val="0"/>
                <w:color w:val="1D2939"/>
                <w:sz w:val="15"/>
              </w:rPr>
              <w:t>Six-week live pilot and final evaluation completed</w:t>
            </w:r>
          </w:p>
        </w:tc>
        <w:tc>
          <w:tcPr>
            <w:tcW w:type="dxa" w:w="3300"/>
          </w:tcPr>
          <w:p>
            <w:pPr>
              <w:spacing w:before="0" w:after="0" w:line="245" w:lineRule="auto"/>
              <w:jc w:val="left"/>
            </w:pPr>
            <w:r/>
            <w:r>
              <w:rPr>
                <w:rFonts w:ascii="Calibri" w:hAnsi="Calibri"/>
                <w:b w:val="0"/>
                <w:i w:val="0"/>
                <w:color w:val="1D2939"/>
                <w:sz w:val="15"/>
              </w:rPr>
              <w:t>Dean's decision on close, revise, or continue</w:t>
            </w:r>
          </w:p>
        </w:tc>
      </w:tr>
    </w:tbl>
    <w:p>
      <w:pPr>
        <w:spacing w:after="0"/>
      </w:pPr>
      <w:r>
        <w:br w:type="page"/>
      </w:r>
    </w:p>
    <w:p>
      <w:pPr>
        <w:pStyle w:val="Heading1"/>
      </w:pPr>
      <w:r>
        <w:t>5 Stakeholder register</w:t>
      </w:r>
    </w:p>
    <w:p>
      <w:pPr>
        <w:keepNext w:val="0"/>
        <w:spacing w:before="0" w:after="80" w:line="259" w:lineRule="auto"/>
        <w:jc w:val="left"/>
      </w:pPr>
      <w:r>
        <w:rPr>
          <w:rFonts w:ascii="Calibri" w:hAnsi="Calibri"/>
          <w:b w:val="0"/>
          <w:i w:val="0"/>
          <w:color w:val="667085"/>
          <w:sz w:val="18"/>
        </w:rPr>
        <w:t>The register identifies who is affected, who can approve or block work, and how the team will engage each group during the pilot.</w:t>
      </w:r>
    </w:p>
    <w:tbl>
      <w:tblPr>
        <w:tblW w:type="dxa" w:w="936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160"/>
        <w:gridCol w:w="3540"/>
        <w:gridCol w:w="1140"/>
        <w:gridCol w:w="2520"/>
      </w:tblGrid>
      <w:tr>
        <w:trPr>
          <w:tblHeader w:val="true"/>
          <w:cantSplit/>
        </w:trPr>
        <w:tc>
          <w:tcPr>
            <w:tcW w:type="dxa" w:w="2160"/>
            <w:tcMar>
              <w:top w:w="80" w:type="dxa"/>
              <w:start w:w="110" w:type="dxa"/>
              <w:bottom w:w="80" w:type="dxa"/>
              <w:end w:w="110" w:type="dxa"/>
            </w:tcMar>
            <w:vAlign w:val="center"/>
            <w:shd w:fill="17365D"/>
          </w:tcPr>
          <w:p>
            <w:pPr>
              <w:spacing w:before="0" w:after="0" w:line="245" w:lineRule="auto"/>
              <w:jc w:val="left"/>
            </w:pPr>
            <w:r/>
            <w:r>
              <w:rPr>
                <w:rFonts w:ascii="Calibri" w:hAnsi="Calibri"/>
                <w:b/>
                <w:i w:val="0"/>
                <w:color w:val="FFFFFF"/>
                <w:sz w:val="16"/>
              </w:rPr>
              <w:t>Stakeholder</w:t>
            </w:r>
          </w:p>
        </w:tc>
        <w:tc>
          <w:tcPr>
            <w:tcW w:type="dxa" w:w="3540"/>
            <w:tcMar>
              <w:top w:w="80" w:type="dxa"/>
              <w:start w:w="110" w:type="dxa"/>
              <w:bottom w:w="80" w:type="dxa"/>
              <w:end w:w="110" w:type="dxa"/>
            </w:tcMar>
            <w:vAlign w:val="center"/>
            <w:shd w:fill="17365D"/>
          </w:tcPr>
          <w:p>
            <w:pPr>
              <w:spacing w:before="0" w:after="0" w:line="245" w:lineRule="auto"/>
              <w:jc w:val="center"/>
            </w:pPr>
            <w:r/>
            <w:r>
              <w:rPr>
                <w:rFonts w:ascii="Calibri" w:hAnsi="Calibri"/>
                <w:b/>
                <w:i w:val="0"/>
                <w:color w:val="FFFFFF"/>
                <w:sz w:val="16"/>
              </w:rPr>
              <w:t>Role and interest</w:t>
            </w:r>
          </w:p>
        </w:tc>
        <w:tc>
          <w:tcPr>
            <w:tcW w:type="dxa" w:w="1140"/>
            <w:tcMar>
              <w:top w:w="80" w:type="dxa"/>
              <w:start w:w="110" w:type="dxa"/>
              <w:bottom w:w="80" w:type="dxa"/>
              <w:end w:w="110" w:type="dxa"/>
            </w:tcMar>
            <w:vAlign w:val="center"/>
            <w:shd w:fill="17365D"/>
          </w:tcPr>
          <w:p>
            <w:pPr>
              <w:spacing w:before="0" w:after="0" w:line="245" w:lineRule="auto"/>
              <w:jc w:val="center"/>
            </w:pPr>
            <w:r/>
            <w:r>
              <w:rPr>
                <w:rFonts w:ascii="Calibri" w:hAnsi="Calibri"/>
                <w:b/>
                <w:i w:val="0"/>
                <w:color w:val="FFFFFF"/>
                <w:sz w:val="15"/>
              </w:rPr>
              <w:t>Influence</w:t>
            </w:r>
          </w:p>
        </w:tc>
        <w:tc>
          <w:tcPr>
            <w:tcW w:type="dxa" w:w="2520"/>
            <w:tcMar>
              <w:top w:w="80" w:type="dxa"/>
              <w:start w:w="110" w:type="dxa"/>
              <w:bottom w:w="80" w:type="dxa"/>
              <w:end w:w="110" w:type="dxa"/>
            </w:tcMar>
            <w:vAlign w:val="center"/>
            <w:shd w:fill="17365D"/>
          </w:tcPr>
          <w:p>
            <w:pPr>
              <w:spacing w:before="0" w:after="0" w:line="245" w:lineRule="auto"/>
              <w:jc w:val="center"/>
            </w:pPr>
            <w:r/>
            <w:r>
              <w:rPr>
                <w:rFonts w:ascii="Calibri" w:hAnsi="Calibri"/>
                <w:b/>
                <w:i w:val="0"/>
                <w:color w:val="FFFFFF"/>
                <w:sz w:val="16"/>
              </w:rPr>
              <w:t>Engagement</w:t>
            </w:r>
          </w:p>
        </w:tc>
      </w:tr>
      <w:tr>
        <w:trPr>
          <w:cantSplit/>
        </w:trPr>
        <w:tc>
          <w:tcPr>
            <w:tcW w:type="dxa" w:w="2160"/>
          </w:tcPr>
          <w:p>
            <w:pPr>
              <w:spacing w:before="0" w:after="0" w:line="245" w:lineRule="auto"/>
              <w:jc w:val="left"/>
            </w:pPr>
            <w:r/>
            <w:r>
              <w:rPr>
                <w:rFonts w:ascii="Calibri" w:hAnsi="Calibri"/>
                <w:b/>
                <w:i w:val="0"/>
                <w:color w:val="1D2939"/>
                <w:sz w:val="15"/>
              </w:rPr>
              <w:t>Dean of Academic Affairs</w:t>
            </w:r>
          </w:p>
        </w:tc>
        <w:tc>
          <w:tcPr>
            <w:tcW w:type="dxa" w:w="3540"/>
          </w:tcPr>
          <w:p>
            <w:pPr>
              <w:spacing w:before="0" w:after="0" w:line="245" w:lineRule="auto"/>
              <w:jc w:val="left"/>
            </w:pPr>
            <w:r/>
            <w:r>
              <w:rPr>
                <w:rFonts w:ascii="Calibri" w:hAnsi="Calibri"/>
                <w:b w:val="0"/>
                <w:i w:val="0"/>
                <w:color w:val="1D2939"/>
                <w:sz w:val="15"/>
              </w:rPr>
              <w:t>Executive sponsor who authorizes the pilot, funding ceiling, exceptions, and final decision.</w:t>
            </w:r>
          </w:p>
        </w:tc>
        <w:tc>
          <w:tcPr>
            <w:tcW w:type="dxa" w:w="1140"/>
          </w:tcPr>
          <w:p>
            <w:pPr>
              <w:spacing w:before="0" w:after="0" w:line="245" w:lineRule="auto"/>
              <w:jc w:val="center"/>
            </w:pPr>
            <w:r/>
            <w:r>
              <w:rPr>
                <w:rFonts w:ascii="Calibri" w:hAnsi="Calibri"/>
                <w:b w:val="0"/>
                <w:i w:val="0"/>
                <w:color w:val="1D2939"/>
                <w:sz w:val="15"/>
              </w:rPr>
              <w:t>High</w:t>
            </w:r>
          </w:p>
        </w:tc>
        <w:tc>
          <w:tcPr>
            <w:tcW w:type="dxa" w:w="2520"/>
          </w:tcPr>
          <w:p>
            <w:pPr>
              <w:spacing w:before="0" w:after="0" w:line="245" w:lineRule="auto"/>
              <w:jc w:val="left"/>
            </w:pPr>
            <w:r/>
            <w:r>
              <w:rPr>
                <w:rFonts w:ascii="Calibri" w:hAnsi="Calibri"/>
                <w:b w:val="0"/>
                <w:i w:val="0"/>
                <w:color w:val="1D2939"/>
                <w:sz w:val="15"/>
              </w:rPr>
              <w:t>Chair governance reviews; approve gates and changes.</w:t>
            </w:r>
          </w:p>
        </w:tc>
      </w:tr>
      <w:tr>
        <w:trPr>
          <w:cantSplit/>
        </w:trPr>
        <w:tc>
          <w:tcPr>
            <w:tcW w:type="dxa" w:w="2160"/>
            <w:shd w:fill="EAF2F8"/>
          </w:tcPr>
          <w:p>
            <w:pPr>
              <w:spacing w:before="0" w:after="0" w:line="245" w:lineRule="auto"/>
              <w:jc w:val="left"/>
            </w:pPr>
            <w:r/>
            <w:r>
              <w:rPr>
                <w:rFonts w:ascii="Calibri" w:hAnsi="Calibri"/>
                <w:b/>
                <w:i w:val="0"/>
                <w:color w:val="1D2939"/>
                <w:sz w:val="15"/>
              </w:rPr>
              <w:t>Teaching and Learning lead</w:t>
            </w:r>
          </w:p>
        </w:tc>
        <w:tc>
          <w:tcPr>
            <w:tcW w:type="dxa" w:w="3540"/>
            <w:shd w:fill="EAF2F8"/>
          </w:tcPr>
          <w:p>
            <w:pPr>
              <w:spacing w:before="0" w:after="0" w:line="245" w:lineRule="auto"/>
              <w:jc w:val="left"/>
            </w:pPr>
            <w:r/>
            <w:r>
              <w:rPr>
                <w:rFonts w:ascii="Calibri" w:hAnsi="Calibri"/>
                <w:b w:val="0"/>
                <w:i w:val="0"/>
                <w:color w:val="1D2939"/>
                <w:sz w:val="15"/>
              </w:rPr>
              <w:t>Business owner accountable for classroom value and user acceptance.</w:t>
            </w:r>
          </w:p>
        </w:tc>
        <w:tc>
          <w:tcPr>
            <w:tcW w:type="dxa" w:w="1140"/>
            <w:shd w:fill="EAF2F8"/>
          </w:tcPr>
          <w:p>
            <w:pPr>
              <w:spacing w:before="0" w:after="0" w:line="245" w:lineRule="auto"/>
              <w:jc w:val="center"/>
            </w:pPr>
            <w:r/>
            <w:r>
              <w:rPr>
                <w:rFonts w:ascii="Calibri" w:hAnsi="Calibri"/>
                <w:b w:val="0"/>
                <w:i w:val="0"/>
                <w:color w:val="1D2939"/>
                <w:sz w:val="15"/>
              </w:rPr>
              <w:t>High</w:t>
            </w:r>
          </w:p>
        </w:tc>
        <w:tc>
          <w:tcPr>
            <w:tcW w:type="dxa" w:w="2520"/>
            <w:shd w:fill="EAF2F8"/>
          </w:tcPr>
          <w:p>
            <w:pPr>
              <w:spacing w:before="0" w:after="0" w:line="245" w:lineRule="auto"/>
              <w:jc w:val="left"/>
            </w:pPr>
            <w:r/>
            <w:r>
              <w:rPr>
                <w:rFonts w:ascii="Calibri" w:hAnsi="Calibri"/>
                <w:b w:val="0"/>
                <w:i w:val="0"/>
                <w:color w:val="1D2939"/>
                <w:sz w:val="15"/>
              </w:rPr>
              <w:t>Confirm needs; accept pilot readiness and outcomes.</w:t>
            </w:r>
          </w:p>
        </w:tc>
      </w:tr>
      <w:tr>
        <w:trPr>
          <w:cantSplit/>
        </w:trPr>
        <w:tc>
          <w:tcPr>
            <w:tcW w:type="dxa" w:w="2160"/>
          </w:tcPr>
          <w:p>
            <w:pPr>
              <w:spacing w:before="0" w:after="0" w:line="245" w:lineRule="auto"/>
              <w:jc w:val="left"/>
            </w:pPr>
            <w:r/>
            <w:r>
              <w:rPr>
                <w:rFonts w:ascii="Calibri" w:hAnsi="Calibri"/>
                <w:b/>
                <w:i w:val="0"/>
                <w:color w:val="1D2939"/>
                <w:sz w:val="15"/>
              </w:rPr>
              <w:t>Temiko Machavariani</w:t>
            </w:r>
          </w:p>
        </w:tc>
        <w:tc>
          <w:tcPr>
            <w:tcW w:type="dxa" w:w="3540"/>
          </w:tcPr>
          <w:p>
            <w:pPr>
              <w:spacing w:before="0" w:after="0" w:line="245" w:lineRule="auto"/>
              <w:jc w:val="left"/>
            </w:pPr>
            <w:r/>
            <w:r>
              <w:rPr>
                <w:rFonts w:ascii="Calibri" w:hAnsi="Calibri"/>
                <w:b w:val="0"/>
                <w:i w:val="0"/>
                <w:color w:val="1D2939"/>
                <w:sz w:val="15"/>
              </w:rPr>
              <w:t>Technical lead and prototype coordinator; owns technical quality.</w:t>
            </w:r>
          </w:p>
        </w:tc>
        <w:tc>
          <w:tcPr>
            <w:tcW w:type="dxa" w:w="1140"/>
          </w:tcPr>
          <w:p>
            <w:pPr>
              <w:spacing w:before="0" w:after="0" w:line="245" w:lineRule="auto"/>
              <w:jc w:val="center"/>
            </w:pPr>
            <w:r/>
            <w:r>
              <w:rPr>
                <w:rFonts w:ascii="Calibri" w:hAnsi="Calibri"/>
                <w:b w:val="0"/>
                <w:i w:val="0"/>
                <w:color w:val="1D2939"/>
                <w:sz w:val="15"/>
              </w:rPr>
              <w:t>High</w:t>
            </w:r>
          </w:p>
        </w:tc>
        <w:tc>
          <w:tcPr>
            <w:tcW w:type="dxa" w:w="2520"/>
          </w:tcPr>
          <w:p>
            <w:pPr>
              <w:spacing w:before="0" w:after="0" w:line="245" w:lineRule="auto"/>
              <w:jc w:val="left"/>
            </w:pPr>
            <w:r/>
            <w:r>
              <w:rPr>
                <w:rFonts w:ascii="Calibri" w:hAnsi="Calibri"/>
                <w:b w:val="0"/>
                <w:i w:val="0"/>
                <w:color w:val="1D2939"/>
                <w:sz w:val="15"/>
              </w:rPr>
              <w:t>Lead design, testing, fixes, and technical evidence.</w:t>
            </w:r>
          </w:p>
        </w:tc>
      </w:tr>
      <w:tr>
        <w:trPr>
          <w:cantSplit/>
        </w:trPr>
        <w:tc>
          <w:tcPr>
            <w:tcW w:type="dxa" w:w="2160"/>
            <w:shd w:fill="EAF2F8"/>
          </w:tcPr>
          <w:p>
            <w:pPr>
              <w:spacing w:before="0" w:after="0" w:line="245" w:lineRule="auto"/>
              <w:jc w:val="left"/>
            </w:pPr>
            <w:r/>
            <w:r>
              <w:rPr>
                <w:rFonts w:ascii="Calibri" w:hAnsi="Calibri"/>
                <w:b/>
                <w:i w:val="0"/>
                <w:color w:val="1D2939"/>
                <w:sz w:val="15"/>
              </w:rPr>
              <w:t>Nurtore Arynuruly</w:t>
            </w:r>
          </w:p>
        </w:tc>
        <w:tc>
          <w:tcPr>
            <w:tcW w:type="dxa" w:w="3540"/>
            <w:shd w:fill="EAF2F8"/>
          </w:tcPr>
          <w:p>
            <w:pPr>
              <w:spacing w:before="0" w:after="0" w:line="245" w:lineRule="auto"/>
              <w:jc w:val="left"/>
            </w:pPr>
            <w:r/>
            <w:r>
              <w:rPr>
                <w:rFonts w:ascii="Calibri" w:hAnsi="Calibri"/>
                <w:b w:val="0"/>
                <w:i w:val="0"/>
                <w:color w:val="1D2939"/>
                <w:sz w:val="15"/>
              </w:rPr>
              <w:t>Project manager and business analyst; controls delivery and reporting.</w:t>
            </w:r>
          </w:p>
        </w:tc>
        <w:tc>
          <w:tcPr>
            <w:tcW w:type="dxa" w:w="1140"/>
            <w:shd w:fill="EAF2F8"/>
          </w:tcPr>
          <w:p>
            <w:pPr>
              <w:spacing w:before="0" w:after="0" w:line="245" w:lineRule="auto"/>
              <w:jc w:val="center"/>
            </w:pPr>
            <w:r/>
            <w:r>
              <w:rPr>
                <w:rFonts w:ascii="Calibri" w:hAnsi="Calibri"/>
                <w:b w:val="0"/>
                <w:i w:val="0"/>
                <w:color w:val="1D2939"/>
                <w:sz w:val="15"/>
              </w:rPr>
              <w:t>High</w:t>
            </w:r>
          </w:p>
        </w:tc>
        <w:tc>
          <w:tcPr>
            <w:tcW w:type="dxa" w:w="2520"/>
            <w:shd w:fill="EAF2F8"/>
          </w:tcPr>
          <w:p>
            <w:pPr>
              <w:spacing w:before="0" w:after="0" w:line="245" w:lineRule="auto"/>
              <w:jc w:val="left"/>
            </w:pPr>
            <w:r/>
            <w:r>
              <w:rPr>
                <w:rFonts w:ascii="Calibri" w:hAnsi="Calibri"/>
                <w:b w:val="0"/>
                <w:i w:val="0"/>
                <w:color w:val="1D2939"/>
                <w:sz w:val="15"/>
              </w:rPr>
              <w:t>Coordinate team, decisions, issues, and stakeholder work.</w:t>
            </w:r>
          </w:p>
        </w:tc>
      </w:tr>
      <w:tr>
        <w:trPr>
          <w:cantSplit/>
        </w:trPr>
        <w:tc>
          <w:tcPr>
            <w:tcW w:type="dxa" w:w="2160"/>
          </w:tcPr>
          <w:p>
            <w:pPr>
              <w:spacing w:before="0" w:after="0" w:line="245" w:lineRule="auto"/>
              <w:jc w:val="left"/>
            </w:pPr>
            <w:r/>
            <w:r>
              <w:rPr>
                <w:rFonts w:ascii="Calibri" w:hAnsi="Calibri"/>
                <w:b/>
                <w:i w:val="0"/>
                <w:color w:val="1D2939"/>
                <w:sz w:val="15"/>
              </w:rPr>
              <w:t>Pilot instructors</w:t>
            </w:r>
          </w:p>
        </w:tc>
        <w:tc>
          <w:tcPr>
            <w:tcW w:type="dxa" w:w="3540"/>
          </w:tcPr>
          <w:p>
            <w:pPr>
              <w:spacing w:before="0" w:after="0" w:line="245" w:lineRule="auto"/>
              <w:jc w:val="left"/>
            </w:pPr>
            <w:r/>
            <w:r>
              <w:rPr>
                <w:rFonts w:ascii="Calibri" w:hAnsi="Calibri"/>
                <w:b w:val="0"/>
                <w:i w:val="0"/>
                <w:color w:val="1D2939"/>
                <w:sz w:val="15"/>
              </w:rPr>
              <w:t>Primary operators who manage the speaking queue and room session.</w:t>
            </w:r>
          </w:p>
        </w:tc>
        <w:tc>
          <w:tcPr>
            <w:tcW w:type="dxa" w:w="1140"/>
          </w:tcPr>
          <w:p>
            <w:pPr>
              <w:spacing w:before="0" w:after="0" w:line="245" w:lineRule="auto"/>
              <w:jc w:val="center"/>
            </w:pPr>
            <w:r/>
            <w:r>
              <w:rPr>
                <w:rFonts w:ascii="Calibri" w:hAnsi="Calibri"/>
                <w:b w:val="0"/>
                <w:i w:val="0"/>
                <w:color w:val="1D2939"/>
                <w:sz w:val="15"/>
              </w:rPr>
              <w:t>Med high</w:t>
            </w:r>
          </w:p>
        </w:tc>
        <w:tc>
          <w:tcPr>
            <w:tcW w:type="dxa" w:w="2520"/>
          </w:tcPr>
          <w:p>
            <w:pPr>
              <w:spacing w:before="0" w:after="0" w:line="245" w:lineRule="auto"/>
              <w:jc w:val="left"/>
            </w:pPr>
            <w:r/>
            <w:r>
              <w:rPr>
                <w:rFonts w:ascii="Calibri" w:hAnsi="Calibri"/>
                <w:b w:val="0"/>
                <w:i w:val="0"/>
                <w:color w:val="1D2939"/>
                <w:sz w:val="15"/>
              </w:rPr>
              <w:t>Co-design controls; test; provide weekly feedback.</w:t>
            </w:r>
          </w:p>
        </w:tc>
      </w:tr>
      <w:tr>
        <w:trPr>
          <w:cantSplit/>
        </w:trPr>
        <w:tc>
          <w:tcPr>
            <w:tcW w:type="dxa" w:w="2160"/>
            <w:shd w:fill="EAF2F8"/>
          </w:tcPr>
          <w:p>
            <w:pPr>
              <w:spacing w:before="0" w:after="0" w:line="245" w:lineRule="auto"/>
              <w:jc w:val="left"/>
            </w:pPr>
            <w:r/>
            <w:r>
              <w:rPr>
                <w:rFonts w:ascii="Calibri" w:hAnsi="Calibri"/>
                <w:b/>
                <w:i w:val="0"/>
                <w:color w:val="1D2939"/>
                <w:sz w:val="15"/>
              </w:rPr>
              <w:t>Students</w:t>
            </w:r>
          </w:p>
        </w:tc>
        <w:tc>
          <w:tcPr>
            <w:tcW w:type="dxa" w:w="3540"/>
            <w:shd w:fill="EAF2F8"/>
          </w:tcPr>
          <w:p>
            <w:pPr>
              <w:spacing w:before="0" w:after="0" w:line="245" w:lineRule="auto"/>
              <w:jc w:val="left"/>
            </w:pPr>
            <w:r/>
            <w:r>
              <w:rPr>
                <w:rFonts w:ascii="Calibri" w:hAnsi="Calibri"/>
                <w:b w:val="0"/>
                <w:i w:val="0"/>
                <w:color w:val="1D2939"/>
                <w:sz w:val="15"/>
              </w:rPr>
              <w:t>Primary speakers and listeners; need simple access, audibility, and privacy.</w:t>
            </w:r>
          </w:p>
        </w:tc>
        <w:tc>
          <w:tcPr>
            <w:tcW w:type="dxa" w:w="1140"/>
            <w:shd w:fill="EAF2F8"/>
          </w:tcPr>
          <w:p>
            <w:pPr>
              <w:spacing w:before="0" w:after="0" w:line="245" w:lineRule="auto"/>
              <w:jc w:val="center"/>
            </w:pPr>
            <w:r/>
            <w:r>
              <w:rPr>
                <w:rFonts w:ascii="Calibri" w:hAnsi="Calibri"/>
                <w:b w:val="0"/>
                <w:i w:val="0"/>
                <w:color w:val="1D2939"/>
                <w:sz w:val="15"/>
              </w:rPr>
              <w:t>Medium</w:t>
            </w:r>
          </w:p>
        </w:tc>
        <w:tc>
          <w:tcPr>
            <w:tcW w:type="dxa" w:w="2520"/>
            <w:shd w:fill="EAF2F8"/>
          </w:tcPr>
          <w:p>
            <w:pPr>
              <w:spacing w:before="0" w:after="0" w:line="245" w:lineRule="auto"/>
              <w:jc w:val="left"/>
            </w:pPr>
            <w:r/>
            <w:r>
              <w:rPr>
                <w:rFonts w:ascii="Calibri" w:hAnsi="Calibri"/>
                <w:b w:val="0"/>
                <w:i w:val="0"/>
                <w:color w:val="1D2939"/>
                <w:sz w:val="15"/>
              </w:rPr>
              <w:t>Short briefing, consent notice, pulse surveys, support channel.</w:t>
            </w:r>
          </w:p>
        </w:tc>
      </w:tr>
      <w:tr>
        <w:trPr>
          <w:cantSplit/>
        </w:trPr>
        <w:tc>
          <w:tcPr>
            <w:tcW w:type="dxa" w:w="2160"/>
          </w:tcPr>
          <w:p>
            <w:pPr>
              <w:spacing w:before="0" w:after="0" w:line="245" w:lineRule="auto"/>
              <w:jc w:val="left"/>
            </w:pPr>
            <w:r/>
            <w:r>
              <w:rPr>
                <w:rFonts w:ascii="Calibri" w:hAnsi="Calibri"/>
                <w:b/>
                <w:i w:val="0"/>
                <w:color w:val="1D2939"/>
                <w:sz w:val="15"/>
              </w:rPr>
              <w:t>IT and classroom AV</w:t>
            </w:r>
          </w:p>
        </w:tc>
        <w:tc>
          <w:tcPr>
            <w:tcW w:type="dxa" w:w="3540"/>
          </w:tcPr>
          <w:p>
            <w:pPr>
              <w:spacing w:before="0" w:after="0" w:line="245" w:lineRule="auto"/>
              <w:jc w:val="left"/>
            </w:pPr>
            <w:r/>
            <w:r>
              <w:rPr>
                <w:rFonts w:ascii="Calibri" w:hAnsi="Calibri"/>
                <w:b w:val="0"/>
                <w:i w:val="0"/>
                <w:color w:val="1D2939"/>
                <w:sz w:val="15"/>
              </w:rPr>
              <w:t>Validate network, browser, sound-system compatibility, and supportability.</w:t>
            </w:r>
          </w:p>
        </w:tc>
        <w:tc>
          <w:tcPr>
            <w:tcW w:type="dxa" w:w="1140"/>
          </w:tcPr>
          <w:p>
            <w:pPr>
              <w:spacing w:before="0" w:after="0" w:line="245" w:lineRule="auto"/>
              <w:jc w:val="center"/>
            </w:pPr>
            <w:r/>
            <w:r>
              <w:rPr>
                <w:rFonts w:ascii="Calibri" w:hAnsi="Calibri"/>
                <w:b w:val="0"/>
                <w:i w:val="0"/>
                <w:color w:val="1D2939"/>
                <w:sz w:val="15"/>
              </w:rPr>
              <w:t>High</w:t>
            </w:r>
          </w:p>
        </w:tc>
        <w:tc>
          <w:tcPr>
            <w:tcW w:type="dxa" w:w="2520"/>
          </w:tcPr>
          <w:p>
            <w:pPr>
              <w:spacing w:before="0" w:after="0" w:line="245" w:lineRule="auto"/>
              <w:jc w:val="left"/>
            </w:pPr>
            <w:r/>
            <w:r>
              <w:rPr>
                <w:rFonts w:ascii="Calibri" w:hAnsi="Calibri"/>
                <w:b w:val="0"/>
                <w:i w:val="0"/>
                <w:color w:val="1D2939"/>
                <w:sz w:val="15"/>
              </w:rPr>
              <w:t>Technical review before pilot; on-call during pilot sessions.</w:t>
            </w:r>
          </w:p>
        </w:tc>
      </w:tr>
      <w:tr>
        <w:trPr>
          <w:cantSplit/>
        </w:trPr>
        <w:tc>
          <w:tcPr>
            <w:tcW w:type="dxa" w:w="2160"/>
            <w:shd w:fill="EAF2F8"/>
          </w:tcPr>
          <w:p>
            <w:pPr>
              <w:spacing w:before="0" w:after="0" w:line="245" w:lineRule="auto"/>
              <w:jc w:val="left"/>
            </w:pPr>
            <w:r/>
            <w:r>
              <w:rPr>
                <w:rFonts w:ascii="Calibri" w:hAnsi="Calibri"/>
                <w:b/>
                <w:i w:val="0"/>
                <w:color w:val="1D2939"/>
                <w:sz w:val="15"/>
              </w:rPr>
              <w:t>Cybersecurity and privacy</w:t>
            </w:r>
          </w:p>
        </w:tc>
        <w:tc>
          <w:tcPr>
            <w:tcW w:type="dxa" w:w="3540"/>
            <w:shd w:fill="EAF2F8"/>
          </w:tcPr>
          <w:p>
            <w:pPr>
              <w:spacing w:before="0" w:after="0" w:line="245" w:lineRule="auto"/>
              <w:jc w:val="left"/>
            </w:pPr>
            <w:r/>
            <w:r>
              <w:rPr>
                <w:rFonts w:ascii="Calibri" w:hAnsi="Calibri"/>
                <w:b w:val="0"/>
                <w:i w:val="0"/>
                <w:color w:val="1D2939"/>
                <w:sz w:val="15"/>
              </w:rPr>
              <w:t>Review microphone permissions, data flow, access, retention, and incidents.</w:t>
            </w:r>
          </w:p>
        </w:tc>
        <w:tc>
          <w:tcPr>
            <w:tcW w:type="dxa" w:w="1140"/>
            <w:shd w:fill="EAF2F8"/>
          </w:tcPr>
          <w:p>
            <w:pPr>
              <w:spacing w:before="0" w:after="0" w:line="245" w:lineRule="auto"/>
              <w:jc w:val="center"/>
            </w:pPr>
            <w:r/>
            <w:r>
              <w:rPr>
                <w:rFonts w:ascii="Calibri" w:hAnsi="Calibri"/>
                <w:b w:val="0"/>
                <w:i w:val="0"/>
                <w:color w:val="1D2939"/>
                <w:sz w:val="15"/>
              </w:rPr>
              <w:t>High</w:t>
            </w:r>
          </w:p>
        </w:tc>
        <w:tc>
          <w:tcPr>
            <w:tcW w:type="dxa" w:w="2520"/>
            <w:shd w:fill="EAF2F8"/>
          </w:tcPr>
          <w:p>
            <w:pPr>
              <w:spacing w:before="0" w:after="0" w:line="245" w:lineRule="auto"/>
              <w:jc w:val="left"/>
            </w:pPr>
            <w:r/>
            <w:r>
              <w:rPr>
                <w:rFonts w:ascii="Calibri" w:hAnsi="Calibri"/>
                <w:b w:val="0"/>
                <w:i w:val="0"/>
                <w:color w:val="1D2939"/>
                <w:sz w:val="15"/>
              </w:rPr>
              <w:t>Mandatory design and pre-pilot control gates.</w:t>
            </w:r>
          </w:p>
        </w:tc>
      </w:tr>
      <w:tr>
        <w:trPr>
          <w:cantSplit/>
        </w:trPr>
        <w:tc>
          <w:tcPr>
            <w:tcW w:type="dxa" w:w="2160"/>
          </w:tcPr>
          <w:p>
            <w:pPr>
              <w:spacing w:before="0" w:after="0" w:line="245" w:lineRule="auto"/>
              <w:jc w:val="left"/>
            </w:pPr>
            <w:r/>
            <w:r>
              <w:rPr>
                <w:rFonts w:ascii="Calibri" w:hAnsi="Calibri"/>
                <w:b/>
                <w:i w:val="0"/>
                <w:color w:val="1D2939"/>
                <w:sz w:val="15"/>
              </w:rPr>
              <w:t>Accessibility services</w:t>
            </w:r>
          </w:p>
        </w:tc>
        <w:tc>
          <w:tcPr>
            <w:tcW w:type="dxa" w:w="3540"/>
          </w:tcPr>
          <w:p>
            <w:pPr>
              <w:spacing w:before="0" w:after="0" w:line="245" w:lineRule="auto"/>
              <w:jc w:val="left"/>
            </w:pPr>
            <w:r/>
            <w:r>
              <w:rPr>
                <w:rFonts w:ascii="Calibri" w:hAnsi="Calibri"/>
                <w:b w:val="0"/>
                <w:i w:val="0"/>
                <w:color w:val="1D2939"/>
                <w:sz w:val="15"/>
              </w:rPr>
              <w:t>Ensure students with hearing, speech, mobility, or device barriers are included.</w:t>
            </w:r>
          </w:p>
        </w:tc>
        <w:tc>
          <w:tcPr>
            <w:tcW w:type="dxa" w:w="1140"/>
          </w:tcPr>
          <w:p>
            <w:pPr>
              <w:spacing w:before="0" w:after="0" w:line="245" w:lineRule="auto"/>
              <w:jc w:val="center"/>
            </w:pPr>
            <w:r/>
            <w:r>
              <w:rPr>
                <w:rFonts w:ascii="Calibri" w:hAnsi="Calibri"/>
                <w:b w:val="0"/>
                <w:i w:val="0"/>
                <w:color w:val="1D2939"/>
                <w:sz w:val="15"/>
              </w:rPr>
              <w:t>Medium</w:t>
            </w:r>
          </w:p>
        </w:tc>
        <w:tc>
          <w:tcPr>
            <w:tcW w:type="dxa" w:w="2520"/>
          </w:tcPr>
          <w:p>
            <w:pPr>
              <w:spacing w:before="0" w:after="0" w:line="245" w:lineRule="auto"/>
              <w:jc w:val="left"/>
            </w:pPr>
            <w:r/>
            <w:r>
              <w:rPr>
                <w:rFonts w:ascii="Calibri" w:hAnsi="Calibri"/>
                <w:b w:val="0"/>
                <w:i w:val="0"/>
                <w:color w:val="1D2939"/>
                <w:sz w:val="15"/>
              </w:rPr>
              <w:t>Review interaction design and fallback process.</w:t>
            </w:r>
          </w:p>
        </w:tc>
      </w:tr>
      <w:tr>
        <w:trPr>
          <w:cantSplit/>
        </w:trPr>
        <w:tc>
          <w:tcPr>
            <w:tcW w:type="dxa" w:w="2160"/>
            <w:shd w:fill="EAF2F8"/>
          </w:tcPr>
          <w:p>
            <w:pPr>
              <w:spacing w:before="0" w:after="0" w:line="245" w:lineRule="auto"/>
              <w:jc w:val="left"/>
            </w:pPr>
            <w:r/>
            <w:r>
              <w:rPr>
                <w:rFonts w:ascii="Calibri" w:hAnsi="Calibri"/>
                <w:b/>
                <w:i w:val="0"/>
                <w:color w:val="1D2939"/>
                <w:sz w:val="15"/>
              </w:rPr>
              <w:t>Finance and procurement</w:t>
            </w:r>
          </w:p>
        </w:tc>
        <w:tc>
          <w:tcPr>
            <w:tcW w:type="dxa" w:w="3540"/>
            <w:shd w:fill="EAF2F8"/>
          </w:tcPr>
          <w:p>
            <w:pPr>
              <w:spacing w:before="0" w:after="0" w:line="245" w:lineRule="auto"/>
              <w:jc w:val="left"/>
            </w:pPr>
            <w:r/>
            <w:r>
              <w:rPr>
                <w:rFonts w:ascii="Calibri" w:hAnsi="Calibri"/>
                <w:b w:val="0"/>
                <w:i w:val="0"/>
                <w:color w:val="1D2939"/>
                <w:sz w:val="15"/>
              </w:rPr>
              <w:t>Monitor the authorization ceiling and any external service commitments.</w:t>
            </w:r>
          </w:p>
        </w:tc>
        <w:tc>
          <w:tcPr>
            <w:tcW w:type="dxa" w:w="1140"/>
            <w:shd w:fill="EAF2F8"/>
          </w:tcPr>
          <w:p>
            <w:pPr>
              <w:spacing w:before="0" w:after="0" w:line="245" w:lineRule="auto"/>
              <w:jc w:val="center"/>
            </w:pPr>
            <w:r/>
            <w:r>
              <w:rPr>
                <w:rFonts w:ascii="Calibri" w:hAnsi="Calibri"/>
                <w:b w:val="0"/>
                <w:i w:val="0"/>
                <w:color w:val="1D2939"/>
                <w:sz w:val="15"/>
              </w:rPr>
              <w:t>Medium</w:t>
            </w:r>
          </w:p>
        </w:tc>
        <w:tc>
          <w:tcPr>
            <w:tcW w:type="dxa" w:w="2520"/>
            <w:shd w:fill="EAF2F8"/>
          </w:tcPr>
          <w:p>
            <w:pPr>
              <w:spacing w:before="0" w:after="0" w:line="245" w:lineRule="auto"/>
              <w:jc w:val="left"/>
            </w:pPr>
            <w:r/>
            <w:r>
              <w:rPr>
                <w:rFonts w:ascii="Calibri" w:hAnsi="Calibri"/>
                <w:b w:val="0"/>
                <w:i w:val="0"/>
                <w:color w:val="1D2939"/>
                <w:sz w:val="15"/>
              </w:rPr>
              <w:t>Review purchases and forecast exceptions.</w:t>
            </w:r>
          </w:p>
        </w:tc>
      </w:tr>
    </w:tbl>
    <w:p>
      <w:pPr>
        <w:pStyle w:val="Heading1"/>
      </w:pPr>
      <w:r>
        <w:t>6 Governance structure and decision rights</w:t>
      </w:r>
    </w:p>
    <w:p>
      <w:pPr>
        <w:keepNext w:val="0"/>
        <w:spacing w:before="0" w:after="80" w:line="259" w:lineRule="auto"/>
        <w:jc w:val="left"/>
      </w:pPr>
      <w:r>
        <w:rPr>
          <w:rFonts w:ascii="Calibri" w:hAnsi="Calibri"/>
          <w:b w:val="0"/>
          <w:i w:val="0"/>
          <w:color w:val="1D2939"/>
          <w:sz w:val="18"/>
        </w:rPr>
        <w:t>The Dean of Academic Affairs retains accountability for authorization and exceptions. The project manager may run day-to-day delivery inside the approved purpose, scope, 14-week window, and AED 60,000 ceiling.</w:t>
      </w:r>
    </w:p>
    <w:tbl>
      <w:tblPr>
        <w:tblW w:type="dxa" w:w="936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400"/>
        <w:gridCol w:w="4320"/>
        <w:gridCol w:w="2640"/>
      </w:tblGrid>
      <w:tr>
        <w:trPr>
          <w:tblHeader w:val="true"/>
          <w:cantSplit/>
        </w:trPr>
        <w:tc>
          <w:tcPr>
            <w:tcW w:type="dxa" w:w="2400"/>
            <w:tcMar>
              <w:top w:w="80" w:type="dxa"/>
              <w:start w:w="110" w:type="dxa"/>
              <w:bottom w:w="80" w:type="dxa"/>
              <w:end w:w="110" w:type="dxa"/>
            </w:tcMar>
            <w:vAlign w:val="center"/>
            <w:shd w:fill="17365D"/>
          </w:tcPr>
          <w:p>
            <w:pPr>
              <w:spacing w:before="0" w:after="0" w:line="245" w:lineRule="auto"/>
              <w:jc w:val="left"/>
            </w:pPr>
            <w:r/>
            <w:r>
              <w:rPr>
                <w:rFonts w:ascii="Calibri" w:hAnsi="Calibri"/>
                <w:b/>
                <w:i w:val="0"/>
                <w:color w:val="FFFFFF"/>
                <w:sz w:val="16"/>
              </w:rPr>
              <w:t>Governance body or role</w:t>
            </w:r>
          </w:p>
        </w:tc>
        <w:tc>
          <w:tcPr>
            <w:tcW w:type="dxa" w:w="4320"/>
            <w:tcMar>
              <w:top w:w="80" w:type="dxa"/>
              <w:start w:w="110" w:type="dxa"/>
              <w:bottom w:w="80" w:type="dxa"/>
              <w:end w:w="110" w:type="dxa"/>
            </w:tcMar>
            <w:vAlign w:val="center"/>
            <w:shd w:fill="17365D"/>
          </w:tcPr>
          <w:p>
            <w:pPr>
              <w:spacing w:before="0" w:after="0" w:line="245" w:lineRule="auto"/>
              <w:jc w:val="center"/>
            </w:pPr>
            <w:r/>
            <w:r>
              <w:rPr>
                <w:rFonts w:ascii="Calibri" w:hAnsi="Calibri"/>
                <w:b/>
                <w:i w:val="0"/>
                <w:color w:val="FFFFFF"/>
                <w:sz w:val="16"/>
              </w:rPr>
              <w:t>Decision rights</w:t>
            </w:r>
          </w:p>
        </w:tc>
        <w:tc>
          <w:tcPr>
            <w:tcW w:type="dxa" w:w="2640"/>
            <w:tcMar>
              <w:top w:w="80" w:type="dxa"/>
              <w:start w:w="110" w:type="dxa"/>
              <w:bottom w:w="80" w:type="dxa"/>
              <w:end w:w="110" w:type="dxa"/>
            </w:tcMar>
            <w:vAlign w:val="center"/>
            <w:shd w:fill="17365D"/>
          </w:tcPr>
          <w:p>
            <w:pPr>
              <w:spacing w:before="0" w:after="0" w:line="245" w:lineRule="auto"/>
              <w:jc w:val="center"/>
            </w:pPr>
            <w:r/>
            <w:r>
              <w:rPr>
                <w:rFonts w:ascii="Calibri" w:hAnsi="Calibri"/>
                <w:b/>
                <w:i w:val="0"/>
                <w:color w:val="FFFFFF"/>
                <w:sz w:val="16"/>
              </w:rPr>
              <w:t>Cadence</w:t>
            </w:r>
          </w:p>
        </w:tc>
      </w:tr>
      <w:tr>
        <w:trPr>
          <w:cantSplit/>
        </w:trPr>
        <w:tc>
          <w:tcPr>
            <w:tcW w:type="dxa" w:w="2400"/>
          </w:tcPr>
          <w:p>
            <w:pPr>
              <w:spacing w:before="0" w:after="0" w:line="245" w:lineRule="auto"/>
              <w:jc w:val="left"/>
            </w:pPr>
            <w:r/>
            <w:r>
              <w:rPr>
                <w:rFonts w:ascii="Calibri" w:hAnsi="Calibri"/>
                <w:b/>
                <w:i w:val="0"/>
                <w:color w:val="1D2939"/>
                <w:sz w:val="16"/>
              </w:rPr>
              <w:t>Dean of Academic Affairs</w:t>
            </w:r>
          </w:p>
        </w:tc>
        <w:tc>
          <w:tcPr>
            <w:tcW w:type="dxa" w:w="4320"/>
          </w:tcPr>
          <w:p>
            <w:pPr>
              <w:spacing w:before="0" w:after="0" w:line="245" w:lineRule="auto"/>
              <w:jc w:val="left"/>
            </w:pPr>
            <w:r/>
            <w:r>
              <w:rPr>
                <w:rFonts w:ascii="Calibri" w:hAnsi="Calibri"/>
                <w:b w:val="0"/>
                <w:i w:val="0"/>
                <w:color w:val="1D2939"/>
                <w:sz w:val="16"/>
              </w:rPr>
              <w:t>Approves charter, funding ceiling, material changes, risk exceptions, and final disposition.</w:t>
            </w:r>
          </w:p>
        </w:tc>
        <w:tc>
          <w:tcPr>
            <w:tcW w:type="dxa" w:w="2640"/>
          </w:tcPr>
          <w:p>
            <w:pPr>
              <w:spacing w:before="0" w:after="0" w:line="245" w:lineRule="auto"/>
              <w:jc w:val="center"/>
            </w:pPr>
            <w:r/>
            <w:r>
              <w:rPr>
                <w:rFonts w:ascii="Calibri" w:hAnsi="Calibri"/>
                <w:b w:val="0"/>
                <w:i w:val="0"/>
                <w:color w:val="1D2939"/>
                <w:sz w:val="16"/>
              </w:rPr>
              <w:t>Kickoff, stage gates, and escalations</w:t>
            </w:r>
          </w:p>
        </w:tc>
      </w:tr>
      <w:tr>
        <w:trPr>
          <w:cantSplit/>
        </w:trPr>
        <w:tc>
          <w:tcPr>
            <w:tcW w:type="dxa" w:w="2400"/>
            <w:shd w:fill="F3F4F6"/>
          </w:tcPr>
          <w:p>
            <w:pPr>
              <w:spacing w:before="0" w:after="0" w:line="245" w:lineRule="auto"/>
              <w:jc w:val="left"/>
            </w:pPr>
            <w:r/>
            <w:r>
              <w:rPr>
                <w:rFonts w:ascii="Calibri" w:hAnsi="Calibri"/>
                <w:b/>
                <w:i w:val="0"/>
                <w:color w:val="1D2939"/>
                <w:sz w:val="16"/>
              </w:rPr>
              <w:t>Steering group</w:t>
            </w:r>
          </w:p>
        </w:tc>
        <w:tc>
          <w:tcPr>
            <w:tcW w:type="dxa" w:w="4320"/>
            <w:shd w:fill="F3F4F6"/>
          </w:tcPr>
          <w:p>
            <w:pPr>
              <w:spacing w:before="0" w:after="0" w:line="245" w:lineRule="auto"/>
              <w:jc w:val="left"/>
            </w:pPr>
            <w:r/>
            <w:r>
              <w:rPr>
                <w:rFonts w:ascii="Calibri" w:hAnsi="Calibri"/>
                <w:b w:val="0"/>
                <w:i w:val="0"/>
                <w:color w:val="1D2939"/>
                <w:sz w:val="16"/>
              </w:rPr>
              <w:t>Sponsor, business owner, project manager, technical lead, IT or AV, and privacy representative review status and recommend decisions.</w:t>
            </w:r>
          </w:p>
        </w:tc>
        <w:tc>
          <w:tcPr>
            <w:tcW w:type="dxa" w:w="2640"/>
            <w:shd w:fill="F3F4F6"/>
          </w:tcPr>
          <w:p>
            <w:pPr>
              <w:spacing w:before="0" w:after="0" w:line="245" w:lineRule="auto"/>
              <w:jc w:val="center"/>
            </w:pPr>
            <w:r/>
            <w:r>
              <w:rPr>
                <w:rFonts w:ascii="Calibri" w:hAnsi="Calibri"/>
                <w:b w:val="0"/>
                <w:i w:val="0"/>
                <w:color w:val="1D2939"/>
                <w:sz w:val="16"/>
              </w:rPr>
              <w:t>Every two weeks</w:t>
            </w:r>
          </w:p>
        </w:tc>
      </w:tr>
      <w:tr>
        <w:trPr>
          <w:cantSplit/>
        </w:trPr>
        <w:tc>
          <w:tcPr>
            <w:tcW w:type="dxa" w:w="2400"/>
          </w:tcPr>
          <w:p>
            <w:pPr>
              <w:spacing w:before="0" w:after="0" w:line="245" w:lineRule="auto"/>
              <w:jc w:val="left"/>
            </w:pPr>
            <w:r/>
            <w:r>
              <w:rPr>
                <w:rFonts w:ascii="Calibri" w:hAnsi="Calibri"/>
                <w:b/>
                <w:i w:val="0"/>
                <w:color w:val="1D2939"/>
                <w:sz w:val="16"/>
              </w:rPr>
              <w:t>Business owner</w:t>
            </w:r>
          </w:p>
        </w:tc>
        <w:tc>
          <w:tcPr>
            <w:tcW w:type="dxa" w:w="4320"/>
          </w:tcPr>
          <w:p>
            <w:pPr>
              <w:spacing w:before="0" w:after="0" w:line="245" w:lineRule="auto"/>
              <w:jc w:val="left"/>
            </w:pPr>
            <w:r/>
            <w:r>
              <w:rPr>
                <w:rFonts w:ascii="Calibri" w:hAnsi="Calibri"/>
                <w:b w:val="0"/>
                <w:i w:val="0"/>
                <w:color w:val="1D2939"/>
                <w:sz w:val="16"/>
              </w:rPr>
              <w:t>Prioritizes business needs, accepts classroom workflow, and confirms benefits evidence.</w:t>
            </w:r>
          </w:p>
        </w:tc>
        <w:tc>
          <w:tcPr>
            <w:tcW w:type="dxa" w:w="2640"/>
          </w:tcPr>
          <w:p>
            <w:pPr>
              <w:spacing w:before="0" w:after="0" w:line="245" w:lineRule="auto"/>
              <w:jc w:val="center"/>
            </w:pPr>
            <w:r/>
            <w:r>
              <w:rPr>
                <w:rFonts w:ascii="Calibri" w:hAnsi="Calibri"/>
                <w:b w:val="0"/>
                <w:i w:val="0"/>
                <w:color w:val="1D2939"/>
                <w:sz w:val="16"/>
              </w:rPr>
              <w:t>Weekly with project manager</w:t>
            </w:r>
          </w:p>
        </w:tc>
      </w:tr>
      <w:tr>
        <w:trPr>
          <w:cantSplit/>
        </w:trPr>
        <w:tc>
          <w:tcPr>
            <w:tcW w:type="dxa" w:w="2400"/>
            <w:shd w:fill="F3F4F6"/>
          </w:tcPr>
          <w:p>
            <w:pPr>
              <w:spacing w:before="0" w:after="0" w:line="245" w:lineRule="auto"/>
              <w:jc w:val="left"/>
            </w:pPr>
            <w:r/>
            <w:r>
              <w:rPr>
                <w:rFonts w:ascii="Calibri" w:hAnsi="Calibri"/>
                <w:b/>
                <w:i w:val="0"/>
                <w:color w:val="1D2939"/>
                <w:sz w:val="16"/>
              </w:rPr>
              <w:t>Project manager</w:t>
            </w:r>
          </w:p>
        </w:tc>
        <w:tc>
          <w:tcPr>
            <w:tcW w:type="dxa" w:w="4320"/>
            <w:shd w:fill="F3F4F6"/>
          </w:tcPr>
          <w:p>
            <w:pPr>
              <w:spacing w:before="0" w:after="0" w:line="245" w:lineRule="auto"/>
              <w:jc w:val="left"/>
            </w:pPr>
            <w:r/>
            <w:r>
              <w:rPr>
                <w:rFonts w:ascii="Calibri" w:hAnsi="Calibri"/>
                <w:b w:val="0"/>
                <w:i w:val="0"/>
                <w:color w:val="1D2939"/>
                <w:sz w:val="16"/>
              </w:rPr>
              <w:t>Controls work, assignments, issue log, and minor clarifications that do not alter baselines or controls.</w:t>
            </w:r>
          </w:p>
        </w:tc>
        <w:tc>
          <w:tcPr>
            <w:tcW w:type="dxa" w:w="2640"/>
            <w:shd w:fill="F3F4F6"/>
          </w:tcPr>
          <w:p>
            <w:pPr>
              <w:spacing w:before="0" w:after="0" w:line="245" w:lineRule="auto"/>
              <w:jc w:val="center"/>
            </w:pPr>
            <w:r/>
            <w:r>
              <w:rPr>
                <w:rFonts w:ascii="Calibri" w:hAnsi="Calibri"/>
                <w:b w:val="0"/>
                <w:i w:val="0"/>
                <w:color w:val="1D2939"/>
                <w:sz w:val="16"/>
              </w:rPr>
              <w:t>Continuous; weekly report</w:t>
            </w:r>
          </w:p>
        </w:tc>
      </w:tr>
      <w:tr>
        <w:trPr>
          <w:cantSplit/>
        </w:trPr>
        <w:tc>
          <w:tcPr>
            <w:tcW w:type="dxa" w:w="2400"/>
          </w:tcPr>
          <w:p>
            <w:pPr>
              <w:spacing w:before="0" w:after="0" w:line="245" w:lineRule="auto"/>
              <w:jc w:val="left"/>
            </w:pPr>
            <w:r/>
            <w:r>
              <w:rPr>
                <w:rFonts w:ascii="Calibri" w:hAnsi="Calibri"/>
                <w:b/>
                <w:i w:val="0"/>
                <w:color w:val="1D2939"/>
                <w:sz w:val="16"/>
              </w:rPr>
              <w:t>Technical and control owners</w:t>
            </w:r>
          </w:p>
        </w:tc>
        <w:tc>
          <w:tcPr>
            <w:tcW w:type="dxa" w:w="4320"/>
          </w:tcPr>
          <w:p>
            <w:pPr>
              <w:spacing w:before="0" w:after="0" w:line="245" w:lineRule="auto"/>
              <w:jc w:val="left"/>
            </w:pPr>
            <w:r/>
            <w:r>
              <w:rPr>
                <w:rFonts w:ascii="Calibri" w:hAnsi="Calibri"/>
                <w:b w:val="0"/>
                <w:i w:val="0"/>
                <w:color w:val="1D2939"/>
                <w:sz w:val="16"/>
              </w:rPr>
              <w:t>Technical lead proposes designs; IT, AV, privacy, and security approve readiness in their control areas.</w:t>
            </w:r>
          </w:p>
        </w:tc>
        <w:tc>
          <w:tcPr>
            <w:tcW w:type="dxa" w:w="2640"/>
          </w:tcPr>
          <w:p>
            <w:pPr>
              <w:spacing w:before="0" w:after="0" w:line="245" w:lineRule="auto"/>
              <w:jc w:val="center"/>
            </w:pPr>
            <w:r/>
            <w:r>
              <w:rPr>
                <w:rFonts w:ascii="Calibri" w:hAnsi="Calibri"/>
                <w:b w:val="0"/>
                <w:i w:val="0"/>
                <w:color w:val="1D2939"/>
                <w:sz w:val="16"/>
              </w:rPr>
              <w:t>Design gate and pre-pilot gate</w:t>
            </w:r>
          </w:p>
        </w:tc>
      </w:tr>
    </w:tbl>
    <w:p>
      <w:pPr>
        <w:pStyle w:val="Heading1"/>
      </w:pPr>
      <w:r>
        <w:t>7 Governance decision framework</w:t>
      </w:r>
    </w:p>
    <w:tbl>
      <w:tblPr>
        <w:tblW w:type="dxa" w:w="936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160"/>
        <w:gridCol w:w="2460"/>
        <w:gridCol w:w="2340"/>
        <w:gridCol w:w="2400"/>
      </w:tblGrid>
      <w:tr>
        <w:trPr>
          <w:tblHeader w:val="true"/>
          <w:cantSplit/>
        </w:trPr>
        <w:tc>
          <w:tcPr>
            <w:tcW w:type="dxa" w:w="2160"/>
            <w:tcMar>
              <w:top w:w="80" w:type="dxa"/>
              <w:start w:w="110" w:type="dxa"/>
              <w:bottom w:w="80" w:type="dxa"/>
              <w:end w:w="110" w:type="dxa"/>
            </w:tcMar>
            <w:vAlign w:val="center"/>
            <w:shd w:fill="17365D"/>
          </w:tcPr>
          <w:p>
            <w:pPr>
              <w:spacing w:before="0" w:after="0" w:line="245" w:lineRule="auto"/>
              <w:jc w:val="left"/>
            </w:pPr>
            <w:r/>
            <w:r>
              <w:rPr>
                <w:rFonts w:ascii="Calibri" w:hAnsi="Calibri"/>
                <w:b/>
                <w:i w:val="0"/>
                <w:color w:val="FFFFFF"/>
                <w:sz w:val="15"/>
              </w:rPr>
              <w:t>Decision</w:t>
            </w:r>
          </w:p>
        </w:tc>
        <w:tc>
          <w:tcPr>
            <w:tcW w:type="dxa" w:w="2460"/>
            <w:tcMar>
              <w:top w:w="80" w:type="dxa"/>
              <w:start w:w="110" w:type="dxa"/>
              <w:bottom w:w="80" w:type="dxa"/>
              <w:end w:w="110" w:type="dxa"/>
            </w:tcMar>
            <w:vAlign w:val="center"/>
            <w:shd w:fill="17365D"/>
          </w:tcPr>
          <w:p>
            <w:pPr>
              <w:spacing w:before="0" w:after="0" w:line="245" w:lineRule="auto"/>
              <w:jc w:val="center"/>
            </w:pPr>
            <w:r/>
            <w:r>
              <w:rPr>
                <w:rFonts w:ascii="Calibri" w:hAnsi="Calibri"/>
                <w:b/>
                <w:i w:val="0"/>
                <w:color w:val="FFFFFF"/>
                <w:sz w:val="15"/>
              </w:rPr>
              <w:t>Recommends</w:t>
            </w:r>
          </w:p>
        </w:tc>
        <w:tc>
          <w:tcPr>
            <w:tcW w:type="dxa" w:w="2340"/>
            <w:tcMar>
              <w:top w:w="80" w:type="dxa"/>
              <w:start w:w="110" w:type="dxa"/>
              <w:bottom w:w="80" w:type="dxa"/>
              <w:end w:w="110" w:type="dxa"/>
            </w:tcMar>
            <w:vAlign w:val="center"/>
            <w:shd w:fill="17365D"/>
          </w:tcPr>
          <w:p>
            <w:pPr>
              <w:spacing w:before="0" w:after="0" w:line="245" w:lineRule="auto"/>
              <w:jc w:val="center"/>
            </w:pPr>
            <w:r/>
            <w:r>
              <w:rPr>
                <w:rFonts w:ascii="Calibri" w:hAnsi="Calibri"/>
                <w:b/>
                <w:i w:val="0"/>
                <w:color w:val="FFFFFF"/>
                <w:sz w:val="15"/>
              </w:rPr>
              <w:t>Approves</w:t>
            </w:r>
          </w:p>
        </w:tc>
        <w:tc>
          <w:tcPr>
            <w:tcW w:type="dxa" w:w="2400"/>
            <w:tcMar>
              <w:top w:w="80" w:type="dxa"/>
              <w:start w:w="110" w:type="dxa"/>
              <w:bottom w:w="80" w:type="dxa"/>
              <w:end w:w="110" w:type="dxa"/>
            </w:tcMar>
            <w:vAlign w:val="center"/>
            <w:shd w:fill="17365D"/>
          </w:tcPr>
          <w:p>
            <w:pPr>
              <w:spacing w:before="0" w:after="0" w:line="245" w:lineRule="auto"/>
              <w:jc w:val="center"/>
            </w:pPr>
            <w:r/>
            <w:r>
              <w:rPr>
                <w:rFonts w:ascii="Calibri" w:hAnsi="Calibri"/>
                <w:b/>
                <w:i w:val="0"/>
                <w:color w:val="FFFFFF"/>
                <w:sz w:val="15"/>
              </w:rPr>
              <w:t>Required record</w:t>
            </w:r>
          </w:p>
        </w:tc>
      </w:tr>
      <w:tr>
        <w:trPr>
          <w:cantSplit/>
        </w:trPr>
        <w:tc>
          <w:tcPr>
            <w:tcW w:type="dxa" w:w="2160"/>
          </w:tcPr>
          <w:p>
            <w:pPr>
              <w:spacing w:before="0" w:after="0" w:line="245" w:lineRule="auto"/>
              <w:jc w:val="left"/>
            </w:pPr>
            <w:r/>
            <w:r>
              <w:rPr>
                <w:rFonts w:ascii="Calibri" w:hAnsi="Calibri"/>
                <w:b/>
                <w:i w:val="0"/>
                <w:color w:val="1D2939"/>
                <w:sz w:val="15"/>
              </w:rPr>
              <w:t>Routine work and issue response</w:t>
            </w:r>
          </w:p>
        </w:tc>
        <w:tc>
          <w:tcPr>
            <w:tcW w:type="dxa" w:w="2460"/>
          </w:tcPr>
          <w:p>
            <w:pPr>
              <w:spacing w:before="0" w:after="0" w:line="245" w:lineRule="auto"/>
              <w:jc w:val="center"/>
            </w:pPr>
            <w:r/>
            <w:r>
              <w:rPr>
                <w:rFonts w:ascii="Calibri" w:hAnsi="Calibri"/>
                <w:b w:val="0"/>
                <w:i w:val="0"/>
                <w:color w:val="1D2939"/>
                <w:sz w:val="15"/>
              </w:rPr>
              <w:t>Project team</w:t>
            </w:r>
          </w:p>
        </w:tc>
        <w:tc>
          <w:tcPr>
            <w:tcW w:type="dxa" w:w="2340"/>
          </w:tcPr>
          <w:p>
            <w:pPr>
              <w:spacing w:before="0" w:after="0" w:line="245" w:lineRule="auto"/>
              <w:jc w:val="center"/>
            </w:pPr>
            <w:r/>
            <w:r>
              <w:rPr>
                <w:rFonts w:ascii="Calibri" w:hAnsi="Calibri"/>
                <w:b w:val="0"/>
                <w:i w:val="0"/>
                <w:color w:val="1D2939"/>
                <w:sz w:val="15"/>
              </w:rPr>
              <w:t>Project manager</w:t>
            </w:r>
          </w:p>
        </w:tc>
        <w:tc>
          <w:tcPr>
            <w:tcW w:type="dxa" w:w="2400"/>
          </w:tcPr>
          <w:p>
            <w:pPr>
              <w:spacing w:before="0" w:after="0" w:line="245" w:lineRule="auto"/>
              <w:jc w:val="left"/>
            </w:pPr>
            <w:r/>
            <w:r>
              <w:rPr>
                <w:rFonts w:ascii="Calibri" w:hAnsi="Calibri"/>
                <w:b w:val="0"/>
                <w:i w:val="0"/>
                <w:color w:val="1D2939"/>
                <w:sz w:val="15"/>
              </w:rPr>
              <w:t>Task or issue log</w:t>
            </w:r>
          </w:p>
        </w:tc>
      </w:tr>
      <w:tr>
        <w:trPr>
          <w:cantSplit/>
        </w:trPr>
        <w:tc>
          <w:tcPr>
            <w:tcW w:type="dxa" w:w="2160"/>
            <w:shd w:fill="EAF2F8"/>
          </w:tcPr>
          <w:p>
            <w:pPr>
              <w:spacing w:before="0" w:after="0" w:line="245" w:lineRule="auto"/>
              <w:jc w:val="left"/>
            </w:pPr>
            <w:r/>
            <w:r>
              <w:rPr>
                <w:rFonts w:ascii="Calibri" w:hAnsi="Calibri"/>
                <w:b/>
                <w:i w:val="0"/>
                <w:color w:val="1D2939"/>
                <w:sz w:val="15"/>
              </w:rPr>
              <w:t>Requirement priority within scope</w:t>
            </w:r>
          </w:p>
        </w:tc>
        <w:tc>
          <w:tcPr>
            <w:tcW w:type="dxa" w:w="2460"/>
            <w:shd w:fill="EAF2F8"/>
          </w:tcPr>
          <w:p>
            <w:pPr>
              <w:spacing w:before="0" w:after="0" w:line="245" w:lineRule="auto"/>
              <w:jc w:val="center"/>
            </w:pPr>
            <w:r/>
            <w:r>
              <w:rPr>
                <w:rFonts w:ascii="Calibri" w:hAnsi="Calibri"/>
                <w:b w:val="0"/>
                <w:i w:val="0"/>
                <w:color w:val="1D2939"/>
                <w:sz w:val="15"/>
              </w:rPr>
              <w:t>Instructors and students</w:t>
            </w:r>
          </w:p>
        </w:tc>
        <w:tc>
          <w:tcPr>
            <w:tcW w:type="dxa" w:w="2340"/>
            <w:shd w:fill="EAF2F8"/>
          </w:tcPr>
          <w:p>
            <w:pPr>
              <w:spacing w:before="0" w:after="0" w:line="245" w:lineRule="auto"/>
              <w:jc w:val="center"/>
            </w:pPr>
            <w:r/>
            <w:r>
              <w:rPr>
                <w:rFonts w:ascii="Calibri" w:hAnsi="Calibri"/>
                <w:b w:val="0"/>
                <w:i w:val="0"/>
                <w:color w:val="1D2939"/>
                <w:sz w:val="15"/>
              </w:rPr>
              <w:t>Business owner</w:t>
            </w:r>
          </w:p>
        </w:tc>
        <w:tc>
          <w:tcPr>
            <w:tcW w:type="dxa" w:w="2400"/>
            <w:shd w:fill="EAF2F8"/>
          </w:tcPr>
          <w:p>
            <w:pPr>
              <w:spacing w:before="0" w:after="0" w:line="245" w:lineRule="auto"/>
              <w:jc w:val="left"/>
            </w:pPr>
            <w:r/>
            <w:r>
              <w:rPr>
                <w:rFonts w:ascii="Calibri" w:hAnsi="Calibri"/>
                <w:b w:val="0"/>
                <w:i w:val="0"/>
                <w:color w:val="1D2939"/>
                <w:sz w:val="15"/>
              </w:rPr>
              <w:t>Decision log</w:t>
            </w:r>
          </w:p>
        </w:tc>
      </w:tr>
      <w:tr>
        <w:trPr>
          <w:cantSplit/>
        </w:trPr>
        <w:tc>
          <w:tcPr>
            <w:tcW w:type="dxa" w:w="2160"/>
          </w:tcPr>
          <w:p>
            <w:pPr>
              <w:spacing w:before="0" w:after="0" w:line="245" w:lineRule="auto"/>
              <w:jc w:val="left"/>
            </w:pPr>
            <w:r/>
            <w:r>
              <w:rPr>
                <w:rFonts w:ascii="Calibri" w:hAnsi="Calibri"/>
                <w:b/>
                <w:i w:val="0"/>
                <w:color w:val="1D2939"/>
                <w:sz w:val="15"/>
              </w:rPr>
              <w:t>Technical design within controls</w:t>
            </w:r>
          </w:p>
        </w:tc>
        <w:tc>
          <w:tcPr>
            <w:tcW w:type="dxa" w:w="2460"/>
          </w:tcPr>
          <w:p>
            <w:pPr>
              <w:spacing w:before="0" w:after="0" w:line="245" w:lineRule="auto"/>
              <w:jc w:val="center"/>
            </w:pPr>
            <w:r/>
            <w:r>
              <w:rPr>
                <w:rFonts w:ascii="Calibri" w:hAnsi="Calibri"/>
                <w:b w:val="0"/>
                <w:i w:val="0"/>
                <w:color w:val="1D2939"/>
                <w:sz w:val="15"/>
              </w:rPr>
              <w:t>Technical lead</w:t>
            </w:r>
          </w:p>
        </w:tc>
        <w:tc>
          <w:tcPr>
            <w:tcW w:type="dxa" w:w="2340"/>
          </w:tcPr>
          <w:p>
            <w:pPr>
              <w:spacing w:before="0" w:after="0" w:line="245" w:lineRule="auto"/>
              <w:jc w:val="center"/>
            </w:pPr>
            <w:r/>
            <w:r>
              <w:rPr>
                <w:rFonts w:ascii="Calibri" w:hAnsi="Calibri"/>
                <w:b w:val="0"/>
                <w:i w:val="0"/>
                <w:color w:val="1D2939"/>
                <w:sz w:val="15"/>
              </w:rPr>
              <w:t>Project manager plus control owner</w:t>
            </w:r>
          </w:p>
        </w:tc>
        <w:tc>
          <w:tcPr>
            <w:tcW w:type="dxa" w:w="2400"/>
          </w:tcPr>
          <w:p>
            <w:pPr>
              <w:spacing w:before="0" w:after="0" w:line="245" w:lineRule="auto"/>
              <w:jc w:val="left"/>
            </w:pPr>
            <w:r/>
            <w:r>
              <w:rPr>
                <w:rFonts w:ascii="Calibri" w:hAnsi="Calibri"/>
                <w:b w:val="0"/>
                <w:i w:val="0"/>
                <w:color w:val="1D2939"/>
                <w:sz w:val="15"/>
              </w:rPr>
              <w:t>Test or review record</w:t>
            </w:r>
          </w:p>
        </w:tc>
      </w:tr>
      <w:tr>
        <w:trPr>
          <w:cantSplit/>
        </w:trPr>
        <w:tc>
          <w:tcPr>
            <w:tcW w:type="dxa" w:w="2160"/>
            <w:shd w:fill="EAF2F8"/>
          </w:tcPr>
          <w:p>
            <w:pPr>
              <w:spacing w:before="0" w:after="0" w:line="245" w:lineRule="auto"/>
              <w:jc w:val="left"/>
            </w:pPr>
            <w:r/>
            <w:r>
              <w:rPr>
                <w:rFonts w:ascii="Calibri" w:hAnsi="Calibri"/>
                <w:b/>
                <w:i w:val="0"/>
                <w:color w:val="1D2939"/>
                <w:sz w:val="15"/>
              </w:rPr>
              <w:t>Baseline change or major exception</w:t>
            </w:r>
          </w:p>
        </w:tc>
        <w:tc>
          <w:tcPr>
            <w:tcW w:type="dxa" w:w="2460"/>
            <w:shd w:fill="EAF2F8"/>
          </w:tcPr>
          <w:p>
            <w:pPr>
              <w:spacing w:before="0" w:after="0" w:line="245" w:lineRule="auto"/>
              <w:jc w:val="center"/>
            </w:pPr>
            <w:r/>
            <w:r>
              <w:rPr>
                <w:rFonts w:ascii="Calibri" w:hAnsi="Calibri"/>
                <w:b w:val="0"/>
                <w:i w:val="0"/>
                <w:color w:val="1D2939"/>
                <w:sz w:val="15"/>
              </w:rPr>
              <w:t>Steering group</w:t>
            </w:r>
          </w:p>
        </w:tc>
        <w:tc>
          <w:tcPr>
            <w:tcW w:type="dxa" w:w="2340"/>
            <w:shd w:fill="EAF2F8"/>
          </w:tcPr>
          <w:p>
            <w:pPr>
              <w:spacing w:before="0" w:after="0" w:line="245" w:lineRule="auto"/>
              <w:jc w:val="center"/>
            </w:pPr>
            <w:r/>
            <w:r>
              <w:rPr>
                <w:rFonts w:ascii="Calibri" w:hAnsi="Calibri"/>
                <w:b w:val="0"/>
                <w:i w:val="0"/>
                <w:color w:val="1D2939"/>
                <w:sz w:val="15"/>
              </w:rPr>
              <w:t>Dean of Academic Affairs</w:t>
            </w:r>
          </w:p>
        </w:tc>
        <w:tc>
          <w:tcPr>
            <w:tcW w:type="dxa" w:w="2400"/>
            <w:shd w:fill="EAF2F8"/>
          </w:tcPr>
          <w:p>
            <w:pPr>
              <w:spacing w:before="0" w:after="0" w:line="245" w:lineRule="auto"/>
              <w:jc w:val="left"/>
            </w:pPr>
            <w:r/>
            <w:r>
              <w:rPr>
                <w:rFonts w:ascii="Calibri" w:hAnsi="Calibri"/>
                <w:b w:val="0"/>
                <w:i w:val="0"/>
                <w:color w:val="1D2939"/>
                <w:sz w:val="15"/>
              </w:rPr>
              <w:t>Signed change decision</w:t>
            </w:r>
          </w:p>
        </w:tc>
      </w:tr>
    </w:tbl>
    <w:p>
      <w:pPr>
        <w:spacing w:after="0"/>
      </w:pPr>
      <w:r>
        <w:br w:type="page"/>
      </w:r>
    </w:p>
    <w:p>
      <w:pPr>
        <w:pStyle w:val="Heading1"/>
      </w:pPr>
      <w:r>
        <w:t>8 Communication approach</w:t>
      </w:r>
    </w:p>
    <w:tbl>
      <w:tblPr>
        <w:tblW w:type="dxa" w:w="936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280"/>
        <w:gridCol w:w="2820"/>
        <w:gridCol w:w="1680"/>
        <w:gridCol w:w="2580"/>
      </w:tblGrid>
      <w:tr>
        <w:trPr>
          <w:tblHeader w:val="true"/>
          <w:cantSplit/>
        </w:trPr>
        <w:tc>
          <w:tcPr>
            <w:tcW w:type="dxa" w:w="2280"/>
            <w:tcMar>
              <w:top w:w="80" w:type="dxa"/>
              <w:start w:w="110" w:type="dxa"/>
              <w:bottom w:w="80" w:type="dxa"/>
              <w:end w:w="110" w:type="dxa"/>
            </w:tcMar>
            <w:vAlign w:val="center"/>
            <w:shd w:fill="17365D"/>
          </w:tcPr>
          <w:p>
            <w:pPr>
              <w:spacing w:before="0" w:after="0" w:line="245" w:lineRule="auto"/>
              <w:jc w:val="left"/>
            </w:pPr>
            <w:r/>
            <w:r>
              <w:rPr>
                <w:rFonts w:ascii="Calibri" w:hAnsi="Calibri"/>
                <w:b/>
                <w:i w:val="0"/>
                <w:color w:val="FFFFFF"/>
                <w:sz w:val="16"/>
              </w:rPr>
              <w:t>Audience</w:t>
            </w:r>
          </w:p>
        </w:tc>
        <w:tc>
          <w:tcPr>
            <w:tcW w:type="dxa" w:w="2820"/>
            <w:tcMar>
              <w:top w:w="80" w:type="dxa"/>
              <w:start w:w="110" w:type="dxa"/>
              <w:bottom w:w="80" w:type="dxa"/>
              <w:end w:w="110" w:type="dxa"/>
            </w:tcMar>
            <w:vAlign w:val="center"/>
            <w:shd w:fill="17365D"/>
          </w:tcPr>
          <w:p>
            <w:pPr>
              <w:spacing w:before="0" w:after="0" w:line="245" w:lineRule="auto"/>
              <w:jc w:val="center"/>
            </w:pPr>
            <w:r/>
            <w:r>
              <w:rPr>
                <w:rFonts w:ascii="Calibri" w:hAnsi="Calibri"/>
                <w:b/>
                <w:i w:val="0"/>
                <w:color w:val="FFFFFF"/>
                <w:sz w:val="16"/>
              </w:rPr>
              <w:t>Purpose and content</w:t>
            </w:r>
          </w:p>
        </w:tc>
        <w:tc>
          <w:tcPr>
            <w:tcW w:type="dxa" w:w="1680"/>
            <w:tcMar>
              <w:top w:w="80" w:type="dxa"/>
              <w:start w:w="110" w:type="dxa"/>
              <w:bottom w:w="80" w:type="dxa"/>
              <w:end w:w="110" w:type="dxa"/>
            </w:tcMar>
            <w:vAlign w:val="center"/>
            <w:shd w:fill="17365D"/>
          </w:tcPr>
          <w:p>
            <w:pPr>
              <w:spacing w:before="0" w:after="0" w:line="245" w:lineRule="auto"/>
              <w:jc w:val="center"/>
            </w:pPr>
            <w:r/>
            <w:r>
              <w:rPr>
                <w:rFonts w:ascii="Calibri" w:hAnsi="Calibri"/>
                <w:b/>
                <w:i w:val="0"/>
                <w:color w:val="FFFFFF"/>
                <w:sz w:val="16"/>
              </w:rPr>
              <w:t>Frequency</w:t>
            </w:r>
          </w:p>
        </w:tc>
        <w:tc>
          <w:tcPr>
            <w:tcW w:type="dxa" w:w="2580"/>
            <w:tcMar>
              <w:top w:w="80" w:type="dxa"/>
              <w:start w:w="110" w:type="dxa"/>
              <w:bottom w:w="80" w:type="dxa"/>
              <w:end w:w="110" w:type="dxa"/>
            </w:tcMar>
            <w:vAlign w:val="center"/>
            <w:shd w:fill="17365D"/>
          </w:tcPr>
          <w:p>
            <w:pPr>
              <w:spacing w:before="0" w:after="0" w:line="245" w:lineRule="auto"/>
              <w:jc w:val="center"/>
            </w:pPr>
            <w:r/>
            <w:r>
              <w:rPr>
                <w:rFonts w:ascii="Calibri" w:hAnsi="Calibri"/>
                <w:b/>
                <w:i w:val="0"/>
                <w:color w:val="FFFFFF"/>
                <w:sz w:val="16"/>
              </w:rPr>
              <w:t>Owner and channel</w:t>
            </w:r>
          </w:p>
        </w:tc>
      </w:tr>
      <w:tr>
        <w:trPr>
          <w:cantSplit/>
        </w:trPr>
        <w:tc>
          <w:tcPr>
            <w:tcW w:type="dxa" w:w="2280"/>
          </w:tcPr>
          <w:p>
            <w:pPr>
              <w:spacing w:before="0" w:after="0" w:line="245" w:lineRule="auto"/>
              <w:jc w:val="left"/>
            </w:pPr>
            <w:r/>
            <w:r>
              <w:rPr>
                <w:rFonts w:ascii="Calibri" w:hAnsi="Calibri"/>
                <w:b/>
                <w:i w:val="0"/>
                <w:color w:val="1D2939"/>
                <w:sz w:val="15"/>
              </w:rPr>
              <w:t>Project team</w:t>
            </w:r>
          </w:p>
        </w:tc>
        <w:tc>
          <w:tcPr>
            <w:tcW w:type="dxa" w:w="2820"/>
          </w:tcPr>
          <w:p>
            <w:pPr>
              <w:spacing w:before="0" w:after="0" w:line="245" w:lineRule="auto"/>
              <w:jc w:val="left"/>
            </w:pPr>
            <w:r/>
            <w:r>
              <w:rPr>
                <w:rFonts w:ascii="Calibri" w:hAnsi="Calibri"/>
                <w:b w:val="0"/>
                <w:i w:val="0"/>
                <w:color w:val="1D2939"/>
                <w:sz w:val="15"/>
              </w:rPr>
              <w:t>Actions, blockers, test evidence, and next priorities.</w:t>
            </w:r>
          </w:p>
        </w:tc>
        <w:tc>
          <w:tcPr>
            <w:tcW w:type="dxa" w:w="1680"/>
          </w:tcPr>
          <w:p>
            <w:pPr>
              <w:spacing w:before="0" w:after="0" w:line="245" w:lineRule="auto"/>
              <w:jc w:val="center"/>
            </w:pPr>
            <w:r/>
            <w:r>
              <w:rPr>
                <w:rFonts w:ascii="Calibri" w:hAnsi="Calibri"/>
                <w:b w:val="0"/>
                <w:i w:val="0"/>
                <w:color w:val="1D2939"/>
                <w:sz w:val="15"/>
              </w:rPr>
              <w:t>Weekly and as needed</w:t>
            </w:r>
          </w:p>
        </w:tc>
        <w:tc>
          <w:tcPr>
            <w:tcW w:type="dxa" w:w="2580"/>
          </w:tcPr>
          <w:p>
            <w:pPr>
              <w:spacing w:before="0" w:after="0" w:line="245" w:lineRule="auto"/>
              <w:jc w:val="left"/>
            </w:pPr>
            <w:r/>
            <w:r>
              <w:rPr>
                <w:rFonts w:ascii="Calibri" w:hAnsi="Calibri"/>
                <w:b w:val="0"/>
                <w:i w:val="0"/>
                <w:color w:val="1D2939"/>
                <w:sz w:val="15"/>
              </w:rPr>
              <w:t>Nurtore; team meeting and action log</w:t>
            </w:r>
          </w:p>
        </w:tc>
      </w:tr>
      <w:tr>
        <w:trPr>
          <w:cantSplit/>
        </w:trPr>
        <w:tc>
          <w:tcPr>
            <w:tcW w:type="dxa" w:w="2280"/>
            <w:shd w:fill="F3F4F6"/>
          </w:tcPr>
          <w:p>
            <w:pPr>
              <w:spacing w:before="0" w:after="0" w:line="245" w:lineRule="auto"/>
              <w:jc w:val="left"/>
            </w:pPr>
            <w:r/>
            <w:r>
              <w:rPr>
                <w:rFonts w:ascii="Calibri" w:hAnsi="Calibri"/>
                <w:b/>
                <w:i w:val="0"/>
                <w:color w:val="1D2939"/>
                <w:sz w:val="15"/>
              </w:rPr>
              <w:t>Business owner and pilot instructors</w:t>
            </w:r>
          </w:p>
        </w:tc>
        <w:tc>
          <w:tcPr>
            <w:tcW w:type="dxa" w:w="2820"/>
            <w:shd w:fill="F3F4F6"/>
          </w:tcPr>
          <w:p>
            <w:pPr>
              <w:spacing w:before="0" w:after="0" w:line="245" w:lineRule="auto"/>
              <w:jc w:val="left"/>
            </w:pPr>
            <w:r/>
            <w:r>
              <w:rPr>
                <w:rFonts w:ascii="Calibri" w:hAnsi="Calibri"/>
                <w:b w:val="0"/>
                <w:i w:val="0"/>
                <w:color w:val="1D2939"/>
                <w:sz w:val="15"/>
              </w:rPr>
              <w:t>Workflow decisions, readiness, adoption, and classroom feedback.</w:t>
            </w:r>
          </w:p>
        </w:tc>
        <w:tc>
          <w:tcPr>
            <w:tcW w:type="dxa" w:w="1680"/>
            <w:shd w:fill="F3F4F6"/>
          </w:tcPr>
          <w:p>
            <w:pPr>
              <w:spacing w:before="0" w:after="0" w:line="245" w:lineRule="auto"/>
              <w:jc w:val="center"/>
            </w:pPr>
            <w:r/>
            <w:r>
              <w:rPr>
                <w:rFonts w:ascii="Calibri" w:hAnsi="Calibri"/>
                <w:b w:val="0"/>
                <w:i w:val="0"/>
                <w:color w:val="1D2939"/>
                <w:sz w:val="15"/>
              </w:rPr>
              <w:t>Weekly</w:t>
            </w:r>
          </w:p>
        </w:tc>
        <w:tc>
          <w:tcPr>
            <w:tcW w:type="dxa" w:w="2580"/>
            <w:shd w:fill="F3F4F6"/>
          </w:tcPr>
          <w:p>
            <w:pPr>
              <w:spacing w:before="0" w:after="0" w:line="245" w:lineRule="auto"/>
              <w:jc w:val="left"/>
            </w:pPr>
            <w:r/>
            <w:r>
              <w:rPr>
                <w:rFonts w:ascii="Calibri" w:hAnsi="Calibri"/>
                <w:b w:val="0"/>
                <w:i w:val="0"/>
                <w:color w:val="1D2939"/>
                <w:sz w:val="15"/>
              </w:rPr>
              <w:t>Nurtore; short review and decision log</w:t>
            </w:r>
          </w:p>
        </w:tc>
      </w:tr>
      <w:tr>
        <w:trPr>
          <w:cantSplit/>
        </w:trPr>
        <w:tc>
          <w:tcPr>
            <w:tcW w:type="dxa" w:w="2280"/>
          </w:tcPr>
          <w:p>
            <w:pPr>
              <w:spacing w:before="0" w:after="0" w:line="245" w:lineRule="auto"/>
              <w:jc w:val="left"/>
            </w:pPr>
            <w:r/>
            <w:r>
              <w:rPr>
                <w:rFonts w:ascii="Calibri" w:hAnsi="Calibri"/>
                <w:b/>
                <w:i w:val="0"/>
                <w:color w:val="1D2939"/>
                <w:sz w:val="15"/>
              </w:rPr>
              <w:t>Steering group</w:t>
            </w:r>
          </w:p>
        </w:tc>
        <w:tc>
          <w:tcPr>
            <w:tcW w:type="dxa" w:w="2820"/>
          </w:tcPr>
          <w:p>
            <w:pPr>
              <w:spacing w:before="0" w:after="0" w:line="245" w:lineRule="auto"/>
              <w:jc w:val="left"/>
            </w:pPr>
            <w:r/>
            <w:r>
              <w:rPr>
                <w:rFonts w:ascii="Calibri" w:hAnsi="Calibri"/>
                <w:b w:val="0"/>
                <w:i w:val="0"/>
                <w:color w:val="1D2939"/>
                <w:sz w:val="15"/>
              </w:rPr>
              <w:t>Status against scope, time, budget, success targets, major risks, and decisions required.</w:t>
            </w:r>
          </w:p>
        </w:tc>
        <w:tc>
          <w:tcPr>
            <w:tcW w:type="dxa" w:w="1680"/>
          </w:tcPr>
          <w:p>
            <w:pPr>
              <w:spacing w:before="0" w:after="0" w:line="245" w:lineRule="auto"/>
              <w:jc w:val="center"/>
            </w:pPr>
            <w:r/>
            <w:r>
              <w:rPr>
                <w:rFonts w:ascii="Calibri" w:hAnsi="Calibri"/>
                <w:b w:val="0"/>
                <w:i w:val="0"/>
                <w:color w:val="1D2939"/>
                <w:sz w:val="15"/>
              </w:rPr>
              <w:t>Every two weeks</w:t>
            </w:r>
          </w:p>
        </w:tc>
        <w:tc>
          <w:tcPr>
            <w:tcW w:type="dxa" w:w="2580"/>
          </w:tcPr>
          <w:p>
            <w:pPr>
              <w:spacing w:before="0" w:after="0" w:line="245" w:lineRule="auto"/>
              <w:jc w:val="left"/>
            </w:pPr>
            <w:r/>
            <w:r>
              <w:rPr>
                <w:rFonts w:ascii="Calibri" w:hAnsi="Calibri"/>
                <w:b w:val="0"/>
                <w:i w:val="0"/>
                <w:color w:val="1D2939"/>
                <w:sz w:val="15"/>
              </w:rPr>
              <w:t>Nurtore; one-page status update</w:t>
            </w:r>
          </w:p>
        </w:tc>
      </w:tr>
      <w:tr>
        <w:trPr>
          <w:cantSplit/>
        </w:trPr>
        <w:tc>
          <w:tcPr>
            <w:tcW w:type="dxa" w:w="2280"/>
            <w:shd w:fill="F3F4F6"/>
          </w:tcPr>
          <w:p>
            <w:pPr>
              <w:spacing w:before="0" w:after="0" w:line="245" w:lineRule="auto"/>
              <w:jc w:val="left"/>
            </w:pPr>
            <w:r/>
            <w:r>
              <w:rPr>
                <w:rFonts w:ascii="Calibri" w:hAnsi="Calibri"/>
                <w:b/>
                <w:i w:val="0"/>
                <w:color w:val="1D2939"/>
                <w:sz w:val="15"/>
              </w:rPr>
              <w:t>IT, AV, security, and privacy</w:t>
            </w:r>
          </w:p>
        </w:tc>
        <w:tc>
          <w:tcPr>
            <w:tcW w:type="dxa" w:w="2820"/>
            <w:shd w:fill="F3F4F6"/>
          </w:tcPr>
          <w:p>
            <w:pPr>
              <w:spacing w:before="0" w:after="0" w:line="245" w:lineRule="auto"/>
              <w:jc w:val="left"/>
            </w:pPr>
            <w:r/>
            <w:r>
              <w:rPr>
                <w:rFonts w:ascii="Calibri" w:hAnsi="Calibri"/>
                <w:b w:val="0"/>
                <w:i w:val="0"/>
                <w:color w:val="1D2939"/>
                <w:sz w:val="15"/>
              </w:rPr>
              <w:t>Architecture, permission, data-flow, test, and incident evidence.</w:t>
            </w:r>
          </w:p>
        </w:tc>
        <w:tc>
          <w:tcPr>
            <w:tcW w:type="dxa" w:w="1680"/>
            <w:shd w:fill="F3F4F6"/>
          </w:tcPr>
          <w:p>
            <w:pPr>
              <w:spacing w:before="0" w:after="0" w:line="245" w:lineRule="auto"/>
              <w:jc w:val="center"/>
            </w:pPr>
            <w:r/>
            <w:r>
              <w:rPr>
                <w:rFonts w:ascii="Calibri" w:hAnsi="Calibri"/>
                <w:b w:val="0"/>
                <w:i w:val="0"/>
                <w:color w:val="1D2939"/>
                <w:sz w:val="15"/>
              </w:rPr>
              <w:t>At design and pre-pilot gates; immediately for incidents</w:t>
            </w:r>
          </w:p>
        </w:tc>
        <w:tc>
          <w:tcPr>
            <w:tcW w:type="dxa" w:w="2580"/>
            <w:shd w:fill="F3F4F6"/>
          </w:tcPr>
          <w:p>
            <w:pPr>
              <w:spacing w:before="0" w:after="0" w:line="245" w:lineRule="auto"/>
              <w:jc w:val="left"/>
            </w:pPr>
            <w:r/>
            <w:r>
              <w:rPr>
                <w:rFonts w:ascii="Calibri" w:hAnsi="Calibri"/>
                <w:b w:val="0"/>
                <w:i w:val="0"/>
                <w:color w:val="1D2939"/>
                <w:sz w:val="15"/>
              </w:rPr>
              <w:t>Temiko; review session and control record</w:t>
            </w:r>
          </w:p>
        </w:tc>
      </w:tr>
      <w:tr>
        <w:trPr>
          <w:cantSplit/>
        </w:trPr>
        <w:tc>
          <w:tcPr>
            <w:tcW w:type="dxa" w:w="2280"/>
          </w:tcPr>
          <w:p>
            <w:pPr>
              <w:spacing w:before="0" w:after="0" w:line="245" w:lineRule="auto"/>
              <w:jc w:val="left"/>
            </w:pPr>
            <w:r/>
            <w:r>
              <w:rPr>
                <w:rFonts w:ascii="Calibri" w:hAnsi="Calibri"/>
                <w:b/>
                <w:i w:val="0"/>
                <w:color w:val="1D2939"/>
                <w:sz w:val="15"/>
              </w:rPr>
              <w:t>Students</w:t>
            </w:r>
          </w:p>
        </w:tc>
        <w:tc>
          <w:tcPr>
            <w:tcW w:type="dxa" w:w="2820"/>
          </w:tcPr>
          <w:p>
            <w:pPr>
              <w:spacing w:before="0" w:after="0" w:line="245" w:lineRule="auto"/>
              <w:jc w:val="left"/>
            </w:pPr>
            <w:r/>
            <w:r>
              <w:rPr>
                <w:rFonts w:ascii="Calibri" w:hAnsi="Calibri"/>
                <w:b w:val="0"/>
                <w:i w:val="0"/>
                <w:color w:val="1D2939"/>
                <w:sz w:val="15"/>
              </w:rPr>
              <w:t>Purpose, how to join, microphone permission, no-recording rule, support, and feedback route.</w:t>
            </w:r>
          </w:p>
        </w:tc>
        <w:tc>
          <w:tcPr>
            <w:tcW w:type="dxa" w:w="1680"/>
          </w:tcPr>
          <w:p>
            <w:pPr>
              <w:spacing w:before="0" w:after="0" w:line="245" w:lineRule="auto"/>
              <w:jc w:val="center"/>
            </w:pPr>
            <w:r/>
            <w:r>
              <w:rPr>
                <w:rFonts w:ascii="Calibri" w:hAnsi="Calibri"/>
                <w:b w:val="0"/>
                <w:i w:val="0"/>
                <w:color w:val="1D2939"/>
                <w:sz w:val="15"/>
              </w:rPr>
              <w:t>At first use and end of session</w:t>
            </w:r>
          </w:p>
        </w:tc>
        <w:tc>
          <w:tcPr>
            <w:tcW w:type="dxa" w:w="2580"/>
          </w:tcPr>
          <w:p>
            <w:pPr>
              <w:spacing w:before="0" w:after="0" w:line="245" w:lineRule="auto"/>
              <w:jc w:val="left"/>
            </w:pPr>
            <w:r/>
            <w:r>
              <w:rPr>
                <w:rFonts w:ascii="Calibri" w:hAnsi="Calibri"/>
                <w:b w:val="0"/>
                <w:i w:val="0"/>
                <w:color w:val="1D2939"/>
                <w:sz w:val="15"/>
              </w:rPr>
              <w:t>Pilot instructor; on-screen notice and survey</w:t>
            </w:r>
          </w:p>
        </w:tc>
      </w:tr>
      <w:tr>
        <w:trPr>
          <w:cantSplit/>
        </w:trPr>
        <w:tc>
          <w:tcPr>
            <w:tcW w:type="dxa" w:w="2280"/>
            <w:shd w:fill="F3F4F6"/>
          </w:tcPr>
          <w:p>
            <w:pPr>
              <w:spacing w:before="0" w:after="0" w:line="245" w:lineRule="auto"/>
              <w:jc w:val="left"/>
            </w:pPr>
            <w:r/>
            <w:r>
              <w:rPr>
                <w:rFonts w:ascii="Calibri" w:hAnsi="Calibri"/>
                <w:b/>
                <w:i w:val="0"/>
                <w:color w:val="1D2939"/>
                <w:sz w:val="15"/>
              </w:rPr>
              <w:t>Dean of Academic Affairs</w:t>
            </w:r>
          </w:p>
        </w:tc>
        <w:tc>
          <w:tcPr>
            <w:tcW w:type="dxa" w:w="2820"/>
            <w:shd w:fill="F3F4F6"/>
          </w:tcPr>
          <w:p>
            <w:pPr>
              <w:spacing w:before="0" w:after="0" w:line="245" w:lineRule="auto"/>
              <w:jc w:val="left"/>
            </w:pPr>
            <w:r/>
            <w:r>
              <w:rPr>
                <w:rFonts w:ascii="Calibri" w:hAnsi="Calibri"/>
                <w:b w:val="0"/>
                <w:i w:val="0"/>
                <w:color w:val="1D2939"/>
                <w:sz w:val="15"/>
              </w:rPr>
              <w:t>Exceptions, stage-gate recommendation, and final pilot outcome.</w:t>
            </w:r>
          </w:p>
        </w:tc>
        <w:tc>
          <w:tcPr>
            <w:tcW w:type="dxa" w:w="1680"/>
            <w:shd w:fill="F3F4F6"/>
          </w:tcPr>
          <w:p>
            <w:pPr>
              <w:spacing w:before="0" w:after="0" w:line="245" w:lineRule="auto"/>
              <w:jc w:val="center"/>
            </w:pPr>
            <w:r/>
            <w:r>
              <w:rPr>
                <w:rFonts w:ascii="Calibri" w:hAnsi="Calibri"/>
                <w:b w:val="0"/>
                <w:i w:val="0"/>
                <w:color w:val="1D2939"/>
                <w:sz w:val="15"/>
              </w:rPr>
              <w:t>At gates or escalation</w:t>
            </w:r>
          </w:p>
        </w:tc>
        <w:tc>
          <w:tcPr>
            <w:tcW w:type="dxa" w:w="2580"/>
            <w:shd w:fill="F3F4F6"/>
          </w:tcPr>
          <w:p>
            <w:pPr>
              <w:spacing w:before="0" w:after="0" w:line="245" w:lineRule="auto"/>
              <w:jc w:val="left"/>
            </w:pPr>
            <w:r/>
            <w:r>
              <w:rPr>
                <w:rFonts w:ascii="Calibri" w:hAnsi="Calibri"/>
                <w:b w:val="0"/>
                <w:i w:val="0"/>
                <w:color w:val="1D2939"/>
                <w:sz w:val="15"/>
              </w:rPr>
              <w:t>Nurtore; decision brief</w:t>
            </w:r>
          </w:p>
        </w:tc>
      </w:tr>
    </w:tbl>
    <w:p>
      <w:pPr>
        <w:pStyle w:val="Heading1"/>
      </w:pPr>
      <w:r>
        <w:t>9 Escalation rules</w:t>
      </w:r>
    </w:p>
    <w:p>
      <w:pPr>
        <w:keepNext w:val="0"/>
        <w:spacing w:before="0" w:after="80" w:line="259" w:lineRule="auto"/>
        <w:jc w:val="left"/>
      </w:pPr>
      <w:r>
        <w:rPr>
          <w:rFonts w:ascii="Calibri" w:hAnsi="Calibri"/>
          <w:b w:val="0"/>
          <w:i w:val="0"/>
          <w:color w:val="667085"/>
          <w:sz w:val="18"/>
        </w:rPr>
        <w:t>Every escalation is logged with the issue, impact, options, owner, decision deadline, and final decision. No team member may trade away an approved privacy or security control to recover time or cost.</w:t>
      </w:r>
    </w:p>
    <w:tbl>
      <w:tblPr>
        <w:tblW w:type="dxa" w:w="936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500"/>
        <w:gridCol w:w="3000"/>
        <w:gridCol w:w="2940"/>
        <w:gridCol w:w="1920"/>
      </w:tblGrid>
      <w:tr>
        <w:trPr>
          <w:tblHeader w:val="true"/>
          <w:cantSplit/>
        </w:trPr>
        <w:tc>
          <w:tcPr>
            <w:tcW w:type="dxa" w:w="1500"/>
            <w:tcMar>
              <w:top w:w="80" w:type="dxa"/>
              <w:start w:w="110" w:type="dxa"/>
              <w:bottom w:w="80" w:type="dxa"/>
              <w:end w:w="110" w:type="dxa"/>
            </w:tcMar>
            <w:vAlign w:val="center"/>
            <w:shd w:fill="17365D"/>
          </w:tcPr>
          <w:p>
            <w:pPr>
              <w:spacing w:before="0" w:after="0" w:line="245" w:lineRule="auto"/>
              <w:jc w:val="left"/>
            </w:pPr>
            <w:r/>
            <w:r>
              <w:rPr>
                <w:rFonts w:ascii="Calibri" w:hAnsi="Calibri"/>
                <w:b/>
                <w:i w:val="0"/>
                <w:color w:val="FFFFFF"/>
                <w:sz w:val="16"/>
              </w:rPr>
              <w:t>Area</w:t>
            </w:r>
          </w:p>
        </w:tc>
        <w:tc>
          <w:tcPr>
            <w:tcW w:type="dxa" w:w="3000"/>
            <w:tcMar>
              <w:top w:w="80" w:type="dxa"/>
              <w:start w:w="110" w:type="dxa"/>
              <w:bottom w:w="80" w:type="dxa"/>
              <w:end w:w="110" w:type="dxa"/>
            </w:tcMar>
            <w:vAlign w:val="center"/>
            <w:shd w:fill="17365D"/>
          </w:tcPr>
          <w:p>
            <w:pPr>
              <w:spacing w:before="0" w:after="0" w:line="245" w:lineRule="auto"/>
              <w:jc w:val="center"/>
            </w:pPr>
            <w:r/>
            <w:r>
              <w:rPr>
                <w:rFonts w:ascii="Calibri" w:hAnsi="Calibri"/>
                <w:b/>
                <w:i w:val="0"/>
                <w:color w:val="FFFFFF"/>
                <w:sz w:val="16"/>
              </w:rPr>
              <w:t>Trigger</w:t>
            </w:r>
          </w:p>
        </w:tc>
        <w:tc>
          <w:tcPr>
            <w:tcW w:type="dxa" w:w="2940"/>
            <w:tcMar>
              <w:top w:w="80" w:type="dxa"/>
              <w:start w:w="110" w:type="dxa"/>
              <w:bottom w:w="80" w:type="dxa"/>
              <w:end w:w="110" w:type="dxa"/>
            </w:tcMar>
            <w:vAlign w:val="center"/>
            <w:shd w:fill="17365D"/>
          </w:tcPr>
          <w:p>
            <w:pPr>
              <w:spacing w:before="0" w:after="0" w:line="245" w:lineRule="auto"/>
              <w:jc w:val="center"/>
            </w:pPr>
            <w:r/>
            <w:r>
              <w:rPr>
                <w:rFonts w:ascii="Calibri" w:hAnsi="Calibri"/>
                <w:b/>
                <w:i w:val="0"/>
                <w:color w:val="FFFFFF"/>
                <w:sz w:val="16"/>
              </w:rPr>
              <w:t>Immediate action</w:t>
            </w:r>
          </w:p>
        </w:tc>
        <w:tc>
          <w:tcPr>
            <w:tcW w:type="dxa" w:w="1920"/>
            <w:tcMar>
              <w:top w:w="80" w:type="dxa"/>
              <w:start w:w="110" w:type="dxa"/>
              <w:bottom w:w="80" w:type="dxa"/>
              <w:end w:w="110" w:type="dxa"/>
            </w:tcMar>
            <w:vAlign w:val="center"/>
            <w:shd w:fill="17365D"/>
          </w:tcPr>
          <w:p>
            <w:pPr>
              <w:spacing w:before="0" w:after="0" w:line="245" w:lineRule="auto"/>
              <w:jc w:val="center"/>
            </w:pPr>
            <w:r/>
            <w:r>
              <w:rPr>
                <w:rFonts w:ascii="Calibri" w:hAnsi="Calibri"/>
                <w:b/>
                <w:i w:val="0"/>
                <w:color w:val="FFFFFF"/>
                <w:sz w:val="16"/>
              </w:rPr>
              <w:t>Decision authority</w:t>
            </w:r>
          </w:p>
        </w:tc>
      </w:tr>
      <w:tr>
        <w:trPr>
          <w:cantSplit/>
        </w:trPr>
        <w:tc>
          <w:tcPr>
            <w:tcW w:type="dxa" w:w="1500"/>
          </w:tcPr>
          <w:p>
            <w:pPr>
              <w:spacing w:before="0" w:after="0" w:line="245" w:lineRule="auto"/>
              <w:jc w:val="left"/>
            </w:pPr>
            <w:r/>
            <w:r>
              <w:rPr>
                <w:rFonts w:ascii="Calibri" w:hAnsi="Calibri"/>
                <w:b/>
                <w:i w:val="0"/>
                <w:color w:val="1D2939"/>
                <w:sz w:val="14"/>
              </w:rPr>
              <w:t>Scope</w:t>
            </w:r>
          </w:p>
        </w:tc>
        <w:tc>
          <w:tcPr>
            <w:tcW w:type="dxa" w:w="3000"/>
          </w:tcPr>
          <w:p>
            <w:pPr>
              <w:spacing w:before="0" w:after="0" w:line="245" w:lineRule="auto"/>
              <w:jc w:val="left"/>
            </w:pPr>
            <w:r/>
            <w:r>
              <w:rPr>
                <w:rFonts w:ascii="Calibri" w:hAnsi="Calibri"/>
                <w:b w:val="0"/>
                <w:i w:val="0"/>
                <w:color w:val="1D2939"/>
                <w:sz w:val="14"/>
              </w:rPr>
              <w:t>Change adds a user group, classroom, core feature, stored data, or alters the approved purpose.</w:t>
            </w:r>
          </w:p>
        </w:tc>
        <w:tc>
          <w:tcPr>
            <w:tcW w:type="dxa" w:w="2940"/>
          </w:tcPr>
          <w:p>
            <w:pPr>
              <w:spacing w:before="0" w:after="0" w:line="245" w:lineRule="auto"/>
              <w:jc w:val="left"/>
            </w:pPr>
            <w:r/>
            <w:r>
              <w:rPr>
                <w:rFonts w:ascii="Calibri" w:hAnsi="Calibri"/>
                <w:b w:val="0"/>
                <w:i w:val="0"/>
                <w:color w:val="1D2939"/>
                <w:sz w:val="14"/>
              </w:rPr>
              <w:t>Project manager pauses the change, documents impact on value, cost, time, and risk, and takes it to governance.</w:t>
            </w:r>
          </w:p>
        </w:tc>
        <w:tc>
          <w:tcPr>
            <w:tcW w:type="dxa" w:w="1920"/>
          </w:tcPr>
          <w:p>
            <w:pPr>
              <w:spacing w:before="0" w:after="0" w:line="245" w:lineRule="auto"/>
              <w:jc w:val="left"/>
            </w:pPr>
            <w:r/>
            <w:r>
              <w:rPr>
                <w:rFonts w:ascii="Calibri" w:hAnsi="Calibri"/>
                <w:b w:val="0"/>
                <w:i w:val="0"/>
                <w:color w:val="1D2939"/>
                <w:sz w:val="14"/>
              </w:rPr>
              <w:t>Business owner recommends; Dean approves</w:t>
            </w:r>
          </w:p>
        </w:tc>
      </w:tr>
      <w:tr>
        <w:trPr>
          <w:cantSplit/>
        </w:trPr>
        <w:tc>
          <w:tcPr>
            <w:tcW w:type="dxa" w:w="1500"/>
            <w:shd w:fill="EAF2F8"/>
          </w:tcPr>
          <w:p>
            <w:pPr>
              <w:spacing w:before="0" w:after="0" w:line="245" w:lineRule="auto"/>
              <w:jc w:val="left"/>
            </w:pPr>
            <w:r/>
            <w:r>
              <w:rPr>
                <w:rFonts w:ascii="Calibri" w:hAnsi="Calibri"/>
                <w:b/>
                <w:i w:val="0"/>
                <w:color w:val="1D2939"/>
                <w:sz w:val="14"/>
              </w:rPr>
              <w:t>Budget</w:t>
            </w:r>
          </w:p>
        </w:tc>
        <w:tc>
          <w:tcPr>
            <w:tcW w:type="dxa" w:w="3000"/>
            <w:shd w:fill="EAF2F8"/>
          </w:tcPr>
          <w:p>
            <w:pPr>
              <w:spacing w:before="0" w:after="0" w:line="245" w:lineRule="auto"/>
              <w:jc w:val="left"/>
            </w:pPr>
            <w:r/>
            <w:r>
              <w:rPr>
                <w:rFonts w:ascii="Calibri" w:hAnsi="Calibri"/>
                <w:b w:val="0"/>
                <w:i w:val="0"/>
                <w:color w:val="1D2939"/>
                <w:sz w:val="14"/>
              </w:rPr>
              <w:t>Forecast exceeds the current plan by more than 5%, or any commitment would exceed AED 60,000.</w:t>
            </w:r>
          </w:p>
        </w:tc>
        <w:tc>
          <w:tcPr>
            <w:tcW w:type="dxa" w:w="2940"/>
            <w:shd w:fill="EAF2F8"/>
          </w:tcPr>
          <w:p>
            <w:pPr>
              <w:spacing w:before="0" w:after="0" w:line="245" w:lineRule="auto"/>
              <w:jc w:val="left"/>
            </w:pPr>
            <w:r/>
            <w:r>
              <w:rPr>
                <w:rFonts w:ascii="Calibri" w:hAnsi="Calibri"/>
                <w:b w:val="0"/>
                <w:i w:val="0"/>
                <w:color w:val="1D2939"/>
                <w:sz w:val="14"/>
              </w:rPr>
              <w:t>Freeze nonessential commitments and prepare recovery or trade-off options before spending.</w:t>
            </w:r>
          </w:p>
        </w:tc>
        <w:tc>
          <w:tcPr>
            <w:tcW w:type="dxa" w:w="1920"/>
            <w:shd w:fill="EAF2F8"/>
          </w:tcPr>
          <w:p>
            <w:pPr>
              <w:spacing w:before="0" w:after="0" w:line="245" w:lineRule="auto"/>
              <w:jc w:val="left"/>
            </w:pPr>
            <w:r/>
            <w:r>
              <w:rPr>
                <w:rFonts w:ascii="Calibri" w:hAnsi="Calibri"/>
                <w:b w:val="0"/>
                <w:i w:val="0"/>
                <w:color w:val="1D2939"/>
                <w:sz w:val="14"/>
              </w:rPr>
              <w:t>Project manager within 5%; Dean above 5% or ceiling</w:t>
            </w:r>
          </w:p>
        </w:tc>
      </w:tr>
      <w:tr>
        <w:trPr>
          <w:cantSplit/>
        </w:trPr>
        <w:tc>
          <w:tcPr>
            <w:tcW w:type="dxa" w:w="1500"/>
          </w:tcPr>
          <w:p>
            <w:pPr>
              <w:spacing w:before="0" w:after="0" w:line="245" w:lineRule="auto"/>
              <w:jc w:val="left"/>
            </w:pPr>
            <w:r/>
            <w:r>
              <w:rPr>
                <w:rFonts w:ascii="Calibri" w:hAnsi="Calibri"/>
                <w:b/>
                <w:i w:val="0"/>
                <w:color w:val="1D2939"/>
                <w:sz w:val="14"/>
              </w:rPr>
              <w:t>Schedule</w:t>
            </w:r>
          </w:p>
        </w:tc>
        <w:tc>
          <w:tcPr>
            <w:tcW w:type="dxa" w:w="3000"/>
          </w:tcPr>
          <w:p>
            <w:pPr>
              <w:spacing w:before="0" w:after="0" w:line="245" w:lineRule="auto"/>
              <w:jc w:val="left"/>
            </w:pPr>
            <w:r/>
            <w:r>
              <w:rPr>
                <w:rFonts w:ascii="Calibri" w:hAnsi="Calibri"/>
                <w:b w:val="0"/>
                <w:i w:val="0"/>
                <w:color w:val="1D2939"/>
                <w:sz w:val="14"/>
              </w:rPr>
              <w:t>A milestone is forecast more than 5 business days late, or the six-week pilot window is threatened.</w:t>
            </w:r>
          </w:p>
        </w:tc>
        <w:tc>
          <w:tcPr>
            <w:tcW w:type="dxa" w:w="2940"/>
          </w:tcPr>
          <w:p>
            <w:pPr>
              <w:spacing w:before="0" w:after="0" w:line="245" w:lineRule="auto"/>
              <w:jc w:val="left"/>
            </w:pPr>
            <w:r/>
            <w:r>
              <w:rPr>
                <w:rFonts w:ascii="Calibri" w:hAnsi="Calibri"/>
                <w:b w:val="0"/>
                <w:i w:val="0"/>
                <w:color w:val="1D2939"/>
                <w:sz w:val="14"/>
              </w:rPr>
              <w:t>Replan dependencies and resources; escalate within one business day with recovery choices.</w:t>
            </w:r>
          </w:p>
        </w:tc>
        <w:tc>
          <w:tcPr>
            <w:tcW w:type="dxa" w:w="1920"/>
          </w:tcPr>
          <w:p>
            <w:pPr>
              <w:spacing w:before="0" w:after="0" w:line="245" w:lineRule="auto"/>
              <w:jc w:val="left"/>
            </w:pPr>
            <w:r/>
            <w:r>
              <w:rPr>
                <w:rFonts w:ascii="Calibri" w:hAnsi="Calibri"/>
                <w:b w:val="0"/>
                <w:i w:val="0"/>
                <w:color w:val="1D2939"/>
                <w:sz w:val="14"/>
              </w:rPr>
              <w:t>Business owner up to 5 days; Dean beyond 5 days</w:t>
            </w:r>
          </w:p>
        </w:tc>
      </w:tr>
      <w:tr>
        <w:trPr>
          <w:cantSplit/>
        </w:trPr>
        <w:tc>
          <w:tcPr>
            <w:tcW w:type="dxa" w:w="1500"/>
            <w:shd w:fill="EAF2F8"/>
          </w:tcPr>
          <w:p>
            <w:pPr>
              <w:spacing w:before="0" w:after="0" w:line="245" w:lineRule="auto"/>
              <w:jc w:val="left"/>
            </w:pPr>
            <w:r/>
            <w:r>
              <w:rPr>
                <w:rFonts w:ascii="Calibri" w:hAnsi="Calibri"/>
                <w:b/>
                <w:i w:val="0"/>
                <w:color w:val="1D2939"/>
                <w:sz w:val="14"/>
              </w:rPr>
              <w:t>Security or privacy</w:t>
            </w:r>
          </w:p>
        </w:tc>
        <w:tc>
          <w:tcPr>
            <w:tcW w:type="dxa" w:w="3000"/>
            <w:shd w:fill="EAF2F8"/>
          </w:tcPr>
          <w:p>
            <w:pPr>
              <w:spacing w:before="0" w:after="0" w:line="245" w:lineRule="auto"/>
              <w:jc w:val="left"/>
            </w:pPr>
            <w:r/>
            <w:r>
              <w:rPr>
                <w:rFonts w:ascii="Calibri" w:hAnsi="Calibri"/>
                <w:b w:val="0"/>
                <w:i w:val="0"/>
                <w:color w:val="1D2939"/>
                <w:sz w:val="14"/>
              </w:rPr>
              <w:t>Suspected unauthorized recording, access, audio retention, data exposure, or bypass of instructor control.</w:t>
            </w:r>
          </w:p>
        </w:tc>
        <w:tc>
          <w:tcPr>
            <w:tcW w:type="dxa" w:w="2940"/>
            <w:shd w:fill="EAF2F8"/>
          </w:tcPr>
          <w:p>
            <w:pPr>
              <w:spacing w:before="0" w:after="0" w:line="245" w:lineRule="auto"/>
              <w:jc w:val="left"/>
            </w:pPr>
            <w:r/>
            <w:r>
              <w:rPr>
                <w:rFonts w:ascii="Calibri" w:hAnsi="Calibri"/>
                <w:b w:val="0"/>
                <w:i w:val="0"/>
                <w:color w:val="1D2939"/>
                <w:sz w:val="14"/>
              </w:rPr>
              <w:t>Stop the affected session or feature immediately; preserve evidence; notify security and privacy within 1 hour.</w:t>
            </w:r>
          </w:p>
        </w:tc>
        <w:tc>
          <w:tcPr>
            <w:tcW w:type="dxa" w:w="1920"/>
            <w:shd w:fill="EAF2F8"/>
          </w:tcPr>
          <w:p>
            <w:pPr>
              <w:spacing w:before="0" w:after="0" w:line="245" w:lineRule="auto"/>
              <w:jc w:val="left"/>
            </w:pPr>
            <w:r/>
            <w:r>
              <w:rPr>
                <w:rFonts w:ascii="Calibri" w:hAnsi="Calibri"/>
                <w:b w:val="0"/>
                <w:i w:val="0"/>
                <w:color w:val="1D2939"/>
                <w:sz w:val="14"/>
              </w:rPr>
              <w:t>Security or privacy owner clears restart; Dean accepts any major exception</w:t>
            </w:r>
          </w:p>
        </w:tc>
      </w:tr>
      <w:tr>
        <w:trPr>
          <w:cantSplit/>
        </w:trPr>
        <w:tc>
          <w:tcPr>
            <w:tcW w:type="dxa" w:w="1500"/>
          </w:tcPr>
          <w:p>
            <w:pPr>
              <w:spacing w:before="0" w:after="0" w:line="245" w:lineRule="auto"/>
              <w:jc w:val="left"/>
            </w:pPr>
            <w:r/>
            <w:r>
              <w:rPr>
                <w:rFonts w:ascii="Calibri" w:hAnsi="Calibri"/>
                <w:b/>
                <w:i w:val="0"/>
                <w:color w:val="1D2939"/>
                <w:sz w:val="14"/>
              </w:rPr>
              <w:t>Major operational risk</w:t>
            </w:r>
          </w:p>
        </w:tc>
        <w:tc>
          <w:tcPr>
            <w:tcW w:type="dxa" w:w="3000"/>
          </w:tcPr>
          <w:p>
            <w:pPr>
              <w:spacing w:before="0" w:after="0" w:line="245" w:lineRule="auto"/>
              <w:jc w:val="left"/>
            </w:pPr>
            <w:r/>
            <w:r>
              <w:rPr>
                <w:rFonts w:ascii="Calibri" w:hAnsi="Calibri"/>
                <w:b w:val="0"/>
                <w:i w:val="0"/>
                <w:color w:val="1D2939"/>
                <w:sz w:val="14"/>
              </w:rPr>
              <w:t>Two failed classroom sessions, serious feedback or echo, support above 4 hours per room per week, or adoption below 50% after week 2.</w:t>
            </w:r>
          </w:p>
        </w:tc>
        <w:tc>
          <w:tcPr>
            <w:tcW w:type="dxa" w:w="2940"/>
          </w:tcPr>
          <w:p>
            <w:pPr>
              <w:spacing w:before="0" w:after="0" w:line="245" w:lineRule="auto"/>
              <w:jc w:val="left"/>
            </w:pPr>
            <w:r/>
            <w:r>
              <w:rPr>
                <w:rFonts w:ascii="Calibri" w:hAnsi="Calibri"/>
                <w:b w:val="0"/>
                <w:i w:val="0"/>
                <w:color w:val="1D2939"/>
                <w:sz w:val="14"/>
              </w:rPr>
              <w:t>Use the physical-room fallback, investigate cause, and review corrective action within one business day.</w:t>
            </w:r>
          </w:p>
        </w:tc>
        <w:tc>
          <w:tcPr>
            <w:tcW w:type="dxa" w:w="1920"/>
          </w:tcPr>
          <w:p>
            <w:pPr>
              <w:spacing w:before="0" w:after="0" w:line="245" w:lineRule="auto"/>
              <w:jc w:val="left"/>
            </w:pPr>
            <w:r/>
            <w:r>
              <w:rPr>
                <w:rFonts w:ascii="Calibri" w:hAnsi="Calibri"/>
                <w:b w:val="0"/>
                <w:i w:val="0"/>
                <w:color w:val="1D2939"/>
                <w:sz w:val="14"/>
              </w:rPr>
              <w:t>Steering group recommends; Dean may pause or end pilot</w:t>
            </w:r>
          </w:p>
        </w:tc>
      </w:tr>
    </w:tbl>
    <w:p>
      <w:pPr>
        <w:pStyle w:val="Heading1"/>
      </w:pPr>
      <w:r>
        <w:t>10 Constraints assumptions and principal risks</w:t>
      </w:r>
    </w:p>
    <w:p>
      <w:pPr>
        <w:keepNext w:val="0"/>
        <w:spacing w:after="60" w:line="247" w:lineRule="auto"/>
      </w:pPr>
      <w:r>
        <w:rPr>
          <w:rFonts w:ascii="Calibri" w:hAnsi="Calibri"/>
          <w:b/>
          <w:i w:val="0"/>
          <w:color w:val="1D2939"/>
          <w:sz w:val="18"/>
        </w:rPr>
        <w:t xml:space="preserve">Constraints. </w:t>
      </w:r>
      <w:r>
        <w:rPr>
          <w:rFonts w:ascii="Calibri" w:hAnsi="Calibri"/>
          <w:b w:val="0"/>
          <w:i w:val="0"/>
          <w:color w:val="1D2939"/>
          <w:sz w:val="18"/>
        </w:rPr>
        <w:t>The pilot must remain within 14 weeks, three equipped classrooms, and AED 60,000; use supported student browsers; provide a physical microphone or instructor-repeat fallback; and store no audio or transcript. The authorization ceiling is not an itemized cost baseline.</w:t>
      </w:r>
    </w:p>
    <w:p>
      <w:pPr>
        <w:keepNext w:val="0"/>
        <w:spacing w:after="60" w:line="247" w:lineRule="auto"/>
      </w:pPr>
      <w:r>
        <w:rPr>
          <w:rFonts w:ascii="Calibri" w:hAnsi="Calibri"/>
          <w:b/>
          <w:i w:val="0"/>
          <w:color w:val="1D2939"/>
          <w:sz w:val="18"/>
        </w:rPr>
        <w:t xml:space="preserve">Assumptions. </w:t>
      </w:r>
      <w:r>
        <w:rPr>
          <w:rFonts w:ascii="Calibri" w:hAnsi="Calibri"/>
          <w:b w:val="0"/>
          <w:i w:val="0"/>
          <w:color w:val="1D2939"/>
          <w:sz w:val="18"/>
        </w:rPr>
        <w:t>Pilot rooms have stable Wi-Fi and a computer connected to room speakers; most participants have a compatible phone; instructors will control the queue; IT and privacy specialists can review the pilot; and participants receive clear notice before microphone access.</w:t>
      </w:r>
    </w:p>
    <w:p>
      <w:pPr>
        <w:keepNext w:val="0"/>
        <w:spacing w:after="100" w:line="247" w:lineRule="auto"/>
      </w:pPr>
      <w:r>
        <w:rPr>
          <w:rFonts w:ascii="Calibri" w:hAnsi="Calibri"/>
          <w:b/>
          <w:i w:val="0"/>
          <w:color w:val="1D2939"/>
          <w:sz w:val="18"/>
        </w:rPr>
        <w:t xml:space="preserve">Principal risks. </w:t>
      </w:r>
      <w:r>
        <w:rPr>
          <w:rFonts w:ascii="Calibri" w:hAnsi="Calibri"/>
          <w:b w:val="0"/>
          <w:i w:val="0"/>
          <w:color w:val="1D2939"/>
          <w:sz w:val="18"/>
        </w:rPr>
        <w:t>Audio feedback, network delay, misuse, incompatible devices, low instructor adoption, and unequal phone access could reduce value. Controls include one active microphone, push to talk, pre-pilot room tests, instructor mute and end controls, a loaner or physical-mic fallback, training, and incident procedures.</w:t>
      </w:r>
    </w:p>
    <w:p>
      <w:pPr>
        <w:pStyle w:val="Heading1"/>
      </w:pPr>
      <w:r>
        <w:t>11 Project authorization</w:t>
      </w:r>
    </w:p>
    <w:p>
      <w:pPr>
        <w:keepNext w:val="0"/>
        <w:spacing w:before="0" w:after="100" w:line="259" w:lineRule="auto"/>
        <w:jc w:val="left"/>
      </w:pPr>
      <w:r>
        <w:rPr>
          <w:rFonts w:ascii="Calibri" w:hAnsi="Calibri"/>
          <w:b w:val="0"/>
          <w:i w:val="0"/>
          <w:color w:val="1D2939"/>
          <w:sz w:val="18"/>
        </w:rPr>
        <w:t>Approval authorizes the team to begin the ClassMic pilot within this charter. Any material change or major control exception requires the escalation and decision process above before implementation.</w:t>
      </w:r>
    </w:p>
    <w:tbl>
      <w:tblPr>
        <w:tblW w:type="dxa" w:w="936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00"/>
        <w:gridCol w:w="3300"/>
        <w:gridCol w:w="2760"/>
      </w:tblGrid>
      <w:tr>
        <w:trPr>
          <w:tblHeader w:val="true"/>
          <w:cantSplit/>
        </w:trPr>
        <w:tc>
          <w:tcPr>
            <w:tcW w:type="dxa" w:w="3300"/>
            <w:tcMar>
              <w:top w:w="80" w:type="dxa"/>
              <w:start w:w="110" w:type="dxa"/>
              <w:bottom w:w="80" w:type="dxa"/>
              <w:end w:w="110" w:type="dxa"/>
            </w:tcMar>
            <w:vAlign w:val="center"/>
            <w:shd w:fill="F3F4F6"/>
          </w:tcPr>
          <w:p>
            <w:pPr>
              <w:spacing w:before="0" w:after="0" w:line="245" w:lineRule="auto"/>
              <w:jc w:val="left"/>
            </w:pPr>
            <w:r/>
            <w:r>
              <w:rPr>
                <w:rFonts w:ascii="Calibri" w:hAnsi="Calibri"/>
                <w:b/>
                <w:i w:val="0"/>
                <w:color w:val="17365D"/>
                <w:sz w:val="16"/>
              </w:rPr>
              <w:t>Approval role</w:t>
            </w:r>
          </w:p>
        </w:tc>
        <w:tc>
          <w:tcPr>
            <w:tcW w:type="dxa" w:w="3300"/>
            <w:tcMar>
              <w:top w:w="80" w:type="dxa"/>
              <w:start w:w="110" w:type="dxa"/>
              <w:bottom w:w="80" w:type="dxa"/>
              <w:end w:w="110" w:type="dxa"/>
            </w:tcMar>
            <w:vAlign w:val="center"/>
            <w:shd w:fill="F3F4F6"/>
          </w:tcPr>
          <w:p>
            <w:pPr>
              <w:spacing w:before="0" w:after="0" w:line="245" w:lineRule="auto"/>
              <w:jc w:val="center"/>
            </w:pPr>
            <w:r/>
            <w:r>
              <w:rPr>
                <w:rFonts w:ascii="Calibri" w:hAnsi="Calibri"/>
                <w:b/>
                <w:i w:val="0"/>
                <w:color w:val="17365D"/>
                <w:sz w:val="16"/>
              </w:rPr>
              <w:t>Name and signature</w:t>
            </w:r>
          </w:p>
        </w:tc>
        <w:tc>
          <w:tcPr>
            <w:tcW w:type="dxa" w:w="2760"/>
            <w:tcMar>
              <w:top w:w="80" w:type="dxa"/>
              <w:start w:w="110" w:type="dxa"/>
              <w:bottom w:w="80" w:type="dxa"/>
              <w:end w:w="110" w:type="dxa"/>
            </w:tcMar>
            <w:vAlign w:val="center"/>
            <w:shd w:fill="F3F4F6"/>
          </w:tcPr>
          <w:p>
            <w:pPr>
              <w:spacing w:before="0" w:after="0" w:line="245" w:lineRule="auto"/>
              <w:jc w:val="center"/>
            </w:pPr>
            <w:r/>
            <w:r>
              <w:rPr>
                <w:rFonts w:ascii="Calibri" w:hAnsi="Calibri"/>
                <w:b/>
                <w:i w:val="0"/>
                <w:color w:val="17365D"/>
                <w:sz w:val="16"/>
              </w:rPr>
              <w:t>Date</w:t>
            </w:r>
          </w:p>
        </w:tc>
      </w:tr>
      <w:tr>
        <w:trPr>
          <w:cantSplit/>
        </w:trPr>
        <w:tc>
          <w:tcPr>
            <w:tcW w:type="dxa" w:w="3300"/>
          </w:tcPr>
          <w:p>
            <w:pPr>
              <w:spacing w:before="0" w:after="0" w:line="245" w:lineRule="auto"/>
              <w:jc w:val="left"/>
            </w:pPr>
            <w:r/>
            <w:r>
              <w:rPr>
                <w:rFonts w:ascii="Calibri" w:hAnsi="Calibri"/>
                <w:b/>
                <w:i w:val="0"/>
                <w:color w:val="1D2939"/>
                <w:sz w:val="16"/>
              </w:rPr>
              <w:t>Dean of Academic Affairs</w:t>
            </w:r>
          </w:p>
        </w:tc>
        <w:tc>
          <w:tcPr>
            <w:tcW w:type="dxa" w:w="3300"/>
          </w:tcPr>
          <w:p>
            <w:pPr>
              <w:spacing w:before="0" w:after="0" w:line="245" w:lineRule="auto"/>
              <w:jc w:val="left"/>
            </w:pPr>
            <w:r/>
            <w:r>
              <w:rPr>
                <w:rFonts w:ascii="Calibri" w:hAnsi="Calibri"/>
                <w:b w:val="0"/>
                <w:i w:val="0"/>
                <w:color w:val="1D2939"/>
                <w:sz w:val="16"/>
              </w:rPr>
              <w:t>________________________________</w:t>
            </w:r>
          </w:p>
        </w:tc>
        <w:tc>
          <w:tcPr>
            <w:tcW w:type="dxa" w:w="2760"/>
          </w:tcPr>
          <w:p>
            <w:pPr>
              <w:spacing w:before="0" w:after="0" w:line="245" w:lineRule="auto"/>
              <w:jc w:val="center"/>
            </w:pPr>
            <w:r/>
            <w:r>
              <w:rPr>
                <w:rFonts w:ascii="Calibri" w:hAnsi="Calibri"/>
                <w:b w:val="0"/>
                <w:i w:val="0"/>
                <w:color w:val="1D2939"/>
                <w:sz w:val="16"/>
              </w:rPr>
              <w:t>____________</w:t>
            </w:r>
          </w:p>
        </w:tc>
      </w:tr>
      <w:tr>
        <w:trPr>
          <w:cantSplit/>
        </w:trPr>
        <w:tc>
          <w:tcPr>
            <w:tcW w:type="dxa" w:w="3300"/>
          </w:tcPr>
          <w:p>
            <w:pPr>
              <w:spacing w:before="0" w:after="0" w:line="245" w:lineRule="auto"/>
              <w:jc w:val="left"/>
            </w:pPr>
            <w:r/>
            <w:r>
              <w:rPr>
                <w:rFonts w:ascii="Calibri" w:hAnsi="Calibri"/>
                <w:b/>
                <w:i w:val="0"/>
                <w:color w:val="1D2939"/>
                <w:sz w:val="16"/>
              </w:rPr>
              <w:t>Project manager</w:t>
            </w:r>
          </w:p>
        </w:tc>
        <w:tc>
          <w:tcPr>
            <w:tcW w:type="dxa" w:w="3300"/>
          </w:tcPr>
          <w:p>
            <w:pPr>
              <w:spacing w:before="0" w:after="0" w:line="245" w:lineRule="auto"/>
              <w:jc w:val="left"/>
            </w:pPr>
            <w:r/>
            <w:r>
              <w:rPr>
                <w:rFonts w:ascii="Calibri" w:hAnsi="Calibri"/>
                <w:b w:val="0"/>
                <w:i w:val="0"/>
                <w:color w:val="1D2939"/>
                <w:sz w:val="16"/>
              </w:rPr>
              <w:t>Nurtore Arynuruly  ____________________</w:t>
            </w:r>
          </w:p>
        </w:tc>
        <w:tc>
          <w:tcPr>
            <w:tcW w:type="dxa" w:w="2760"/>
          </w:tcPr>
          <w:p>
            <w:pPr>
              <w:spacing w:before="0" w:after="0" w:line="245" w:lineRule="auto"/>
              <w:jc w:val="center"/>
            </w:pPr>
            <w:r/>
            <w:r>
              <w:rPr>
                <w:rFonts w:ascii="Calibri" w:hAnsi="Calibri"/>
                <w:b w:val="0"/>
                <w:i w:val="0"/>
                <w:color w:val="1D2939"/>
                <w:sz w:val="16"/>
              </w:rPr>
              <w:t>____________</w:t>
            </w:r>
          </w:p>
        </w:tc>
      </w:tr>
    </w:tbl>
    <w:sectPr w:rsidR="00FC693F" w:rsidRPr="0006063C" w:rsidSect="00034616">
      <w:headerReference w:type="default" r:id="rId9"/>
      <w:footerReference w:type="default" r:id="rId10"/>
      <w:pgSz w:w="12240" w:h="15840"/>
      <w:pgMar w:top="893" w:right="1440" w:bottom="893" w:left="1440"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i w:val="0"/>
        <w:color w:val="667085"/>
        <w:sz w:val="16"/>
      </w:rPr>
      <w:t xml:space="preserve">PHASE C  |  PROJECT CHARTER     </w:t>
    </w:r>
    <w:r>
      <w:rPr>
        <w:rFonts w:ascii="Calibri" w:hAnsi="Calibri"/>
        <w:b/>
        <w:i w:val="0"/>
        <w:color w:val="667085"/>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i w:val="0"/>
        <w:color w:val="667085"/>
        <w:sz w:val="16"/>
      </w:rPr>
      <w:t>CLASSMIC  |  CLASSROOM AUDIO PILOT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color w:val="1D293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40" w:line="240" w:lineRule="auto"/>
      <w:contextualSpacing/>
    </w:pPr>
    <w:rPr>
      <w:rFonts w:asciiTheme="majorHAnsi" w:eastAsiaTheme="majorEastAsia" w:hAnsiTheme="majorHAnsi" w:cstheme="majorBidi"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ClassMic Classroom Microphone Pilot Project Charter</dc:title>
  <dc:subject>Phase C project charter and governance</dc:subject>
  <dc:creator>Temiko Machavariani and Nurtore Arynuruly</dc:creator>
  <cp:keywords>ClassMic, Phase C, project charter, governance, classroom microphone</cp:keywords>
  <dc:description>generated by python-docx</dc:description>
  <cp:lastModifiedBy/>
  <cp:revision>1</cp:revision>
  <dcterms:created xsi:type="dcterms:W3CDTF">2013-12-23T23:15:00Z</dcterms:created>
  <dcterms:modified xsi:type="dcterms:W3CDTF">2013-12-23T23:15:00Z</dcterms:modified>
  <cp:category/>
</cp:coreProperties>
</file>