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Calibri" w:hAnsi="Calibri"/>
          <w:b/>
          <w:i w:val="0"/>
          <w:color w:val="176B4D"/>
          <w:sz w:val="19"/>
        </w:rPr>
        <w:t>CONNECT THEME</w:t>
      </w:r>
    </w:p>
    <w:p>
      <w:pPr>
        <w:pStyle w:val="Title"/>
        <w:jc w:val="center"/>
        <w:pBdr>
          <w:top w:val="nil"/>
          <w:left w:val="nil"/>
          <w:bottom w:val="nil"/>
          <w:right w:val="nil"/>
          <w:between w:val="nil"/>
          <w:bar w:val="nil"/>
        </w:pBdr>
      </w:pPr>
      <w:r>
        <w:t>ClassMic Phase D Integrated Project Plan</w:t>
      </w:r>
    </w:p>
    <w:p>
      <w:pPr>
        <w:keepNext/>
        <w:spacing w:before="0" w:after="100" w:line="259" w:lineRule="auto"/>
        <w:jc w:val="center"/>
      </w:pPr>
      <w:r>
        <w:rPr>
          <w:rFonts w:ascii="Calibri" w:hAnsi="Calibri"/>
          <w:b/>
          <w:i w:val="0"/>
          <w:color w:val="000000"/>
          <w:sz w:val="25"/>
        </w:rPr>
        <w:t>Scope Schedule Cost Risk Quality and Procurement</w:t>
      </w:r>
    </w:p>
    <w:p>
      <w:pPr>
        <w:keepNext/>
        <w:spacing w:before="0" w:after="200" w:line="259" w:lineRule="auto"/>
        <w:jc w:val="center"/>
      </w:pPr>
      <w:r>
        <w:rPr>
          <w:rFonts w:ascii="Calibri" w:hAnsi="Calibri"/>
          <w:b w:val="0"/>
          <w:i w:val="0"/>
          <w:color w:val="667085"/>
          <w:sz w:val="19"/>
        </w:rPr>
        <w:t>Team members  Temiko Machavariani and Nurtore Arynuruly</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680"/>
        <w:gridCol w:w="4680"/>
      </w:tblGrid>
      <w:tr>
        <w:trPr>
          <w:cantSplit/>
          <w:cantSplit/>
          <w:tblHeader w:val="true"/>
        </w:trPr>
        <w:tc>
          <w:tcPr>
            <w:tcW w:type="dxa" w:w="4680"/>
            <w:tcMar>
              <w:top w:w="72" w:type="dxa"/>
              <w:start w:w="100" w:type="dxa"/>
              <w:bottom w:w="72" w:type="dxa"/>
              <w:end w:w="100" w:type="dxa"/>
            </w:tcMar>
            <w:vAlign w:val="center"/>
            <w:shd w:fill="F3F4F6"/>
          </w:tcPr>
          <w:p>
            <w:pPr>
              <w:spacing w:after="0"/>
            </w:pPr>
            <w:r>
              <w:rPr>
                <w:rFonts w:ascii="Calibri" w:hAnsi="Calibri"/>
                <w:b/>
                <w:i w:val="0"/>
                <w:color w:val="667085"/>
                <w:sz w:val="15"/>
              </w:rPr>
              <w:t>EXECUTIVE SPONSOR</w:t>
              <w:br/>
            </w:r>
            <w:r>
              <w:rPr>
                <w:rFonts w:ascii="Calibri" w:hAnsi="Calibri"/>
                <w:b/>
                <w:i w:val="0"/>
                <w:color w:val="17365D"/>
                <w:sz w:val="18"/>
              </w:rPr>
              <w:t>Dean of Academic Affairs</w:t>
            </w:r>
          </w:p>
        </w:tc>
        <w:tc>
          <w:tcPr>
            <w:tcW w:type="dxa" w:w="4680"/>
            <w:tcMar>
              <w:top w:w="72" w:type="dxa"/>
              <w:start w:w="100" w:type="dxa"/>
              <w:bottom w:w="72" w:type="dxa"/>
              <w:end w:w="100" w:type="dxa"/>
            </w:tcMar>
            <w:vAlign w:val="center"/>
            <w:shd w:fill="F3F4F6"/>
          </w:tcPr>
          <w:p>
            <w:pPr>
              <w:spacing w:after="0"/>
            </w:pPr>
            <w:r>
              <w:rPr>
                <w:rFonts w:ascii="Calibri" w:hAnsi="Calibri"/>
                <w:b/>
                <w:i w:val="0"/>
                <w:color w:val="667085"/>
                <w:sz w:val="15"/>
              </w:rPr>
              <w:t>PROJECT MANAGER</w:t>
              <w:br/>
            </w:r>
            <w:r>
              <w:rPr>
                <w:rFonts w:ascii="Calibri" w:hAnsi="Calibri"/>
                <w:b/>
                <w:i w:val="0"/>
                <w:color w:val="17365D"/>
                <w:sz w:val="18"/>
              </w:rPr>
              <w:t>Nurtore Arynuruly</w:t>
            </w:r>
          </w:p>
        </w:tc>
      </w:tr>
      <w:tr>
        <w:trPr>
          <w:cantSplit/>
          <w:cantSplit/>
        </w:trPr>
        <w:tc>
          <w:tcPr>
            <w:tcW w:type="dxa" w:w="4680"/>
            <w:tcMar>
              <w:top w:w="72" w:type="dxa"/>
              <w:start w:w="100" w:type="dxa"/>
              <w:bottom w:w="72" w:type="dxa"/>
              <w:end w:w="100" w:type="dxa"/>
            </w:tcMar>
            <w:vAlign w:val="center"/>
            <w:shd w:fill="F3F4F6"/>
          </w:tcPr>
          <w:p>
            <w:pPr>
              <w:spacing w:after="0"/>
            </w:pPr>
            <w:r>
              <w:rPr>
                <w:rFonts w:ascii="Calibri" w:hAnsi="Calibri"/>
                <w:b/>
                <w:i w:val="0"/>
                <w:color w:val="667085"/>
                <w:sz w:val="15"/>
              </w:rPr>
              <w:t>TECHNICAL LEAD</w:t>
              <w:br/>
            </w:r>
            <w:r>
              <w:rPr>
                <w:rFonts w:ascii="Calibri" w:hAnsi="Calibri"/>
                <w:b/>
                <w:i w:val="0"/>
                <w:color w:val="17365D"/>
                <w:sz w:val="18"/>
              </w:rPr>
              <w:t>Temiko Machavariani</w:t>
            </w:r>
          </w:p>
        </w:tc>
        <w:tc>
          <w:tcPr>
            <w:tcW w:type="dxa" w:w="4680"/>
            <w:tcMar>
              <w:top w:w="72" w:type="dxa"/>
              <w:start w:w="100" w:type="dxa"/>
              <w:bottom w:w="72" w:type="dxa"/>
              <w:end w:w="100" w:type="dxa"/>
            </w:tcMar>
            <w:vAlign w:val="center"/>
            <w:shd w:fill="F3F4F6"/>
          </w:tcPr>
          <w:p>
            <w:pPr>
              <w:spacing w:after="0"/>
            </w:pPr>
            <w:r>
              <w:rPr>
                <w:rFonts w:ascii="Calibri" w:hAnsi="Calibri"/>
                <w:b/>
                <w:i w:val="0"/>
                <w:color w:val="667085"/>
                <w:sz w:val="15"/>
              </w:rPr>
              <w:t>PLANNING BASELINE</w:t>
              <w:br/>
            </w:r>
            <w:r>
              <w:rPr>
                <w:rFonts w:ascii="Calibri" w:hAnsi="Calibri"/>
                <w:b/>
                <w:i w:val="0"/>
                <w:color w:val="17365D"/>
                <w:sz w:val="18"/>
              </w:rPr>
              <w:t>14 weeks  |  3 classrooms  |  AED 59,800</w:t>
            </w:r>
          </w:p>
        </w:tc>
      </w:tr>
    </w:tbl>
    <w:p>
      <w:pPr>
        <w:pStyle w:val="Heading1"/>
      </w:pPr>
      <w:r>
        <w:t>1 Integrated plan summary</w:t>
      </w:r>
    </w:p>
    <w:p>
      <w:pPr>
        <w:keepNext w:val="0"/>
        <w:spacing w:before="0" w:after="80" w:line="259" w:lineRule="auto"/>
        <w:jc w:val="left"/>
      </w:pPr>
      <w:r>
        <w:rPr>
          <w:rFonts w:ascii="Calibri" w:hAnsi="Calibri"/>
          <w:b w:val="0"/>
          <w:i w:val="0"/>
          <w:color w:val="1D2939"/>
          <w:sz w:val="21"/>
        </w:rPr>
        <w:t>This plan converts the approved ClassMic charter into a controlled 14-week delivery baseline. The team will define and build a browser-based, instructor-controlled phone microphone, validate it in three equipped classrooms, operate a six-week pilot, and present evidence for the Dean of Academic Affairs to close, revise, or continue the project.</w:t>
      </w:r>
    </w:p>
    <w:p>
      <w:pPr>
        <w:keepNext w:val="0"/>
        <w:spacing w:after="100" w:line="254" w:lineRule="auto"/>
      </w:pPr>
      <w:r>
        <w:rPr>
          <w:rFonts w:ascii="Calibri" w:hAnsi="Calibri"/>
          <w:b/>
          <w:i w:val="0"/>
          <w:color w:val="1D2939"/>
          <w:sz w:val="20"/>
        </w:rPr>
        <w:t xml:space="preserve">Management focus. </w:t>
      </w:r>
      <w:r>
        <w:rPr>
          <w:rFonts w:ascii="Calibri" w:hAnsi="Calibri"/>
          <w:b w:val="0"/>
          <w:i w:val="0"/>
          <w:color w:val="1D2939"/>
          <w:sz w:val="20"/>
        </w:rPr>
        <w:t>The critical management points are the privacy and architecture gate at the end of Week 3, classroom AV integration in Week 6, pilot-readiness approval at the end of Week 8, and support performance during the six-week pilot.</w:t>
      </w:r>
    </w:p>
    <w:p>
      <w:pPr>
        <w:pStyle w:val="Heading1"/>
      </w:pPr>
      <w:r>
        <w:t>2 Scope statement</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680"/>
        <w:gridCol w:w="4680"/>
      </w:tblGrid>
      <w:tr>
        <w:trPr>
          <w:tblHeader w:val="true"/>
          <w:cantSplit/>
        </w:trPr>
        <w:tc>
          <w:tcPr>
            <w:tcW w:type="dxa" w:w="468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6"/>
              </w:rPr>
              <w:t>Product scope</w:t>
            </w:r>
          </w:p>
        </w:tc>
        <w:tc>
          <w:tcPr>
            <w:tcW w:type="dxa" w:w="46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Project scope</w:t>
            </w:r>
          </w:p>
        </w:tc>
      </w:tr>
      <w:tr>
        <w:trPr>
          <w:cantSplit/>
        </w:trPr>
        <w:tc>
          <w:tcPr>
            <w:tcW w:type="dxa" w:w="4680"/>
          </w:tcPr>
          <w:p>
            <w:pPr>
              <w:spacing w:before="0" w:after="0" w:line="245" w:lineRule="auto"/>
              <w:jc w:val="left"/>
            </w:pPr>
            <w:r/>
            <w:r>
              <w:rPr>
                <w:rFonts w:ascii="Calibri" w:hAnsi="Calibri"/>
                <w:b w:val="0"/>
                <w:i w:val="0"/>
                <w:color w:val="1D2939"/>
                <w:sz w:val="16"/>
              </w:rPr>
              <w:t>A temporary browser session reached by QR code; microphone permission notice; request-to-speak queue; instructor approval, mute, and end controls; one active push-to-talk microphone; room-speaker output; automatic session timeout; operational event logging without stored audio.</w:t>
            </w:r>
          </w:p>
        </w:tc>
        <w:tc>
          <w:tcPr>
            <w:tcW w:type="dxa" w:w="4680"/>
          </w:tcPr>
          <w:p>
            <w:pPr>
              <w:spacing w:before="0" w:after="0" w:line="245" w:lineRule="auto"/>
              <w:jc w:val="left"/>
            </w:pPr>
            <w:r/>
            <w:r>
              <w:rPr>
                <w:rFonts w:ascii="Calibri" w:hAnsi="Calibri"/>
                <w:b w:val="0"/>
                <w:i w:val="0"/>
                <w:color w:val="1D2939"/>
                <w:sz w:val="16"/>
              </w:rPr>
              <w:t>Confirm requirements; design and build the focused MVP; review privacy, security, accessibility, browser, network, and AV controls; train pilot instructors; run the three-classroom pilot; measure performance and adoption; provide a final recommendation.</w:t>
            </w:r>
          </w:p>
        </w:tc>
      </w:tr>
    </w:tbl>
    <w:p>
      <w:pPr>
        <w:pStyle w:val="Heading1"/>
      </w:pPr>
      <w:r>
        <w:t>3 Scope boundaries</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680"/>
        <w:gridCol w:w="4680"/>
      </w:tblGrid>
      <w:tr>
        <w:trPr>
          <w:tblHeader w:val="true"/>
          <w:cantSplit/>
        </w:trPr>
        <w:tc>
          <w:tcPr>
            <w:tcW w:type="dxa" w:w="468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6"/>
              </w:rPr>
              <w:t>Included in Release 1</w:t>
            </w:r>
          </w:p>
        </w:tc>
        <w:tc>
          <w:tcPr>
            <w:tcW w:type="dxa" w:w="46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Excluded from Release 1</w:t>
            </w:r>
          </w:p>
        </w:tc>
      </w:tr>
      <w:tr>
        <w:trPr>
          <w:cantSplit/>
        </w:trPr>
        <w:tc>
          <w:tcPr>
            <w:tcW w:type="dxa" w:w="4680"/>
          </w:tcPr>
          <w:p>
            <w:pPr>
              <w:spacing w:before="0" w:after="0" w:line="245" w:lineRule="auto"/>
              <w:jc w:val="left"/>
            </w:pPr>
            <w:r/>
            <w:r>
              <w:rPr>
                <w:rFonts w:ascii="Calibri" w:hAnsi="Calibri"/>
                <w:b w:val="0"/>
                <w:i w:val="0"/>
                <w:color w:val="1D2939"/>
                <w:sz w:val="16"/>
              </w:rPr>
              <w:t>Three pilot classrooms; up to six instructors and 150 students; latest supported mobile browsers; basic instructor dashboard; user guidance; physical-microphone fallback; performance, support, and satisfaction measurement.</w:t>
            </w:r>
          </w:p>
        </w:tc>
        <w:tc>
          <w:tcPr>
            <w:tcW w:type="dxa" w:w="4680"/>
          </w:tcPr>
          <w:p>
            <w:pPr>
              <w:spacing w:before="0" w:after="0" w:line="245" w:lineRule="auto"/>
              <w:jc w:val="left"/>
            </w:pPr>
            <w:r/>
            <w:r>
              <w:rPr>
                <w:rFonts w:ascii="Calibri" w:hAnsi="Calibri"/>
                <w:b w:val="0"/>
                <w:i w:val="0"/>
                <w:color w:val="1D2939"/>
                <w:sz w:val="16"/>
              </w:rPr>
              <w:t>Continuous or secret recording; stored audio or transcripts; voice identification; attendance or grading from speech; simultaneous microphones; remote learning; permanent profiles; campus-wide rollout; production service-level commitments.</w:t>
            </w:r>
          </w:p>
        </w:tc>
      </w:tr>
    </w:tbl>
    <w:p>
      <w:pPr>
        <w:pStyle w:val="Heading1"/>
      </w:pPr>
      <w:r>
        <w:t>4 Constraints assumptions and dependencies</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7560"/>
      </w:tblGrid>
      <w:tr>
        <w:trPr>
          <w:tblHeader w:val="true"/>
          <w:cantSplit/>
        </w:trPr>
        <w:tc>
          <w:tcPr>
            <w:tcW w:type="dxa" w:w="18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6"/>
              </w:rPr>
              <w:t>Type</w:t>
            </w:r>
          </w:p>
        </w:tc>
        <w:tc>
          <w:tcPr>
            <w:tcW w:type="dxa" w:w="756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Planning statement</w:t>
            </w:r>
          </w:p>
        </w:tc>
      </w:tr>
      <w:tr>
        <w:trPr>
          <w:cantSplit/>
        </w:trPr>
        <w:tc>
          <w:tcPr>
            <w:tcW w:type="dxa" w:w="1800"/>
          </w:tcPr>
          <w:p>
            <w:pPr>
              <w:spacing w:before="0" w:after="0" w:line="245" w:lineRule="auto"/>
              <w:jc w:val="left"/>
            </w:pPr>
            <w:r/>
            <w:r>
              <w:rPr>
                <w:rFonts w:ascii="Calibri" w:hAnsi="Calibri"/>
                <w:b/>
                <w:i w:val="0"/>
                <w:color w:val="1D2939"/>
                <w:sz w:val="16"/>
              </w:rPr>
              <w:t>Constraints</w:t>
            </w:r>
          </w:p>
        </w:tc>
        <w:tc>
          <w:tcPr>
            <w:tcW w:type="dxa" w:w="7560"/>
          </w:tcPr>
          <w:p>
            <w:pPr>
              <w:spacing w:before="0" w:after="0" w:line="245" w:lineRule="auto"/>
              <w:jc w:val="left"/>
            </w:pPr>
            <w:r/>
            <w:r>
              <w:rPr>
                <w:rFonts w:ascii="Calibri" w:hAnsi="Calibri"/>
                <w:b w:val="0"/>
                <w:i w:val="0"/>
                <w:color w:val="1D2939"/>
                <w:sz w:val="16"/>
              </w:rPr>
              <w:t>Finish within 14 weeks and AED 60,000; use three equipped classrooms; store no audio or transcript; retain a physical-microphone fallback; do not begin the live pilot with unresolved critical security, privacy, or safety defects.</w:t>
            </w:r>
          </w:p>
        </w:tc>
      </w:tr>
      <w:tr>
        <w:trPr>
          <w:cantSplit/>
        </w:trPr>
        <w:tc>
          <w:tcPr>
            <w:tcW w:type="dxa" w:w="1800"/>
            <w:shd w:fill="EAF2F8"/>
          </w:tcPr>
          <w:p>
            <w:pPr>
              <w:spacing w:before="0" w:after="0" w:line="245" w:lineRule="auto"/>
              <w:jc w:val="left"/>
            </w:pPr>
            <w:r/>
            <w:r>
              <w:rPr>
                <w:rFonts w:ascii="Calibri" w:hAnsi="Calibri"/>
                <w:b/>
                <w:i w:val="0"/>
                <w:color w:val="1D2939"/>
                <w:sz w:val="16"/>
              </w:rPr>
              <w:t>Assumptions</w:t>
            </w:r>
          </w:p>
        </w:tc>
        <w:tc>
          <w:tcPr>
            <w:tcW w:type="dxa" w:w="7560"/>
            <w:shd w:fill="EAF2F8"/>
          </w:tcPr>
          <w:p>
            <w:pPr>
              <w:spacing w:before="0" w:after="0" w:line="245" w:lineRule="auto"/>
              <w:jc w:val="left"/>
            </w:pPr>
            <w:r/>
            <w:r>
              <w:rPr>
                <w:rFonts w:ascii="Calibri" w:hAnsi="Calibri"/>
                <w:b w:val="0"/>
                <w:i w:val="0"/>
                <w:color w:val="1D2939"/>
                <w:sz w:val="16"/>
              </w:rPr>
              <w:t>Rooms have stable Wi-Fi and a computer connected to speakers; most participants have compatible phones; instructors will control the queue; IT, AV, accessibility, and privacy specialists can support planned reviews.</w:t>
            </w:r>
          </w:p>
        </w:tc>
      </w:tr>
      <w:tr>
        <w:trPr>
          <w:cantSplit/>
        </w:trPr>
        <w:tc>
          <w:tcPr>
            <w:tcW w:type="dxa" w:w="1800"/>
          </w:tcPr>
          <w:p>
            <w:pPr>
              <w:spacing w:before="0" w:after="0" w:line="245" w:lineRule="auto"/>
              <w:jc w:val="left"/>
            </w:pPr>
            <w:r/>
            <w:r>
              <w:rPr>
                <w:rFonts w:ascii="Calibri" w:hAnsi="Calibri"/>
                <w:b/>
                <w:i w:val="0"/>
                <w:color w:val="1D2939"/>
                <w:sz w:val="16"/>
              </w:rPr>
              <w:t>Dependencies</w:t>
            </w:r>
          </w:p>
        </w:tc>
        <w:tc>
          <w:tcPr>
            <w:tcW w:type="dxa" w:w="7560"/>
          </w:tcPr>
          <w:p>
            <w:pPr>
              <w:spacing w:before="0" w:after="0" w:line="245" w:lineRule="auto"/>
              <w:jc w:val="left"/>
            </w:pPr>
            <w:r/>
            <w:r>
              <w:rPr>
                <w:rFonts w:ascii="Calibri" w:hAnsi="Calibri"/>
                <w:b w:val="0"/>
                <w:i w:val="0"/>
                <w:color w:val="1D2939"/>
                <w:sz w:val="16"/>
              </w:rPr>
              <w:t>Room access, browser microphone permission, Wi-Fi capacity, AV output compatibility, control-owner availability, instructor participation, and sponsor decisions at the planned gates.</w:t>
            </w:r>
          </w:p>
        </w:tc>
      </w:tr>
    </w:tbl>
    <w:p>
      <w:pPr>
        <w:spacing w:after="0"/>
      </w:pPr>
      <w:r>
        <w:br w:type="page"/>
      </w:r>
    </w:p>
    <w:p>
      <w:pPr>
        <w:pStyle w:val="Heading1"/>
      </w:pPr>
      <w:r>
        <w:t>5 MVP and Release 1 priorities</w:t>
      </w:r>
    </w:p>
    <w:p>
      <w:pPr>
        <w:keepNext w:val="0"/>
        <w:spacing w:before="0" w:after="80" w:line="259" w:lineRule="auto"/>
        <w:jc w:val="left"/>
      </w:pPr>
      <w:r>
        <w:rPr>
          <w:rFonts w:ascii="Calibri" w:hAnsi="Calibri"/>
          <w:b w:val="0"/>
          <w:i w:val="0"/>
          <w:color w:val="667085"/>
          <w:sz w:val="19"/>
        </w:rPr>
        <w:t>Release 1 is the smallest complete classroom workflow that can test audibility, reliability, adoption, operational effort, and privacy controls. Optional features cannot delay the pilot-readiness gate.</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00"/>
        <w:gridCol w:w="7860"/>
      </w:tblGrid>
      <w:tr>
        <w:trPr>
          <w:tblHeader w:val="true"/>
          <w:cantSplit/>
        </w:trPr>
        <w:tc>
          <w:tcPr>
            <w:tcW w:type="dxa" w:w="15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6"/>
              </w:rPr>
              <w:t>Priority</w:t>
            </w:r>
          </w:p>
        </w:tc>
        <w:tc>
          <w:tcPr>
            <w:tcW w:type="dxa" w:w="786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Capabilities</w:t>
            </w:r>
          </w:p>
        </w:tc>
      </w:tr>
      <w:tr>
        <w:trPr>
          <w:cantSplit/>
        </w:trPr>
        <w:tc>
          <w:tcPr>
            <w:tcW w:type="dxa" w:w="1500"/>
          </w:tcPr>
          <w:p>
            <w:pPr>
              <w:spacing w:before="0" w:after="0" w:line="245" w:lineRule="auto"/>
              <w:jc w:val="left"/>
            </w:pPr>
            <w:r/>
            <w:r>
              <w:rPr>
                <w:rFonts w:ascii="Calibri" w:hAnsi="Calibri"/>
                <w:b/>
                <w:i w:val="0"/>
                <w:color w:val="1D2939"/>
                <w:sz w:val="16"/>
              </w:rPr>
              <w:t>Must have</w:t>
            </w:r>
          </w:p>
        </w:tc>
        <w:tc>
          <w:tcPr>
            <w:tcW w:type="dxa" w:w="7860"/>
          </w:tcPr>
          <w:p>
            <w:pPr>
              <w:spacing w:before="0" w:after="0" w:line="245" w:lineRule="auto"/>
              <w:jc w:val="left"/>
            </w:pPr>
            <w:r/>
            <w:r>
              <w:rPr>
                <w:rFonts w:ascii="Calibri" w:hAnsi="Calibri"/>
                <w:b w:val="0"/>
                <w:i w:val="0"/>
                <w:color w:val="1D2939"/>
                <w:sz w:val="16"/>
              </w:rPr>
              <w:t>QR or one-time-code join; explicit microphone permission; instructor session start and end; request queue; approve, mute, and remove; one active microphone; push to talk; room-speaker output; session timeout; no stored audio; basic event and incident logs; physical-mic fallback.</w:t>
            </w:r>
          </w:p>
        </w:tc>
      </w:tr>
      <w:tr>
        <w:trPr>
          <w:cantSplit/>
        </w:trPr>
        <w:tc>
          <w:tcPr>
            <w:tcW w:type="dxa" w:w="1500"/>
            <w:shd w:fill="EAF2F8"/>
          </w:tcPr>
          <w:p>
            <w:pPr>
              <w:spacing w:before="0" w:after="0" w:line="245" w:lineRule="auto"/>
              <w:jc w:val="left"/>
            </w:pPr>
            <w:r/>
            <w:r>
              <w:rPr>
                <w:rFonts w:ascii="Calibri" w:hAnsi="Calibri"/>
                <w:b/>
                <w:i w:val="0"/>
                <w:color w:val="1D2939"/>
                <w:sz w:val="16"/>
              </w:rPr>
              <w:t>Should have</w:t>
            </w:r>
          </w:p>
        </w:tc>
        <w:tc>
          <w:tcPr>
            <w:tcW w:type="dxa" w:w="7860"/>
            <w:shd w:fill="EAF2F8"/>
          </w:tcPr>
          <w:p>
            <w:pPr>
              <w:spacing w:before="0" w:after="0" w:line="245" w:lineRule="auto"/>
              <w:jc w:val="left"/>
            </w:pPr>
            <w:r/>
            <w:r>
              <w:rPr>
                <w:rFonts w:ascii="Calibri" w:hAnsi="Calibri"/>
                <w:b w:val="0"/>
                <w:i w:val="0"/>
                <w:color w:val="1D2939"/>
                <w:sz w:val="16"/>
              </w:rPr>
              <w:t>Pre-session device and network check; clear reconnect message; instructor view of connection health; anonymous end-of-session feedback; simple pilot metrics; short instructor and student help screens.</w:t>
            </w:r>
          </w:p>
        </w:tc>
      </w:tr>
      <w:tr>
        <w:trPr>
          <w:cantSplit/>
        </w:trPr>
        <w:tc>
          <w:tcPr>
            <w:tcW w:type="dxa" w:w="1500"/>
          </w:tcPr>
          <w:p>
            <w:pPr>
              <w:spacing w:before="0" w:after="0" w:line="245" w:lineRule="auto"/>
              <w:jc w:val="left"/>
            </w:pPr>
            <w:r/>
            <w:r>
              <w:rPr>
                <w:rFonts w:ascii="Calibri" w:hAnsi="Calibri"/>
                <w:b/>
                <w:i w:val="0"/>
                <w:color w:val="1D2939"/>
                <w:sz w:val="16"/>
              </w:rPr>
              <w:t>Could have</w:t>
            </w:r>
          </w:p>
        </w:tc>
        <w:tc>
          <w:tcPr>
            <w:tcW w:type="dxa" w:w="7860"/>
          </w:tcPr>
          <w:p>
            <w:pPr>
              <w:spacing w:before="0" w:after="0" w:line="245" w:lineRule="auto"/>
              <w:jc w:val="left"/>
            </w:pPr>
            <w:r/>
            <w:r>
              <w:rPr>
                <w:rFonts w:ascii="Calibri" w:hAnsi="Calibri"/>
                <w:b w:val="0"/>
                <w:i w:val="0"/>
                <w:color w:val="1D2939"/>
                <w:sz w:val="16"/>
              </w:rPr>
              <w:t>Ephemeral live captions after privacy approval; additional language cues; richer device diagnostics; configurable speaking timer; branded room display.</w:t>
            </w:r>
          </w:p>
        </w:tc>
      </w:tr>
      <w:tr>
        <w:trPr>
          <w:cantSplit/>
        </w:trPr>
        <w:tc>
          <w:tcPr>
            <w:tcW w:type="dxa" w:w="1500"/>
            <w:shd w:fill="EAF2F8"/>
          </w:tcPr>
          <w:p>
            <w:pPr>
              <w:spacing w:before="0" w:after="0" w:line="245" w:lineRule="auto"/>
              <w:jc w:val="left"/>
            </w:pPr>
            <w:r/>
            <w:r>
              <w:rPr>
                <w:rFonts w:ascii="Calibri" w:hAnsi="Calibri"/>
                <w:b/>
                <w:i w:val="0"/>
                <w:color w:val="1D2939"/>
                <w:sz w:val="16"/>
              </w:rPr>
              <w:t>Will not have</w:t>
            </w:r>
          </w:p>
        </w:tc>
        <w:tc>
          <w:tcPr>
            <w:tcW w:type="dxa" w:w="7860"/>
            <w:shd w:fill="EAF2F8"/>
          </w:tcPr>
          <w:p>
            <w:pPr>
              <w:spacing w:before="0" w:after="0" w:line="245" w:lineRule="auto"/>
              <w:jc w:val="left"/>
            </w:pPr>
            <w:r/>
            <w:r>
              <w:rPr>
                <w:rFonts w:ascii="Calibri" w:hAnsi="Calibri"/>
                <w:b w:val="0"/>
                <w:i w:val="0"/>
                <w:color w:val="1D2939"/>
                <w:sz w:val="16"/>
              </w:rPr>
              <w:t>Recording or transcript storage; voice recognition; attendance or grading; public profiles; simultaneous student microphones; remote-learning mode; external users; automated disciplinary decisions; campus-wide production deployment.</w:t>
            </w:r>
          </w:p>
        </w:tc>
      </w:tr>
    </w:tbl>
    <w:p>
      <w:pPr>
        <w:pStyle w:val="Heading1"/>
      </w:pPr>
      <w:r>
        <w:t>6 Priority user stories to prototype</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720"/>
        <w:gridCol w:w="4140"/>
        <w:gridCol w:w="4500"/>
      </w:tblGrid>
      <w:tr>
        <w:trPr>
          <w:tblHeader w:val="true"/>
          <w:cantSplit/>
        </w:trPr>
        <w:tc>
          <w:tcPr>
            <w:tcW w:type="dxa" w:w="72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5"/>
              </w:rPr>
              <w:t>ID</w:t>
            </w:r>
          </w:p>
        </w:tc>
        <w:tc>
          <w:tcPr>
            <w:tcW w:type="dxa" w:w="414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User story</w:t>
            </w:r>
          </w:p>
        </w:tc>
        <w:tc>
          <w:tcPr>
            <w:tcW w:type="dxa" w:w="45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Release 1 acceptance criteria</w:t>
            </w:r>
          </w:p>
        </w:tc>
      </w:tr>
      <w:tr>
        <w:trPr>
          <w:cantSplit/>
        </w:trPr>
        <w:tc>
          <w:tcPr>
            <w:tcW w:type="dxa" w:w="720"/>
          </w:tcPr>
          <w:p>
            <w:pPr>
              <w:spacing w:before="0" w:after="0" w:line="245" w:lineRule="auto"/>
              <w:jc w:val="center"/>
            </w:pPr>
            <w:r/>
            <w:r>
              <w:rPr>
                <w:rFonts w:ascii="Calibri" w:hAnsi="Calibri"/>
                <w:b/>
                <w:i w:val="0"/>
                <w:color w:val="1D2939"/>
                <w:sz w:val="15"/>
              </w:rPr>
              <w:t>US1</w:t>
            </w:r>
          </w:p>
        </w:tc>
        <w:tc>
          <w:tcPr>
            <w:tcW w:type="dxa" w:w="4140"/>
          </w:tcPr>
          <w:p>
            <w:pPr>
              <w:spacing w:before="0" w:after="0" w:line="245" w:lineRule="auto"/>
              <w:jc w:val="left"/>
            </w:pPr>
            <w:r/>
            <w:r>
              <w:rPr>
                <w:rFonts w:ascii="Calibri" w:hAnsi="Calibri"/>
                <w:b w:val="0"/>
                <w:i w:val="0"/>
                <w:color w:val="1D2939"/>
                <w:sz w:val="15"/>
              </w:rPr>
              <w:t>As an instructor, I want to start a temporary room session and display a QR code so students can join quickly.</w:t>
            </w:r>
          </w:p>
        </w:tc>
        <w:tc>
          <w:tcPr>
            <w:tcW w:type="dxa" w:w="4500"/>
          </w:tcPr>
          <w:p>
            <w:pPr>
              <w:spacing w:before="0" w:after="0" w:line="245" w:lineRule="auto"/>
              <w:jc w:val="left"/>
            </w:pPr>
            <w:r/>
            <w:r>
              <w:rPr>
                <w:rFonts w:ascii="Calibri" w:hAnsi="Calibri"/>
                <w:b w:val="0"/>
                <w:i w:val="0"/>
                <w:color w:val="1D2939"/>
                <w:sz w:val="15"/>
              </w:rPr>
              <w:t>Session and QR appear within 10 seconds; code expires when the instructor ends the session; a new session uses a different code.</w:t>
            </w:r>
          </w:p>
        </w:tc>
      </w:tr>
      <w:tr>
        <w:trPr>
          <w:cantSplit/>
        </w:trPr>
        <w:tc>
          <w:tcPr>
            <w:tcW w:type="dxa" w:w="720"/>
            <w:shd w:fill="F3F4F6"/>
          </w:tcPr>
          <w:p>
            <w:pPr>
              <w:spacing w:before="0" w:after="0" w:line="245" w:lineRule="auto"/>
              <w:jc w:val="center"/>
            </w:pPr>
            <w:r/>
            <w:r>
              <w:rPr>
                <w:rFonts w:ascii="Calibri" w:hAnsi="Calibri"/>
                <w:b/>
                <w:i w:val="0"/>
                <w:color w:val="1D2939"/>
                <w:sz w:val="15"/>
              </w:rPr>
              <w:t>US2</w:t>
            </w:r>
          </w:p>
        </w:tc>
        <w:tc>
          <w:tcPr>
            <w:tcW w:type="dxa" w:w="4140"/>
            <w:shd w:fill="F3F4F6"/>
          </w:tcPr>
          <w:p>
            <w:pPr>
              <w:spacing w:before="0" w:after="0" w:line="245" w:lineRule="auto"/>
              <w:jc w:val="left"/>
            </w:pPr>
            <w:r/>
            <w:r>
              <w:rPr>
                <w:rFonts w:ascii="Calibri" w:hAnsi="Calibri"/>
                <w:b w:val="0"/>
                <w:i w:val="0"/>
                <w:color w:val="1D2939"/>
                <w:sz w:val="15"/>
              </w:rPr>
              <w:t>As a student, I want to understand and grant microphone permission only when I choose to participate.</w:t>
            </w:r>
          </w:p>
        </w:tc>
        <w:tc>
          <w:tcPr>
            <w:tcW w:type="dxa" w:w="4500"/>
            <w:shd w:fill="F3F4F6"/>
          </w:tcPr>
          <w:p>
            <w:pPr>
              <w:spacing w:before="0" w:after="0" w:line="245" w:lineRule="auto"/>
              <w:jc w:val="left"/>
            </w:pPr>
            <w:r/>
            <w:r>
              <w:rPr>
                <w:rFonts w:ascii="Calibri" w:hAnsi="Calibri"/>
                <w:b w:val="0"/>
                <w:i w:val="0"/>
                <w:color w:val="1D2939"/>
                <w:sz w:val="15"/>
              </w:rPr>
              <w:t>Purpose and no-recording notice appear before permission; denial leaves the student in listen-only status; permission can be revoked through the browser.</w:t>
            </w:r>
          </w:p>
        </w:tc>
      </w:tr>
      <w:tr>
        <w:trPr>
          <w:cantSplit/>
        </w:trPr>
        <w:tc>
          <w:tcPr>
            <w:tcW w:type="dxa" w:w="720"/>
          </w:tcPr>
          <w:p>
            <w:pPr>
              <w:spacing w:before="0" w:after="0" w:line="245" w:lineRule="auto"/>
              <w:jc w:val="center"/>
            </w:pPr>
            <w:r/>
            <w:r>
              <w:rPr>
                <w:rFonts w:ascii="Calibri" w:hAnsi="Calibri"/>
                <w:b/>
                <w:i w:val="0"/>
                <w:color w:val="1D2939"/>
                <w:sz w:val="15"/>
              </w:rPr>
              <w:t>US3</w:t>
            </w:r>
          </w:p>
        </w:tc>
        <w:tc>
          <w:tcPr>
            <w:tcW w:type="dxa" w:w="4140"/>
          </w:tcPr>
          <w:p>
            <w:pPr>
              <w:spacing w:before="0" w:after="0" w:line="245" w:lineRule="auto"/>
              <w:jc w:val="left"/>
            </w:pPr>
            <w:r/>
            <w:r>
              <w:rPr>
                <w:rFonts w:ascii="Calibri" w:hAnsi="Calibri"/>
                <w:b w:val="0"/>
                <w:i w:val="0"/>
                <w:color w:val="1D2939"/>
                <w:sz w:val="15"/>
              </w:rPr>
              <w:t>As a student, I want to request the microphone and use push to talk after approval so my question reaches the room speakers.</w:t>
            </w:r>
          </w:p>
        </w:tc>
        <w:tc>
          <w:tcPr>
            <w:tcW w:type="dxa" w:w="4500"/>
          </w:tcPr>
          <w:p>
            <w:pPr>
              <w:spacing w:before="0" w:after="0" w:line="245" w:lineRule="auto"/>
              <w:jc w:val="left"/>
            </w:pPr>
            <w:r/>
            <w:r>
              <w:rPr>
                <w:rFonts w:ascii="Calibri" w:hAnsi="Calibri"/>
                <w:b w:val="0"/>
                <w:i w:val="0"/>
                <w:color w:val="1D2939"/>
                <w:sz w:val="15"/>
              </w:rPr>
              <w:t>Request enters the queue once; approval is visibly confirmed; audio transmits only while push to talk is held; the microphone closes when released or timed out.</w:t>
            </w:r>
          </w:p>
        </w:tc>
      </w:tr>
      <w:tr>
        <w:trPr>
          <w:cantSplit/>
        </w:trPr>
        <w:tc>
          <w:tcPr>
            <w:tcW w:type="dxa" w:w="720"/>
            <w:shd w:fill="F3F4F6"/>
          </w:tcPr>
          <w:p>
            <w:pPr>
              <w:spacing w:before="0" w:after="0" w:line="245" w:lineRule="auto"/>
              <w:jc w:val="center"/>
            </w:pPr>
            <w:r/>
            <w:r>
              <w:rPr>
                <w:rFonts w:ascii="Calibri" w:hAnsi="Calibri"/>
                <w:b/>
                <w:i w:val="0"/>
                <w:color w:val="1D2939"/>
                <w:sz w:val="15"/>
              </w:rPr>
              <w:t>US4</w:t>
            </w:r>
          </w:p>
        </w:tc>
        <w:tc>
          <w:tcPr>
            <w:tcW w:type="dxa" w:w="4140"/>
            <w:shd w:fill="F3F4F6"/>
          </w:tcPr>
          <w:p>
            <w:pPr>
              <w:spacing w:before="0" w:after="0" w:line="245" w:lineRule="auto"/>
              <w:jc w:val="left"/>
            </w:pPr>
            <w:r/>
            <w:r>
              <w:rPr>
                <w:rFonts w:ascii="Calibri" w:hAnsi="Calibri"/>
                <w:b w:val="0"/>
                <w:i w:val="0"/>
                <w:color w:val="1D2939"/>
                <w:sz w:val="15"/>
              </w:rPr>
              <w:t>As an instructor, I want to see the queue and approve, mute, remove, or end speakers so discussion remains controlled.</w:t>
            </w:r>
          </w:p>
        </w:tc>
        <w:tc>
          <w:tcPr>
            <w:tcW w:type="dxa" w:w="4500"/>
            <w:shd w:fill="F3F4F6"/>
          </w:tcPr>
          <w:p>
            <w:pPr>
              <w:spacing w:before="0" w:after="0" w:line="245" w:lineRule="auto"/>
              <w:jc w:val="left"/>
            </w:pPr>
            <w:r/>
            <w:r>
              <w:rPr>
                <w:rFonts w:ascii="Calibri" w:hAnsi="Calibri"/>
                <w:b w:val="0"/>
                <w:i w:val="0"/>
                <w:color w:val="1D2939"/>
                <w:sz w:val="15"/>
              </w:rPr>
              <w:t>Only one student can transmit; every control acts within 2 seconds under the test network; end session disconnects all phone microphones.</w:t>
            </w:r>
          </w:p>
        </w:tc>
      </w:tr>
      <w:tr>
        <w:trPr>
          <w:cantSplit/>
        </w:trPr>
        <w:tc>
          <w:tcPr>
            <w:tcW w:type="dxa" w:w="720"/>
          </w:tcPr>
          <w:p>
            <w:pPr>
              <w:spacing w:before="0" w:after="0" w:line="245" w:lineRule="auto"/>
              <w:jc w:val="center"/>
            </w:pPr>
            <w:r/>
            <w:r>
              <w:rPr>
                <w:rFonts w:ascii="Calibri" w:hAnsi="Calibri"/>
                <w:b/>
                <w:i w:val="0"/>
                <w:color w:val="1D2939"/>
                <w:sz w:val="15"/>
              </w:rPr>
              <w:t>US5</w:t>
            </w:r>
          </w:p>
        </w:tc>
        <w:tc>
          <w:tcPr>
            <w:tcW w:type="dxa" w:w="4140"/>
          </w:tcPr>
          <w:p>
            <w:pPr>
              <w:spacing w:before="0" w:after="0" w:line="245" w:lineRule="auto"/>
              <w:jc w:val="left"/>
            </w:pPr>
            <w:r/>
            <w:r>
              <w:rPr>
                <w:rFonts w:ascii="Calibri" w:hAnsi="Calibri"/>
                <w:b w:val="0"/>
                <w:i w:val="0"/>
                <w:color w:val="1D2939"/>
                <w:sz w:val="15"/>
              </w:rPr>
              <w:t>As a pilot owner, I want non-audio performance and support data so I can evaluate reliability without recording speech.</w:t>
            </w:r>
          </w:p>
        </w:tc>
        <w:tc>
          <w:tcPr>
            <w:tcW w:type="dxa" w:w="4500"/>
          </w:tcPr>
          <w:p>
            <w:pPr>
              <w:spacing w:before="0" w:after="0" w:line="245" w:lineRule="auto"/>
              <w:jc w:val="left"/>
            </w:pPr>
            <w:r/>
            <w:r>
              <w:rPr>
                <w:rFonts w:ascii="Calibri" w:hAnsi="Calibri"/>
                <w:b w:val="0"/>
                <w:i w:val="0"/>
                <w:color w:val="1D2939"/>
                <w:sz w:val="15"/>
              </w:rPr>
              <w:t>Logs contain session time, connection status, latency, failures, and control events; no audio or transcript is stored; the pilot summary reports agreed success measures.</w:t>
            </w:r>
          </w:p>
        </w:tc>
      </w:tr>
    </w:tbl>
    <w:p>
      <w:pPr>
        <w:pStyle w:val="Heading1"/>
      </w:pPr>
      <w:r>
        <w:t>7 Release 1 completion definition</w:t>
      </w:r>
    </w:p>
    <w:p>
      <w:pPr>
        <w:keepNext w:val="0"/>
        <w:spacing w:before="0" w:after="80" w:line="259" w:lineRule="auto"/>
        <w:jc w:val="left"/>
      </w:pPr>
      <w:r>
        <w:rPr>
          <w:rFonts w:ascii="Calibri" w:hAnsi="Calibri"/>
          <w:b w:val="0"/>
          <w:i w:val="0"/>
          <w:color w:val="1D2939"/>
          <w:sz w:val="19"/>
        </w:rPr>
        <w:t>Release 1 is complete only when all Must-have capabilities pass functional tests, the pilot-readiness quality thresholds are met, security and privacy owners approve the data flow, instructors can operate the workflow after the planned briefing, and no critical defect or risk exception remains unresolved.</w:t>
      </w:r>
    </w:p>
    <w:p>
      <w:pPr>
        <w:spacing w:after="0"/>
      </w:pPr>
      <w:r>
        <w:br w:type="page"/>
      </w:r>
    </w:p>
    <w:p>
      <w:pPr>
        <w:pStyle w:val="Heading1"/>
      </w:pPr>
      <w:r>
        <w:t>8 Work breakdown structure</w:t>
      </w:r>
    </w:p>
    <w:p>
      <w:pPr>
        <w:keepNext w:val="0"/>
        <w:spacing w:before="0" w:after="80" w:line="259" w:lineRule="auto"/>
        <w:jc w:val="left"/>
      </w:pPr>
      <w:r>
        <w:rPr>
          <w:rFonts w:ascii="Calibri" w:hAnsi="Calibri"/>
          <w:b w:val="0"/>
          <w:i w:val="0"/>
          <w:color w:val="667085"/>
          <w:sz w:val="19"/>
        </w:rPr>
        <w:t>The WBS is deliverable-oriented. Each lowest-level work package has one accountable owner and a clear exit result; task-level estimates roll up to the schedule and cost baseline.</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00"/>
        <w:gridCol w:w="2760"/>
        <w:gridCol w:w="3600"/>
        <w:gridCol w:w="2100"/>
      </w:tblGrid>
      <w:tr>
        <w:trPr>
          <w:tblHeader w:val="true"/>
          <w:cantSplit/>
        </w:trPr>
        <w:tc>
          <w:tcPr>
            <w:tcW w:type="dxa" w:w="9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5"/>
              </w:rPr>
              <w:t>WBS</w:t>
            </w:r>
          </w:p>
        </w:tc>
        <w:tc>
          <w:tcPr>
            <w:tcW w:type="dxa" w:w="276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Work package</w:t>
            </w:r>
          </w:p>
        </w:tc>
        <w:tc>
          <w:tcPr>
            <w:tcW w:type="dxa" w:w="36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Output or exit result</w:t>
            </w:r>
          </w:p>
        </w:tc>
        <w:tc>
          <w:tcPr>
            <w:tcW w:type="dxa" w:w="21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Owner</w:t>
            </w:r>
          </w:p>
        </w:tc>
      </w:tr>
      <w:tr>
        <w:trPr>
          <w:cantSplit/>
        </w:trPr>
        <w:tc>
          <w:tcPr>
            <w:tcW w:type="dxa" w:w="900"/>
            <w:shd w:fill="EAF2F8"/>
          </w:tcPr>
          <w:p>
            <w:pPr>
              <w:spacing w:before="0" w:after="0" w:line="245" w:lineRule="auto"/>
              <w:jc w:val="center"/>
            </w:pPr>
            <w:r/>
            <w:r>
              <w:rPr>
                <w:rFonts w:ascii="Calibri" w:hAnsi="Calibri"/>
                <w:b/>
                <w:i w:val="0"/>
                <w:color w:val="1D2939"/>
                <w:sz w:val="14"/>
              </w:rPr>
              <w:t>1.0</w:t>
            </w:r>
          </w:p>
        </w:tc>
        <w:tc>
          <w:tcPr>
            <w:tcW w:type="dxa" w:w="2760"/>
            <w:shd w:fill="EAF2F8"/>
          </w:tcPr>
          <w:p>
            <w:pPr>
              <w:spacing w:before="0" w:after="0" w:line="245" w:lineRule="auto"/>
              <w:jc w:val="left"/>
            </w:pPr>
            <w:r/>
            <w:r>
              <w:rPr>
                <w:rFonts w:ascii="Calibri" w:hAnsi="Calibri"/>
                <w:b/>
                <w:i w:val="0"/>
                <w:color w:val="1D2939"/>
                <w:sz w:val="14"/>
              </w:rPr>
              <w:t>Project control</w:t>
            </w:r>
          </w:p>
        </w:tc>
        <w:tc>
          <w:tcPr>
            <w:tcW w:type="dxa" w:w="3600"/>
            <w:shd w:fill="EAF2F8"/>
          </w:tcPr>
          <w:p>
            <w:pPr>
              <w:spacing w:before="0" w:after="0" w:line="245" w:lineRule="auto"/>
              <w:jc w:val="left"/>
            </w:pPr>
            <w:r/>
            <w:r>
              <w:rPr>
                <w:rFonts w:ascii="Calibri" w:hAnsi="Calibri"/>
                <w:b/>
                <w:i w:val="0"/>
                <w:color w:val="1D2939"/>
                <w:sz w:val="14"/>
              </w:rPr>
              <w:t>Approved baseline, decisions, status, and controlled changes</w:t>
            </w:r>
          </w:p>
        </w:tc>
        <w:tc>
          <w:tcPr>
            <w:tcW w:type="dxa" w:w="2100"/>
            <w:shd w:fill="EAF2F8"/>
          </w:tcPr>
          <w:p>
            <w:pPr>
              <w:spacing w:before="0" w:after="0" w:line="245" w:lineRule="auto"/>
              <w:jc w:val="center"/>
            </w:pPr>
            <w:r/>
            <w:r>
              <w:rPr>
                <w:rFonts w:ascii="Calibri" w:hAnsi="Calibri"/>
                <w:b/>
                <w:i w:val="0"/>
                <w:color w:val="1D2939"/>
                <w:sz w:val="14"/>
              </w:rPr>
              <w:t>Nurtore</w:t>
            </w:r>
          </w:p>
        </w:tc>
      </w:tr>
      <w:tr>
        <w:trPr>
          <w:cantSplit/>
        </w:trPr>
        <w:tc>
          <w:tcPr>
            <w:tcW w:type="dxa" w:w="900"/>
            <w:shd w:fill="F3F4F6"/>
          </w:tcPr>
          <w:p>
            <w:pPr>
              <w:spacing w:before="0" w:after="0" w:line="245" w:lineRule="auto"/>
              <w:jc w:val="center"/>
            </w:pPr>
            <w:r/>
            <w:r>
              <w:rPr>
                <w:rFonts w:ascii="Calibri" w:hAnsi="Calibri"/>
                <w:b/>
                <w:i w:val="0"/>
                <w:color w:val="1D2939"/>
                <w:sz w:val="14"/>
              </w:rPr>
              <w:t>1.1</w:t>
            </w:r>
          </w:p>
        </w:tc>
        <w:tc>
          <w:tcPr>
            <w:tcW w:type="dxa" w:w="2760"/>
            <w:shd w:fill="F3F4F6"/>
          </w:tcPr>
          <w:p>
            <w:pPr>
              <w:spacing w:before="0" w:after="0" w:line="245" w:lineRule="auto"/>
              <w:jc w:val="left"/>
            </w:pPr>
            <w:r/>
            <w:r>
              <w:rPr>
                <w:rFonts w:ascii="Calibri" w:hAnsi="Calibri"/>
                <w:b w:val="0"/>
                <w:i w:val="0"/>
                <w:color w:val="1D2939"/>
                <w:sz w:val="14"/>
              </w:rPr>
              <w:t>Kickoff and baseline</w:t>
            </w:r>
          </w:p>
        </w:tc>
        <w:tc>
          <w:tcPr>
            <w:tcW w:type="dxa" w:w="3600"/>
            <w:shd w:fill="F3F4F6"/>
          </w:tcPr>
          <w:p>
            <w:pPr>
              <w:spacing w:before="0" w:after="0" w:line="245" w:lineRule="auto"/>
              <w:jc w:val="left"/>
            </w:pPr>
            <w:r/>
            <w:r>
              <w:rPr>
                <w:rFonts w:ascii="Calibri" w:hAnsi="Calibri"/>
                <w:b w:val="0"/>
                <w:i w:val="0"/>
                <w:color w:val="1D2939"/>
                <w:sz w:val="14"/>
              </w:rPr>
              <w:t>Team roles, repositories, plan, and gate calendar confirmed</w:t>
            </w:r>
          </w:p>
        </w:tc>
        <w:tc>
          <w:tcPr>
            <w:tcW w:type="dxa" w:w="2100"/>
            <w:shd w:fill="F3F4F6"/>
          </w:tcPr>
          <w:p>
            <w:pPr>
              <w:spacing w:before="0" w:after="0" w:line="245" w:lineRule="auto"/>
              <w:jc w:val="center"/>
            </w:pPr>
            <w:r/>
            <w:r>
              <w:rPr>
                <w:rFonts w:ascii="Calibri" w:hAnsi="Calibri"/>
                <w:b w:val="0"/>
                <w:i w:val="0"/>
                <w:color w:val="1D2939"/>
                <w:sz w:val="14"/>
              </w:rPr>
              <w:t>Nurtore</w:t>
            </w:r>
          </w:p>
        </w:tc>
      </w:tr>
      <w:tr>
        <w:trPr>
          <w:cantSplit/>
        </w:trPr>
        <w:tc>
          <w:tcPr>
            <w:tcW w:type="dxa" w:w="900"/>
          </w:tcPr>
          <w:p>
            <w:pPr>
              <w:spacing w:before="0" w:after="0" w:line="245" w:lineRule="auto"/>
              <w:jc w:val="center"/>
            </w:pPr>
            <w:r/>
            <w:r>
              <w:rPr>
                <w:rFonts w:ascii="Calibri" w:hAnsi="Calibri"/>
                <w:b/>
                <w:i w:val="0"/>
                <w:color w:val="1D2939"/>
                <w:sz w:val="14"/>
              </w:rPr>
              <w:t>1.2</w:t>
            </w:r>
          </w:p>
        </w:tc>
        <w:tc>
          <w:tcPr>
            <w:tcW w:type="dxa" w:w="2760"/>
          </w:tcPr>
          <w:p>
            <w:pPr>
              <w:spacing w:before="0" w:after="0" w:line="245" w:lineRule="auto"/>
              <w:jc w:val="left"/>
            </w:pPr>
            <w:r/>
            <w:r>
              <w:rPr>
                <w:rFonts w:ascii="Calibri" w:hAnsi="Calibri"/>
                <w:b w:val="0"/>
                <w:i w:val="0"/>
                <w:color w:val="1D2939"/>
                <w:sz w:val="14"/>
              </w:rPr>
              <w:t>Status issue and change control</w:t>
            </w:r>
          </w:p>
        </w:tc>
        <w:tc>
          <w:tcPr>
            <w:tcW w:type="dxa" w:w="3600"/>
          </w:tcPr>
          <w:p>
            <w:pPr>
              <w:spacing w:before="0" w:after="0" w:line="245" w:lineRule="auto"/>
              <w:jc w:val="left"/>
            </w:pPr>
            <w:r/>
            <w:r>
              <w:rPr>
                <w:rFonts w:ascii="Calibri" w:hAnsi="Calibri"/>
                <w:b w:val="0"/>
                <w:i w:val="0"/>
                <w:color w:val="1D2939"/>
                <w:sz w:val="14"/>
              </w:rPr>
              <w:t>Weekly status, action, issue, and change records maintained</w:t>
            </w:r>
          </w:p>
        </w:tc>
        <w:tc>
          <w:tcPr>
            <w:tcW w:type="dxa" w:w="2100"/>
          </w:tcPr>
          <w:p>
            <w:pPr>
              <w:spacing w:before="0" w:after="0" w:line="245" w:lineRule="auto"/>
              <w:jc w:val="center"/>
            </w:pPr>
            <w:r/>
            <w:r>
              <w:rPr>
                <w:rFonts w:ascii="Calibri" w:hAnsi="Calibri"/>
                <w:b w:val="0"/>
                <w:i w:val="0"/>
                <w:color w:val="1D2939"/>
                <w:sz w:val="14"/>
              </w:rPr>
              <w:t>Nurtore</w:t>
            </w:r>
          </w:p>
        </w:tc>
      </w:tr>
      <w:tr>
        <w:trPr>
          <w:cantSplit/>
        </w:trPr>
        <w:tc>
          <w:tcPr>
            <w:tcW w:type="dxa" w:w="900"/>
            <w:shd w:fill="EAF2F8"/>
          </w:tcPr>
          <w:p>
            <w:pPr>
              <w:spacing w:before="0" w:after="0" w:line="245" w:lineRule="auto"/>
              <w:jc w:val="center"/>
            </w:pPr>
            <w:r/>
            <w:r>
              <w:rPr>
                <w:rFonts w:ascii="Calibri" w:hAnsi="Calibri"/>
                <w:b/>
                <w:i w:val="0"/>
                <w:color w:val="1D2939"/>
                <w:sz w:val="14"/>
              </w:rPr>
              <w:t>2.0</w:t>
            </w:r>
          </w:p>
        </w:tc>
        <w:tc>
          <w:tcPr>
            <w:tcW w:type="dxa" w:w="2760"/>
            <w:shd w:fill="EAF2F8"/>
          </w:tcPr>
          <w:p>
            <w:pPr>
              <w:spacing w:before="0" w:after="0" w:line="245" w:lineRule="auto"/>
              <w:jc w:val="left"/>
            </w:pPr>
            <w:r/>
            <w:r>
              <w:rPr>
                <w:rFonts w:ascii="Calibri" w:hAnsi="Calibri"/>
                <w:b/>
                <w:i w:val="0"/>
                <w:color w:val="1D2939"/>
                <w:sz w:val="14"/>
              </w:rPr>
              <w:t>Requirements and design</w:t>
            </w:r>
          </w:p>
        </w:tc>
        <w:tc>
          <w:tcPr>
            <w:tcW w:type="dxa" w:w="3600"/>
            <w:shd w:fill="EAF2F8"/>
          </w:tcPr>
          <w:p>
            <w:pPr>
              <w:spacing w:before="0" w:after="0" w:line="245" w:lineRule="auto"/>
              <w:jc w:val="left"/>
            </w:pPr>
            <w:r/>
            <w:r>
              <w:rPr>
                <w:rFonts w:ascii="Calibri" w:hAnsi="Calibri"/>
                <w:b/>
                <w:i w:val="0"/>
                <w:color w:val="1D2939"/>
                <w:sz w:val="14"/>
              </w:rPr>
              <w:t>Accepted classroom, control, privacy, and accessibility needs</w:t>
            </w:r>
          </w:p>
        </w:tc>
        <w:tc>
          <w:tcPr>
            <w:tcW w:type="dxa" w:w="2100"/>
            <w:shd w:fill="EAF2F8"/>
          </w:tcPr>
          <w:p>
            <w:pPr>
              <w:spacing w:before="0" w:after="0" w:line="245" w:lineRule="auto"/>
              <w:jc w:val="center"/>
            </w:pPr>
            <w:r/>
            <w:r>
              <w:rPr>
                <w:rFonts w:ascii="Calibri" w:hAnsi="Calibri"/>
                <w:b/>
                <w:i w:val="0"/>
                <w:color w:val="1D2939"/>
                <w:sz w:val="14"/>
              </w:rPr>
              <w:t>Nurtore</w:t>
            </w:r>
          </w:p>
        </w:tc>
      </w:tr>
      <w:tr>
        <w:trPr>
          <w:cantSplit/>
        </w:trPr>
        <w:tc>
          <w:tcPr>
            <w:tcW w:type="dxa" w:w="900"/>
          </w:tcPr>
          <w:p>
            <w:pPr>
              <w:spacing w:before="0" w:after="0" w:line="245" w:lineRule="auto"/>
              <w:jc w:val="center"/>
            </w:pPr>
            <w:r/>
            <w:r>
              <w:rPr>
                <w:rFonts w:ascii="Calibri" w:hAnsi="Calibri"/>
                <w:b/>
                <w:i w:val="0"/>
                <w:color w:val="1D2939"/>
                <w:sz w:val="14"/>
              </w:rPr>
              <w:t>2.1</w:t>
            </w:r>
          </w:p>
        </w:tc>
        <w:tc>
          <w:tcPr>
            <w:tcW w:type="dxa" w:w="2760"/>
          </w:tcPr>
          <w:p>
            <w:pPr>
              <w:spacing w:before="0" w:after="0" w:line="245" w:lineRule="auto"/>
              <w:jc w:val="left"/>
            </w:pPr>
            <w:r/>
            <w:r>
              <w:rPr>
                <w:rFonts w:ascii="Calibri" w:hAnsi="Calibri"/>
                <w:b w:val="0"/>
                <w:i w:val="0"/>
                <w:color w:val="1D2939"/>
                <w:sz w:val="14"/>
              </w:rPr>
              <w:t>Classroom workflow definition</w:t>
            </w:r>
          </w:p>
        </w:tc>
        <w:tc>
          <w:tcPr>
            <w:tcW w:type="dxa" w:w="3600"/>
          </w:tcPr>
          <w:p>
            <w:pPr>
              <w:spacing w:before="0" w:after="0" w:line="245" w:lineRule="auto"/>
              <w:jc w:val="left"/>
            </w:pPr>
            <w:r/>
            <w:r>
              <w:rPr>
                <w:rFonts w:ascii="Calibri" w:hAnsi="Calibri"/>
                <w:b w:val="0"/>
                <w:i w:val="0"/>
                <w:color w:val="1D2939"/>
                <w:sz w:val="14"/>
              </w:rPr>
              <w:t>Current and target speaking workflow agreed with instructors and students</w:t>
            </w:r>
          </w:p>
        </w:tc>
        <w:tc>
          <w:tcPr>
            <w:tcW w:type="dxa" w:w="2100"/>
          </w:tcPr>
          <w:p>
            <w:pPr>
              <w:spacing w:before="0" w:after="0" w:line="245" w:lineRule="auto"/>
              <w:jc w:val="center"/>
            </w:pPr>
            <w:r/>
            <w:r>
              <w:rPr>
                <w:rFonts w:ascii="Calibri" w:hAnsi="Calibri"/>
                <w:b w:val="0"/>
                <w:i w:val="0"/>
                <w:color w:val="1D2939"/>
                <w:sz w:val="14"/>
              </w:rPr>
              <w:t>Nurtore</w:t>
            </w:r>
          </w:p>
        </w:tc>
      </w:tr>
      <w:tr>
        <w:trPr>
          <w:cantSplit/>
        </w:trPr>
        <w:tc>
          <w:tcPr>
            <w:tcW w:type="dxa" w:w="900"/>
            <w:shd w:fill="F3F4F6"/>
          </w:tcPr>
          <w:p>
            <w:pPr>
              <w:spacing w:before="0" w:after="0" w:line="245" w:lineRule="auto"/>
              <w:jc w:val="center"/>
            </w:pPr>
            <w:r/>
            <w:r>
              <w:rPr>
                <w:rFonts w:ascii="Calibri" w:hAnsi="Calibri"/>
                <w:b/>
                <w:i w:val="0"/>
                <w:color w:val="1D2939"/>
                <w:sz w:val="14"/>
              </w:rPr>
              <w:t>2.2</w:t>
            </w:r>
          </w:p>
        </w:tc>
        <w:tc>
          <w:tcPr>
            <w:tcW w:type="dxa" w:w="2760"/>
            <w:shd w:fill="F3F4F6"/>
          </w:tcPr>
          <w:p>
            <w:pPr>
              <w:spacing w:before="0" w:after="0" w:line="245" w:lineRule="auto"/>
              <w:jc w:val="left"/>
            </w:pPr>
            <w:r/>
            <w:r>
              <w:rPr>
                <w:rFonts w:ascii="Calibri" w:hAnsi="Calibri"/>
                <w:b w:val="0"/>
                <w:i w:val="0"/>
                <w:color w:val="1D2939"/>
                <w:sz w:val="14"/>
              </w:rPr>
              <w:t>Control requirements</w:t>
            </w:r>
          </w:p>
        </w:tc>
        <w:tc>
          <w:tcPr>
            <w:tcW w:type="dxa" w:w="3600"/>
            <w:shd w:fill="F3F4F6"/>
          </w:tcPr>
          <w:p>
            <w:pPr>
              <w:spacing w:before="0" w:after="0" w:line="245" w:lineRule="auto"/>
              <w:jc w:val="left"/>
            </w:pPr>
            <w:r/>
            <w:r>
              <w:rPr>
                <w:rFonts w:ascii="Calibri" w:hAnsi="Calibri"/>
                <w:b w:val="0"/>
                <w:i w:val="0"/>
                <w:color w:val="1D2939"/>
                <w:sz w:val="14"/>
              </w:rPr>
              <w:t>Privacy, security, accessibility, support, and evidence rules approved</w:t>
            </w:r>
          </w:p>
        </w:tc>
        <w:tc>
          <w:tcPr>
            <w:tcW w:type="dxa" w:w="2100"/>
            <w:shd w:fill="F3F4F6"/>
          </w:tcPr>
          <w:p>
            <w:pPr>
              <w:spacing w:before="0" w:after="0" w:line="245" w:lineRule="auto"/>
              <w:jc w:val="center"/>
            </w:pPr>
            <w:r/>
            <w:r>
              <w:rPr>
                <w:rFonts w:ascii="Calibri" w:hAnsi="Calibri"/>
                <w:b w:val="0"/>
                <w:i w:val="0"/>
                <w:color w:val="1D2939"/>
                <w:sz w:val="14"/>
              </w:rPr>
              <w:t>Nurtore plus control owners</w:t>
            </w:r>
          </w:p>
        </w:tc>
      </w:tr>
      <w:tr>
        <w:trPr>
          <w:cantSplit/>
        </w:trPr>
        <w:tc>
          <w:tcPr>
            <w:tcW w:type="dxa" w:w="900"/>
          </w:tcPr>
          <w:p>
            <w:pPr>
              <w:spacing w:before="0" w:after="0" w:line="245" w:lineRule="auto"/>
              <w:jc w:val="center"/>
            </w:pPr>
            <w:r/>
            <w:r>
              <w:rPr>
                <w:rFonts w:ascii="Calibri" w:hAnsi="Calibri"/>
                <w:b/>
                <w:i w:val="0"/>
                <w:color w:val="1D2939"/>
                <w:sz w:val="14"/>
              </w:rPr>
              <w:t>2.3</w:t>
            </w:r>
          </w:p>
        </w:tc>
        <w:tc>
          <w:tcPr>
            <w:tcW w:type="dxa" w:w="2760"/>
          </w:tcPr>
          <w:p>
            <w:pPr>
              <w:spacing w:before="0" w:after="0" w:line="245" w:lineRule="auto"/>
              <w:jc w:val="left"/>
            </w:pPr>
            <w:r/>
            <w:r>
              <w:rPr>
                <w:rFonts w:ascii="Calibri" w:hAnsi="Calibri"/>
                <w:b w:val="0"/>
                <w:i w:val="0"/>
                <w:color w:val="1D2939"/>
                <w:sz w:val="14"/>
              </w:rPr>
              <w:t>Interaction and technical design</w:t>
            </w:r>
          </w:p>
        </w:tc>
        <w:tc>
          <w:tcPr>
            <w:tcW w:type="dxa" w:w="3600"/>
          </w:tcPr>
          <w:p>
            <w:pPr>
              <w:spacing w:before="0" w:after="0" w:line="245" w:lineRule="auto"/>
              <w:jc w:val="left"/>
            </w:pPr>
            <w:r/>
            <w:r>
              <w:rPr>
                <w:rFonts w:ascii="Calibri" w:hAnsi="Calibri"/>
                <w:b w:val="0"/>
                <w:i w:val="0"/>
                <w:color w:val="1D2939"/>
                <w:sz w:val="14"/>
              </w:rPr>
              <w:t>Student and instructor flows, data flow, and architecture ready</w:t>
            </w:r>
          </w:p>
        </w:tc>
        <w:tc>
          <w:tcPr>
            <w:tcW w:type="dxa" w:w="2100"/>
          </w:tcPr>
          <w:p>
            <w:pPr>
              <w:spacing w:before="0" w:after="0" w:line="245" w:lineRule="auto"/>
              <w:jc w:val="center"/>
            </w:pPr>
            <w:r/>
            <w:r>
              <w:rPr>
                <w:rFonts w:ascii="Calibri" w:hAnsi="Calibri"/>
                <w:b w:val="0"/>
                <w:i w:val="0"/>
                <w:color w:val="1D2939"/>
                <w:sz w:val="14"/>
              </w:rPr>
              <w:t>Temiko</w:t>
            </w:r>
          </w:p>
        </w:tc>
      </w:tr>
      <w:tr>
        <w:trPr>
          <w:cantSplit/>
        </w:trPr>
        <w:tc>
          <w:tcPr>
            <w:tcW w:type="dxa" w:w="900"/>
            <w:shd w:fill="EAF2F8"/>
          </w:tcPr>
          <w:p>
            <w:pPr>
              <w:spacing w:before="0" w:after="0" w:line="245" w:lineRule="auto"/>
              <w:jc w:val="center"/>
            </w:pPr>
            <w:r/>
            <w:r>
              <w:rPr>
                <w:rFonts w:ascii="Calibri" w:hAnsi="Calibri"/>
                <w:b/>
                <w:i w:val="0"/>
                <w:color w:val="1D2939"/>
                <w:sz w:val="14"/>
              </w:rPr>
              <w:t>3.0</w:t>
            </w:r>
          </w:p>
        </w:tc>
        <w:tc>
          <w:tcPr>
            <w:tcW w:type="dxa" w:w="2760"/>
            <w:shd w:fill="EAF2F8"/>
          </w:tcPr>
          <w:p>
            <w:pPr>
              <w:spacing w:before="0" w:after="0" w:line="245" w:lineRule="auto"/>
              <w:jc w:val="left"/>
            </w:pPr>
            <w:r/>
            <w:r>
              <w:rPr>
                <w:rFonts w:ascii="Calibri" w:hAnsi="Calibri"/>
                <w:b/>
                <w:i w:val="0"/>
                <w:color w:val="1D2939"/>
                <w:sz w:val="14"/>
              </w:rPr>
              <w:t>Solution build</w:t>
            </w:r>
          </w:p>
        </w:tc>
        <w:tc>
          <w:tcPr>
            <w:tcW w:type="dxa" w:w="3600"/>
            <w:shd w:fill="EAF2F8"/>
          </w:tcPr>
          <w:p>
            <w:pPr>
              <w:spacing w:before="0" w:after="0" w:line="245" w:lineRule="auto"/>
              <w:jc w:val="left"/>
            </w:pPr>
            <w:r/>
            <w:r>
              <w:rPr>
                <w:rFonts w:ascii="Calibri" w:hAnsi="Calibri"/>
                <w:b/>
                <w:i w:val="0"/>
                <w:color w:val="1D2939"/>
                <w:sz w:val="14"/>
              </w:rPr>
              <w:t>Integrated ClassMic Release 1 candidate</w:t>
            </w:r>
          </w:p>
        </w:tc>
        <w:tc>
          <w:tcPr>
            <w:tcW w:type="dxa" w:w="2100"/>
            <w:shd w:fill="EAF2F8"/>
          </w:tcPr>
          <w:p>
            <w:pPr>
              <w:spacing w:before="0" w:after="0" w:line="245" w:lineRule="auto"/>
              <w:jc w:val="center"/>
            </w:pPr>
            <w:r/>
            <w:r>
              <w:rPr>
                <w:rFonts w:ascii="Calibri" w:hAnsi="Calibri"/>
                <w:b/>
                <w:i w:val="0"/>
                <w:color w:val="1D2939"/>
                <w:sz w:val="14"/>
              </w:rPr>
              <w:t>Temiko</w:t>
            </w:r>
          </w:p>
        </w:tc>
      </w:tr>
      <w:tr>
        <w:trPr>
          <w:cantSplit/>
        </w:trPr>
        <w:tc>
          <w:tcPr>
            <w:tcW w:type="dxa" w:w="900"/>
          </w:tcPr>
          <w:p>
            <w:pPr>
              <w:spacing w:before="0" w:after="0" w:line="245" w:lineRule="auto"/>
              <w:jc w:val="center"/>
            </w:pPr>
            <w:r/>
            <w:r>
              <w:rPr>
                <w:rFonts w:ascii="Calibri" w:hAnsi="Calibri"/>
                <w:b/>
                <w:i w:val="0"/>
                <w:color w:val="1D2939"/>
                <w:sz w:val="14"/>
              </w:rPr>
              <w:t>3.1</w:t>
            </w:r>
          </w:p>
        </w:tc>
        <w:tc>
          <w:tcPr>
            <w:tcW w:type="dxa" w:w="2760"/>
          </w:tcPr>
          <w:p>
            <w:pPr>
              <w:spacing w:before="0" w:after="0" w:line="245" w:lineRule="auto"/>
              <w:jc w:val="left"/>
            </w:pPr>
            <w:r/>
            <w:r>
              <w:rPr>
                <w:rFonts w:ascii="Calibri" w:hAnsi="Calibri"/>
                <w:b w:val="0"/>
                <w:i w:val="0"/>
                <w:color w:val="1D2939"/>
                <w:sz w:val="14"/>
              </w:rPr>
              <w:t>Session service</w:t>
            </w:r>
          </w:p>
        </w:tc>
        <w:tc>
          <w:tcPr>
            <w:tcW w:type="dxa" w:w="3600"/>
          </w:tcPr>
          <w:p>
            <w:pPr>
              <w:spacing w:before="0" w:after="0" w:line="245" w:lineRule="auto"/>
              <w:jc w:val="left"/>
            </w:pPr>
            <w:r/>
            <w:r>
              <w:rPr>
                <w:rFonts w:ascii="Calibri" w:hAnsi="Calibri"/>
                <w:b w:val="0"/>
                <w:i w:val="0"/>
                <w:color w:val="1D2939"/>
                <w:sz w:val="14"/>
              </w:rPr>
              <w:t>Temporary sessions, access code, queue state, and timeout working</w:t>
            </w:r>
          </w:p>
        </w:tc>
        <w:tc>
          <w:tcPr>
            <w:tcW w:type="dxa" w:w="2100"/>
          </w:tcPr>
          <w:p>
            <w:pPr>
              <w:spacing w:before="0" w:after="0" w:line="245" w:lineRule="auto"/>
              <w:jc w:val="center"/>
            </w:pPr>
            <w:r/>
            <w:r>
              <w:rPr>
                <w:rFonts w:ascii="Calibri" w:hAnsi="Calibri"/>
                <w:b w:val="0"/>
                <w:i w:val="0"/>
                <w:color w:val="1D2939"/>
                <w:sz w:val="14"/>
              </w:rPr>
              <w:t>Temiko</w:t>
            </w:r>
          </w:p>
        </w:tc>
      </w:tr>
      <w:tr>
        <w:trPr>
          <w:cantSplit/>
        </w:trPr>
        <w:tc>
          <w:tcPr>
            <w:tcW w:type="dxa" w:w="900"/>
            <w:shd w:fill="F3F4F6"/>
          </w:tcPr>
          <w:p>
            <w:pPr>
              <w:spacing w:before="0" w:after="0" w:line="245" w:lineRule="auto"/>
              <w:jc w:val="center"/>
            </w:pPr>
            <w:r/>
            <w:r>
              <w:rPr>
                <w:rFonts w:ascii="Calibri" w:hAnsi="Calibri"/>
                <w:b/>
                <w:i w:val="0"/>
                <w:color w:val="1D2939"/>
                <w:sz w:val="14"/>
              </w:rPr>
              <w:t>3.2</w:t>
            </w:r>
          </w:p>
        </w:tc>
        <w:tc>
          <w:tcPr>
            <w:tcW w:type="dxa" w:w="2760"/>
            <w:shd w:fill="F3F4F6"/>
          </w:tcPr>
          <w:p>
            <w:pPr>
              <w:spacing w:before="0" w:after="0" w:line="245" w:lineRule="auto"/>
              <w:jc w:val="left"/>
            </w:pPr>
            <w:r/>
            <w:r>
              <w:rPr>
                <w:rFonts w:ascii="Calibri" w:hAnsi="Calibri"/>
                <w:b w:val="0"/>
                <w:i w:val="0"/>
                <w:color w:val="1D2939"/>
                <w:sz w:val="14"/>
              </w:rPr>
              <w:t>Student browser flow</w:t>
            </w:r>
          </w:p>
        </w:tc>
        <w:tc>
          <w:tcPr>
            <w:tcW w:type="dxa" w:w="3600"/>
            <w:shd w:fill="F3F4F6"/>
          </w:tcPr>
          <w:p>
            <w:pPr>
              <w:spacing w:before="0" w:after="0" w:line="245" w:lineRule="auto"/>
              <w:jc w:val="left"/>
            </w:pPr>
            <w:r/>
            <w:r>
              <w:rPr>
                <w:rFonts w:ascii="Calibri" w:hAnsi="Calibri"/>
                <w:b w:val="0"/>
                <w:i w:val="0"/>
                <w:color w:val="1D2939"/>
                <w:sz w:val="14"/>
              </w:rPr>
              <w:t>Join, permission, request, approval state, and push to talk working</w:t>
            </w:r>
          </w:p>
        </w:tc>
        <w:tc>
          <w:tcPr>
            <w:tcW w:type="dxa" w:w="2100"/>
            <w:shd w:fill="F3F4F6"/>
          </w:tcPr>
          <w:p>
            <w:pPr>
              <w:spacing w:before="0" w:after="0" w:line="245" w:lineRule="auto"/>
              <w:jc w:val="center"/>
            </w:pPr>
            <w:r/>
            <w:r>
              <w:rPr>
                <w:rFonts w:ascii="Calibri" w:hAnsi="Calibri"/>
                <w:b w:val="0"/>
                <w:i w:val="0"/>
                <w:color w:val="1D2939"/>
                <w:sz w:val="14"/>
              </w:rPr>
              <w:t>Temiko</w:t>
            </w:r>
          </w:p>
        </w:tc>
      </w:tr>
      <w:tr>
        <w:trPr>
          <w:cantSplit/>
        </w:trPr>
        <w:tc>
          <w:tcPr>
            <w:tcW w:type="dxa" w:w="900"/>
          </w:tcPr>
          <w:p>
            <w:pPr>
              <w:spacing w:before="0" w:after="0" w:line="245" w:lineRule="auto"/>
              <w:jc w:val="center"/>
            </w:pPr>
            <w:r/>
            <w:r>
              <w:rPr>
                <w:rFonts w:ascii="Calibri" w:hAnsi="Calibri"/>
                <w:b/>
                <w:i w:val="0"/>
                <w:color w:val="1D2939"/>
                <w:sz w:val="14"/>
              </w:rPr>
              <w:t>3.3</w:t>
            </w:r>
          </w:p>
        </w:tc>
        <w:tc>
          <w:tcPr>
            <w:tcW w:type="dxa" w:w="2760"/>
          </w:tcPr>
          <w:p>
            <w:pPr>
              <w:spacing w:before="0" w:after="0" w:line="245" w:lineRule="auto"/>
              <w:jc w:val="left"/>
            </w:pPr>
            <w:r/>
            <w:r>
              <w:rPr>
                <w:rFonts w:ascii="Calibri" w:hAnsi="Calibri"/>
                <w:b w:val="0"/>
                <w:i w:val="0"/>
                <w:color w:val="1D2939"/>
                <w:sz w:val="14"/>
              </w:rPr>
              <w:t>Instructor controls</w:t>
            </w:r>
          </w:p>
        </w:tc>
        <w:tc>
          <w:tcPr>
            <w:tcW w:type="dxa" w:w="3600"/>
          </w:tcPr>
          <w:p>
            <w:pPr>
              <w:spacing w:before="0" w:after="0" w:line="245" w:lineRule="auto"/>
              <w:jc w:val="left"/>
            </w:pPr>
            <w:r/>
            <w:r>
              <w:rPr>
                <w:rFonts w:ascii="Calibri" w:hAnsi="Calibri"/>
                <w:b w:val="0"/>
                <w:i w:val="0"/>
                <w:color w:val="1D2939"/>
                <w:sz w:val="14"/>
              </w:rPr>
              <w:t>Start, queue, approve, mute, remove, and end functions working</w:t>
            </w:r>
          </w:p>
        </w:tc>
        <w:tc>
          <w:tcPr>
            <w:tcW w:type="dxa" w:w="2100"/>
          </w:tcPr>
          <w:p>
            <w:pPr>
              <w:spacing w:before="0" w:after="0" w:line="245" w:lineRule="auto"/>
              <w:jc w:val="center"/>
            </w:pPr>
            <w:r/>
            <w:r>
              <w:rPr>
                <w:rFonts w:ascii="Calibri" w:hAnsi="Calibri"/>
                <w:b w:val="0"/>
                <w:i w:val="0"/>
                <w:color w:val="1D2939"/>
                <w:sz w:val="14"/>
              </w:rPr>
              <w:t>Temiko</w:t>
            </w:r>
          </w:p>
        </w:tc>
      </w:tr>
      <w:tr>
        <w:trPr>
          <w:cantSplit/>
        </w:trPr>
        <w:tc>
          <w:tcPr>
            <w:tcW w:type="dxa" w:w="900"/>
            <w:shd w:fill="F3F4F6"/>
          </w:tcPr>
          <w:p>
            <w:pPr>
              <w:spacing w:before="0" w:after="0" w:line="245" w:lineRule="auto"/>
              <w:jc w:val="center"/>
            </w:pPr>
            <w:r/>
            <w:r>
              <w:rPr>
                <w:rFonts w:ascii="Calibri" w:hAnsi="Calibri"/>
                <w:b/>
                <w:i w:val="0"/>
                <w:color w:val="1D2939"/>
                <w:sz w:val="14"/>
              </w:rPr>
              <w:t>3.4</w:t>
            </w:r>
          </w:p>
        </w:tc>
        <w:tc>
          <w:tcPr>
            <w:tcW w:type="dxa" w:w="2760"/>
            <w:shd w:fill="F3F4F6"/>
          </w:tcPr>
          <w:p>
            <w:pPr>
              <w:spacing w:before="0" w:after="0" w:line="245" w:lineRule="auto"/>
              <w:jc w:val="left"/>
            </w:pPr>
            <w:r/>
            <w:r>
              <w:rPr>
                <w:rFonts w:ascii="Calibri" w:hAnsi="Calibri"/>
                <w:b w:val="0"/>
                <w:i w:val="0"/>
                <w:color w:val="1D2939"/>
                <w:sz w:val="14"/>
              </w:rPr>
              <w:t>Audio and AV integration</w:t>
            </w:r>
          </w:p>
        </w:tc>
        <w:tc>
          <w:tcPr>
            <w:tcW w:type="dxa" w:w="3600"/>
            <w:shd w:fill="F3F4F6"/>
          </w:tcPr>
          <w:p>
            <w:pPr>
              <w:spacing w:before="0" w:after="0" w:line="245" w:lineRule="auto"/>
              <w:jc w:val="left"/>
            </w:pPr>
            <w:r/>
            <w:r>
              <w:rPr>
                <w:rFonts w:ascii="Calibri" w:hAnsi="Calibri"/>
                <w:b w:val="0"/>
                <w:i w:val="0"/>
                <w:color w:val="1D2939"/>
                <w:sz w:val="14"/>
              </w:rPr>
              <w:t>One active microphone reaches room speakers without unsafe feedback</w:t>
            </w:r>
          </w:p>
        </w:tc>
        <w:tc>
          <w:tcPr>
            <w:tcW w:type="dxa" w:w="2100"/>
            <w:shd w:fill="F3F4F6"/>
          </w:tcPr>
          <w:p>
            <w:pPr>
              <w:spacing w:before="0" w:after="0" w:line="245" w:lineRule="auto"/>
              <w:jc w:val="center"/>
            </w:pPr>
            <w:r/>
            <w:r>
              <w:rPr>
                <w:rFonts w:ascii="Calibri" w:hAnsi="Calibri"/>
                <w:b w:val="0"/>
                <w:i w:val="0"/>
                <w:color w:val="1D2939"/>
                <w:sz w:val="14"/>
              </w:rPr>
              <w:t>Temiko plus AV</w:t>
            </w:r>
          </w:p>
        </w:tc>
      </w:tr>
      <w:tr>
        <w:trPr>
          <w:cantSplit/>
        </w:trPr>
        <w:tc>
          <w:tcPr>
            <w:tcW w:type="dxa" w:w="900"/>
            <w:shd w:fill="EAF2F8"/>
          </w:tcPr>
          <w:p>
            <w:pPr>
              <w:spacing w:before="0" w:after="0" w:line="245" w:lineRule="auto"/>
              <w:jc w:val="center"/>
            </w:pPr>
            <w:r/>
            <w:r>
              <w:rPr>
                <w:rFonts w:ascii="Calibri" w:hAnsi="Calibri"/>
                <w:b/>
                <w:i w:val="0"/>
                <w:color w:val="1D2939"/>
                <w:sz w:val="14"/>
              </w:rPr>
              <w:t>4.0</w:t>
            </w:r>
          </w:p>
        </w:tc>
        <w:tc>
          <w:tcPr>
            <w:tcW w:type="dxa" w:w="2760"/>
            <w:shd w:fill="EAF2F8"/>
          </w:tcPr>
          <w:p>
            <w:pPr>
              <w:spacing w:before="0" w:after="0" w:line="245" w:lineRule="auto"/>
              <w:jc w:val="left"/>
            </w:pPr>
            <w:r/>
            <w:r>
              <w:rPr>
                <w:rFonts w:ascii="Calibri" w:hAnsi="Calibri"/>
                <w:b/>
                <w:i w:val="0"/>
                <w:color w:val="1D2939"/>
                <w:sz w:val="14"/>
              </w:rPr>
              <w:t>Validation and readiness</w:t>
            </w:r>
          </w:p>
        </w:tc>
        <w:tc>
          <w:tcPr>
            <w:tcW w:type="dxa" w:w="3600"/>
            <w:shd w:fill="EAF2F8"/>
          </w:tcPr>
          <w:p>
            <w:pPr>
              <w:spacing w:before="0" w:after="0" w:line="245" w:lineRule="auto"/>
              <w:jc w:val="left"/>
            </w:pPr>
            <w:r/>
            <w:r>
              <w:rPr>
                <w:rFonts w:ascii="Calibri" w:hAnsi="Calibri"/>
                <w:b/>
                <w:i w:val="0"/>
                <w:color w:val="1D2939"/>
                <w:sz w:val="14"/>
              </w:rPr>
              <w:t>Release 1 approved for controlled pilot</w:t>
            </w:r>
          </w:p>
        </w:tc>
        <w:tc>
          <w:tcPr>
            <w:tcW w:type="dxa" w:w="2100"/>
            <w:shd w:fill="EAF2F8"/>
          </w:tcPr>
          <w:p>
            <w:pPr>
              <w:spacing w:before="0" w:after="0" w:line="245" w:lineRule="auto"/>
              <w:jc w:val="center"/>
            </w:pPr>
            <w:r/>
            <w:r>
              <w:rPr>
                <w:rFonts w:ascii="Calibri" w:hAnsi="Calibri"/>
                <w:b/>
                <w:i w:val="0"/>
                <w:color w:val="1D2939"/>
                <w:sz w:val="14"/>
              </w:rPr>
              <w:t>Project team</w:t>
            </w:r>
          </w:p>
        </w:tc>
      </w:tr>
      <w:tr>
        <w:trPr>
          <w:cantSplit/>
        </w:trPr>
        <w:tc>
          <w:tcPr>
            <w:tcW w:type="dxa" w:w="900"/>
            <w:shd w:fill="F3F4F6"/>
          </w:tcPr>
          <w:p>
            <w:pPr>
              <w:spacing w:before="0" w:after="0" w:line="245" w:lineRule="auto"/>
              <w:jc w:val="center"/>
            </w:pPr>
            <w:r/>
            <w:r>
              <w:rPr>
                <w:rFonts w:ascii="Calibri" w:hAnsi="Calibri"/>
                <w:b/>
                <w:i w:val="0"/>
                <w:color w:val="1D2939"/>
                <w:sz w:val="14"/>
              </w:rPr>
              <w:t>4.1</w:t>
            </w:r>
          </w:p>
        </w:tc>
        <w:tc>
          <w:tcPr>
            <w:tcW w:type="dxa" w:w="2760"/>
            <w:shd w:fill="F3F4F6"/>
          </w:tcPr>
          <w:p>
            <w:pPr>
              <w:spacing w:before="0" w:after="0" w:line="245" w:lineRule="auto"/>
              <w:jc w:val="left"/>
            </w:pPr>
            <w:r/>
            <w:r>
              <w:rPr>
                <w:rFonts w:ascii="Calibri" w:hAnsi="Calibri"/>
                <w:b w:val="0"/>
                <w:i w:val="0"/>
                <w:color w:val="1D2939"/>
                <w:sz w:val="14"/>
              </w:rPr>
              <w:t>Functional and integration test</w:t>
            </w:r>
          </w:p>
        </w:tc>
        <w:tc>
          <w:tcPr>
            <w:tcW w:type="dxa" w:w="3600"/>
            <w:shd w:fill="F3F4F6"/>
          </w:tcPr>
          <w:p>
            <w:pPr>
              <w:spacing w:before="0" w:after="0" w:line="245" w:lineRule="auto"/>
              <w:jc w:val="left"/>
            </w:pPr>
            <w:r/>
            <w:r>
              <w:rPr>
                <w:rFonts w:ascii="Calibri" w:hAnsi="Calibri"/>
                <w:b w:val="0"/>
                <w:i w:val="0"/>
                <w:color w:val="1D2939"/>
                <w:sz w:val="14"/>
              </w:rPr>
              <w:t>Must-have tests passed and defects triaged</w:t>
            </w:r>
          </w:p>
        </w:tc>
        <w:tc>
          <w:tcPr>
            <w:tcW w:type="dxa" w:w="2100"/>
            <w:shd w:fill="F3F4F6"/>
          </w:tcPr>
          <w:p>
            <w:pPr>
              <w:spacing w:before="0" w:after="0" w:line="245" w:lineRule="auto"/>
              <w:jc w:val="center"/>
            </w:pPr>
            <w:r/>
            <w:r>
              <w:rPr>
                <w:rFonts w:ascii="Calibri" w:hAnsi="Calibri"/>
                <w:b w:val="0"/>
                <w:i w:val="0"/>
                <w:color w:val="1D2939"/>
                <w:sz w:val="14"/>
              </w:rPr>
              <w:t>Temiko</w:t>
            </w:r>
          </w:p>
        </w:tc>
      </w:tr>
      <w:tr>
        <w:trPr>
          <w:cantSplit/>
        </w:trPr>
        <w:tc>
          <w:tcPr>
            <w:tcW w:type="dxa" w:w="900"/>
          </w:tcPr>
          <w:p>
            <w:pPr>
              <w:spacing w:before="0" w:after="0" w:line="245" w:lineRule="auto"/>
              <w:jc w:val="center"/>
            </w:pPr>
            <w:r/>
            <w:r>
              <w:rPr>
                <w:rFonts w:ascii="Calibri" w:hAnsi="Calibri"/>
                <w:b/>
                <w:i w:val="0"/>
                <w:color w:val="1D2939"/>
                <w:sz w:val="14"/>
              </w:rPr>
              <w:t>4.2</w:t>
            </w:r>
          </w:p>
        </w:tc>
        <w:tc>
          <w:tcPr>
            <w:tcW w:type="dxa" w:w="2760"/>
          </w:tcPr>
          <w:p>
            <w:pPr>
              <w:spacing w:before="0" w:after="0" w:line="245" w:lineRule="auto"/>
              <w:jc w:val="left"/>
            </w:pPr>
            <w:r/>
            <w:r>
              <w:rPr>
                <w:rFonts w:ascii="Calibri" w:hAnsi="Calibri"/>
                <w:b w:val="0"/>
                <w:i w:val="0"/>
                <w:color w:val="1D2939"/>
                <w:sz w:val="14"/>
              </w:rPr>
              <w:t>Security privacy accessibility review</w:t>
            </w:r>
          </w:p>
        </w:tc>
        <w:tc>
          <w:tcPr>
            <w:tcW w:type="dxa" w:w="3600"/>
          </w:tcPr>
          <w:p>
            <w:pPr>
              <w:spacing w:before="0" w:after="0" w:line="245" w:lineRule="auto"/>
              <w:jc w:val="left"/>
            </w:pPr>
            <w:r/>
            <w:r>
              <w:rPr>
                <w:rFonts w:ascii="Calibri" w:hAnsi="Calibri"/>
                <w:b w:val="0"/>
                <w:i w:val="0"/>
                <w:color w:val="1D2939"/>
                <w:sz w:val="14"/>
              </w:rPr>
              <w:t>Control evidence accepted; no critical exception open</w:t>
            </w:r>
          </w:p>
        </w:tc>
        <w:tc>
          <w:tcPr>
            <w:tcW w:type="dxa" w:w="2100"/>
          </w:tcPr>
          <w:p>
            <w:pPr>
              <w:spacing w:before="0" w:after="0" w:line="245" w:lineRule="auto"/>
              <w:jc w:val="center"/>
            </w:pPr>
            <w:r/>
            <w:r>
              <w:rPr>
                <w:rFonts w:ascii="Calibri" w:hAnsi="Calibri"/>
                <w:b w:val="0"/>
                <w:i w:val="0"/>
                <w:color w:val="1D2939"/>
                <w:sz w:val="14"/>
              </w:rPr>
              <w:t>Control owners</w:t>
            </w:r>
          </w:p>
        </w:tc>
      </w:tr>
      <w:tr>
        <w:trPr>
          <w:cantSplit/>
        </w:trPr>
        <w:tc>
          <w:tcPr>
            <w:tcW w:type="dxa" w:w="900"/>
            <w:shd w:fill="F3F4F6"/>
          </w:tcPr>
          <w:p>
            <w:pPr>
              <w:spacing w:before="0" w:after="0" w:line="245" w:lineRule="auto"/>
              <w:jc w:val="center"/>
            </w:pPr>
            <w:r/>
            <w:r>
              <w:rPr>
                <w:rFonts w:ascii="Calibri" w:hAnsi="Calibri"/>
                <w:b/>
                <w:i w:val="0"/>
                <w:color w:val="1D2939"/>
                <w:sz w:val="14"/>
              </w:rPr>
              <w:t>4.3</w:t>
            </w:r>
          </w:p>
        </w:tc>
        <w:tc>
          <w:tcPr>
            <w:tcW w:type="dxa" w:w="2760"/>
            <w:shd w:fill="F3F4F6"/>
          </w:tcPr>
          <w:p>
            <w:pPr>
              <w:spacing w:before="0" w:after="0" w:line="245" w:lineRule="auto"/>
              <w:jc w:val="left"/>
            </w:pPr>
            <w:r/>
            <w:r>
              <w:rPr>
                <w:rFonts w:ascii="Calibri" w:hAnsi="Calibri"/>
                <w:b w:val="0"/>
                <w:i w:val="0"/>
                <w:color w:val="1D2939"/>
                <w:sz w:val="14"/>
              </w:rPr>
              <w:t>User acceptance and training</w:t>
            </w:r>
          </w:p>
        </w:tc>
        <w:tc>
          <w:tcPr>
            <w:tcW w:type="dxa" w:w="3600"/>
            <w:shd w:fill="F3F4F6"/>
          </w:tcPr>
          <w:p>
            <w:pPr>
              <w:spacing w:before="0" w:after="0" w:line="245" w:lineRule="auto"/>
              <w:jc w:val="left"/>
            </w:pPr>
            <w:r/>
            <w:r>
              <w:rPr>
                <w:rFonts w:ascii="Calibri" w:hAnsi="Calibri"/>
                <w:b w:val="0"/>
                <w:i w:val="0"/>
                <w:color w:val="1D2939"/>
                <w:sz w:val="14"/>
              </w:rPr>
              <w:t>Pilot instructors accept workflow and complete briefing</w:t>
            </w:r>
          </w:p>
        </w:tc>
        <w:tc>
          <w:tcPr>
            <w:tcW w:type="dxa" w:w="2100"/>
            <w:shd w:fill="F3F4F6"/>
          </w:tcPr>
          <w:p>
            <w:pPr>
              <w:spacing w:before="0" w:after="0" w:line="245" w:lineRule="auto"/>
              <w:jc w:val="center"/>
            </w:pPr>
            <w:r/>
            <w:r>
              <w:rPr>
                <w:rFonts w:ascii="Calibri" w:hAnsi="Calibri"/>
                <w:b w:val="0"/>
                <w:i w:val="0"/>
                <w:color w:val="1D2939"/>
                <w:sz w:val="14"/>
              </w:rPr>
              <w:t>Nurtore plus instructors</w:t>
            </w:r>
          </w:p>
        </w:tc>
      </w:tr>
      <w:tr>
        <w:trPr>
          <w:cantSplit/>
        </w:trPr>
        <w:tc>
          <w:tcPr>
            <w:tcW w:type="dxa" w:w="900"/>
            <w:shd w:fill="EAF2F8"/>
          </w:tcPr>
          <w:p>
            <w:pPr>
              <w:spacing w:before="0" w:after="0" w:line="245" w:lineRule="auto"/>
              <w:jc w:val="center"/>
            </w:pPr>
            <w:r/>
            <w:r>
              <w:rPr>
                <w:rFonts w:ascii="Calibri" w:hAnsi="Calibri"/>
                <w:b/>
                <w:i w:val="0"/>
                <w:color w:val="1D2939"/>
                <w:sz w:val="14"/>
              </w:rPr>
              <w:t>5.0</w:t>
            </w:r>
          </w:p>
        </w:tc>
        <w:tc>
          <w:tcPr>
            <w:tcW w:type="dxa" w:w="2760"/>
            <w:shd w:fill="EAF2F8"/>
          </w:tcPr>
          <w:p>
            <w:pPr>
              <w:spacing w:before="0" w:after="0" w:line="245" w:lineRule="auto"/>
              <w:jc w:val="left"/>
            </w:pPr>
            <w:r/>
            <w:r>
              <w:rPr>
                <w:rFonts w:ascii="Calibri" w:hAnsi="Calibri"/>
                <w:b/>
                <w:i w:val="0"/>
                <w:color w:val="1D2939"/>
                <w:sz w:val="14"/>
              </w:rPr>
              <w:t>Pilot and support</w:t>
            </w:r>
          </w:p>
        </w:tc>
        <w:tc>
          <w:tcPr>
            <w:tcW w:type="dxa" w:w="3600"/>
            <w:shd w:fill="EAF2F8"/>
          </w:tcPr>
          <w:p>
            <w:pPr>
              <w:spacing w:before="0" w:after="0" w:line="245" w:lineRule="auto"/>
              <w:jc w:val="left"/>
            </w:pPr>
            <w:r/>
            <w:r>
              <w:rPr>
                <w:rFonts w:ascii="Calibri" w:hAnsi="Calibri"/>
                <w:b/>
                <w:i w:val="0"/>
                <w:color w:val="1D2939"/>
                <w:sz w:val="14"/>
              </w:rPr>
              <w:t>Six-week evidence-producing classroom pilot</w:t>
            </w:r>
          </w:p>
        </w:tc>
        <w:tc>
          <w:tcPr>
            <w:tcW w:type="dxa" w:w="2100"/>
            <w:shd w:fill="EAF2F8"/>
          </w:tcPr>
          <w:p>
            <w:pPr>
              <w:spacing w:before="0" w:after="0" w:line="245" w:lineRule="auto"/>
              <w:jc w:val="center"/>
            </w:pPr>
            <w:r/>
            <w:r>
              <w:rPr>
                <w:rFonts w:ascii="Calibri" w:hAnsi="Calibri"/>
                <w:b/>
                <w:i w:val="0"/>
                <w:color w:val="1D2939"/>
                <w:sz w:val="14"/>
              </w:rPr>
              <w:t>Nurtore</w:t>
            </w:r>
          </w:p>
        </w:tc>
      </w:tr>
      <w:tr>
        <w:trPr>
          <w:cantSplit/>
        </w:trPr>
        <w:tc>
          <w:tcPr>
            <w:tcW w:type="dxa" w:w="900"/>
            <w:shd w:fill="F3F4F6"/>
          </w:tcPr>
          <w:p>
            <w:pPr>
              <w:spacing w:before="0" w:after="0" w:line="245" w:lineRule="auto"/>
              <w:jc w:val="center"/>
            </w:pPr>
            <w:r/>
            <w:r>
              <w:rPr>
                <w:rFonts w:ascii="Calibri" w:hAnsi="Calibri"/>
                <w:b/>
                <w:i w:val="0"/>
                <w:color w:val="1D2939"/>
                <w:sz w:val="14"/>
              </w:rPr>
              <w:t>5.1</w:t>
            </w:r>
          </w:p>
        </w:tc>
        <w:tc>
          <w:tcPr>
            <w:tcW w:type="dxa" w:w="2760"/>
            <w:shd w:fill="F3F4F6"/>
          </w:tcPr>
          <w:p>
            <w:pPr>
              <w:spacing w:before="0" w:after="0" w:line="245" w:lineRule="auto"/>
              <w:jc w:val="left"/>
            </w:pPr>
            <w:r/>
            <w:r>
              <w:rPr>
                <w:rFonts w:ascii="Calibri" w:hAnsi="Calibri"/>
                <w:b w:val="0"/>
                <w:i w:val="0"/>
                <w:color w:val="1D2939"/>
                <w:sz w:val="14"/>
              </w:rPr>
              <w:t>Participant onboarding</w:t>
            </w:r>
          </w:p>
        </w:tc>
        <w:tc>
          <w:tcPr>
            <w:tcW w:type="dxa" w:w="3600"/>
            <w:shd w:fill="F3F4F6"/>
          </w:tcPr>
          <w:p>
            <w:pPr>
              <w:spacing w:before="0" w:after="0" w:line="245" w:lineRule="auto"/>
              <w:jc w:val="left"/>
            </w:pPr>
            <w:r/>
            <w:r>
              <w:rPr>
                <w:rFonts w:ascii="Calibri" w:hAnsi="Calibri"/>
                <w:b w:val="0"/>
                <w:i w:val="0"/>
                <w:color w:val="1D2939"/>
                <w:sz w:val="14"/>
              </w:rPr>
              <w:t>Rooms, instructors, students, notices, and fallback ready</w:t>
            </w:r>
          </w:p>
        </w:tc>
        <w:tc>
          <w:tcPr>
            <w:tcW w:type="dxa" w:w="2100"/>
            <w:shd w:fill="F3F4F6"/>
          </w:tcPr>
          <w:p>
            <w:pPr>
              <w:spacing w:before="0" w:after="0" w:line="245" w:lineRule="auto"/>
              <w:jc w:val="center"/>
            </w:pPr>
            <w:r/>
            <w:r>
              <w:rPr>
                <w:rFonts w:ascii="Calibri" w:hAnsi="Calibri"/>
                <w:b w:val="0"/>
                <w:i w:val="0"/>
                <w:color w:val="1D2939"/>
                <w:sz w:val="14"/>
              </w:rPr>
              <w:t>Nurtore</w:t>
            </w:r>
          </w:p>
        </w:tc>
      </w:tr>
      <w:tr>
        <w:trPr>
          <w:cantSplit/>
        </w:trPr>
        <w:tc>
          <w:tcPr>
            <w:tcW w:type="dxa" w:w="900"/>
          </w:tcPr>
          <w:p>
            <w:pPr>
              <w:spacing w:before="0" w:after="0" w:line="245" w:lineRule="auto"/>
              <w:jc w:val="center"/>
            </w:pPr>
            <w:r/>
            <w:r>
              <w:rPr>
                <w:rFonts w:ascii="Calibri" w:hAnsi="Calibri"/>
                <w:b/>
                <w:i w:val="0"/>
                <w:color w:val="1D2939"/>
                <w:sz w:val="14"/>
              </w:rPr>
              <w:t>5.2</w:t>
            </w:r>
          </w:p>
        </w:tc>
        <w:tc>
          <w:tcPr>
            <w:tcW w:type="dxa" w:w="2760"/>
          </w:tcPr>
          <w:p>
            <w:pPr>
              <w:spacing w:before="0" w:after="0" w:line="245" w:lineRule="auto"/>
              <w:jc w:val="left"/>
            </w:pPr>
            <w:r/>
            <w:r>
              <w:rPr>
                <w:rFonts w:ascii="Calibri" w:hAnsi="Calibri"/>
                <w:b w:val="0"/>
                <w:i w:val="0"/>
                <w:color w:val="1D2939"/>
                <w:sz w:val="14"/>
              </w:rPr>
              <w:t>Live pilot operations</w:t>
            </w:r>
          </w:p>
        </w:tc>
        <w:tc>
          <w:tcPr>
            <w:tcW w:type="dxa" w:w="3600"/>
          </w:tcPr>
          <w:p>
            <w:pPr>
              <w:spacing w:before="0" w:after="0" w:line="245" w:lineRule="auto"/>
              <w:jc w:val="left"/>
            </w:pPr>
            <w:r/>
            <w:r>
              <w:rPr>
                <w:rFonts w:ascii="Calibri" w:hAnsi="Calibri"/>
                <w:b w:val="0"/>
                <w:i w:val="0"/>
                <w:color w:val="1D2939"/>
                <w:sz w:val="14"/>
              </w:rPr>
              <w:t>Sessions supported; incidents, defects, and metrics recorded</w:t>
            </w:r>
          </w:p>
        </w:tc>
        <w:tc>
          <w:tcPr>
            <w:tcW w:type="dxa" w:w="2100"/>
          </w:tcPr>
          <w:p>
            <w:pPr>
              <w:spacing w:before="0" w:after="0" w:line="245" w:lineRule="auto"/>
              <w:jc w:val="center"/>
            </w:pPr>
            <w:r/>
            <w:r>
              <w:rPr>
                <w:rFonts w:ascii="Calibri" w:hAnsi="Calibri"/>
                <w:b w:val="0"/>
                <w:i w:val="0"/>
                <w:color w:val="1D2939"/>
                <w:sz w:val="14"/>
              </w:rPr>
              <w:t>Nurtore plus IT and AV</w:t>
            </w:r>
          </w:p>
        </w:tc>
      </w:tr>
      <w:tr>
        <w:trPr>
          <w:cantSplit/>
        </w:trPr>
        <w:tc>
          <w:tcPr>
            <w:tcW w:type="dxa" w:w="900"/>
            <w:shd w:fill="F3F4F6"/>
          </w:tcPr>
          <w:p>
            <w:pPr>
              <w:spacing w:before="0" w:after="0" w:line="245" w:lineRule="auto"/>
              <w:jc w:val="center"/>
            </w:pPr>
            <w:r/>
            <w:r>
              <w:rPr>
                <w:rFonts w:ascii="Calibri" w:hAnsi="Calibri"/>
                <w:b/>
                <w:i w:val="0"/>
                <w:color w:val="1D2939"/>
                <w:sz w:val="14"/>
              </w:rPr>
              <w:t>5.3</w:t>
            </w:r>
          </w:p>
        </w:tc>
        <w:tc>
          <w:tcPr>
            <w:tcW w:type="dxa" w:w="2760"/>
            <w:shd w:fill="F3F4F6"/>
          </w:tcPr>
          <w:p>
            <w:pPr>
              <w:spacing w:before="0" w:after="0" w:line="245" w:lineRule="auto"/>
              <w:jc w:val="left"/>
            </w:pPr>
            <w:r/>
            <w:r>
              <w:rPr>
                <w:rFonts w:ascii="Calibri" w:hAnsi="Calibri"/>
                <w:b w:val="0"/>
                <w:i w:val="0"/>
                <w:color w:val="1D2939"/>
                <w:sz w:val="14"/>
              </w:rPr>
              <w:t>Measurement and evaluation</w:t>
            </w:r>
          </w:p>
        </w:tc>
        <w:tc>
          <w:tcPr>
            <w:tcW w:type="dxa" w:w="3600"/>
            <w:shd w:fill="F3F4F6"/>
          </w:tcPr>
          <w:p>
            <w:pPr>
              <w:spacing w:before="0" w:after="0" w:line="245" w:lineRule="auto"/>
              <w:jc w:val="left"/>
            </w:pPr>
            <w:r/>
            <w:r>
              <w:rPr>
                <w:rFonts w:ascii="Calibri" w:hAnsi="Calibri"/>
                <w:b w:val="0"/>
                <w:i w:val="0"/>
                <w:color w:val="1D2939"/>
                <w:sz w:val="14"/>
              </w:rPr>
              <w:t>Performance, adoption, support, and satisfaction results analyzed</w:t>
            </w:r>
          </w:p>
        </w:tc>
        <w:tc>
          <w:tcPr>
            <w:tcW w:type="dxa" w:w="2100"/>
            <w:shd w:fill="F3F4F6"/>
          </w:tcPr>
          <w:p>
            <w:pPr>
              <w:spacing w:before="0" w:after="0" w:line="245" w:lineRule="auto"/>
              <w:jc w:val="center"/>
            </w:pPr>
            <w:r/>
            <w:r>
              <w:rPr>
                <w:rFonts w:ascii="Calibri" w:hAnsi="Calibri"/>
                <w:b w:val="0"/>
                <w:i w:val="0"/>
                <w:color w:val="1D2939"/>
                <w:sz w:val="14"/>
              </w:rPr>
              <w:t>Nurtore</w:t>
            </w:r>
          </w:p>
        </w:tc>
      </w:tr>
      <w:tr>
        <w:trPr>
          <w:cantSplit/>
        </w:trPr>
        <w:tc>
          <w:tcPr>
            <w:tcW w:type="dxa" w:w="900"/>
            <w:shd w:fill="EAF2F8"/>
          </w:tcPr>
          <w:p>
            <w:pPr>
              <w:spacing w:before="0" w:after="0" w:line="245" w:lineRule="auto"/>
              <w:jc w:val="center"/>
            </w:pPr>
            <w:r/>
            <w:r>
              <w:rPr>
                <w:rFonts w:ascii="Calibri" w:hAnsi="Calibri"/>
                <w:b/>
                <w:i w:val="0"/>
                <w:color w:val="1D2939"/>
                <w:sz w:val="14"/>
              </w:rPr>
              <w:t>6.0</w:t>
            </w:r>
          </w:p>
        </w:tc>
        <w:tc>
          <w:tcPr>
            <w:tcW w:type="dxa" w:w="2760"/>
            <w:shd w:fill="EAF2F8"/>
          </w:tcPr>
          <w:p>
            <w:pPr>
              <w:spacing w:before="0" w:after="0" w:line="245" w:lineRule="auto"/>
              <w:jc w:val="left"/>
            </w:pPr>
            <w:r/>
            <w:r>
              <w:rPr>
                <w:rFonts w:ascii="Calibri" w:hAnsi="Calibri"/>
                <w:b/>
                <w:i w:val="0"/>
                <w:color w:val="1D2939"/>
                <w:sz w:val="14"/>
              </w:rPr>
              <w:t>Closeout and decision</w:t>
            </w:r>
          </w:p>
        </w:tc>
        <w:tc>
          <w:tcPr>
            <w:tcW w:type="dxa" w:w="3600"/>
            <w:shd w:fill="EAF2F8"/>
          </w:tcPr>
          <w:p>
            <w:pPr>
              <w:spacing w:before="0" w:after="0" w:line="245" w:lineRule="auto"/>
              <w:jc w:val="left"/>
            </w:pPr>
            <w:r/>
            <w:r>
              <w:rPr>
                <w:rFonts w:ascii="Calibri" w:hAnsi="Calibri"/>
                <w:b/>
                <w:i w:val="0"/>
                <w:color w:val="1D2939"/>
                <w:sz w:val="14"/>
              </w:rPr>
              <w:t>Final recommendation, decision, and archived evidence</w:t>
            </w:r>
          </w:p>
        </w:tc>
        <w:tc>
          <w:tcPr>
            <w:tcW w:type="dxa" w:w="2100"/>
            <w:shd w:fill="EAF2F8"/>
          </w:tcPr>
          <w:p>
            <w:pPr>
              <w:spacing w:before="0" w:after="0" w:line="245" w:lineRule="auto"/>
              <w:jc w:val="center"/>
            </w:pPr>
            <w:r/>
            <w:r>
              <w:rPr>
                <w:rFonts w:ascii="Calibri" w:hAnsi="Calibri"/>
                <w:b/>
                <w:i w:val="0"/>
                <w:color w:val="1D2939"/>
                <w:sz w:val="14"/>
              </w:rPr>
              <w:t>Team and sponsor</w:t>
            </w:r>
          </w:p>
        </w:tc>
      </w:tr>
    </w:tbl>
    <w:p>
      <w:pPr>
        <w:pStyle w:val="Heading1"/>
      </w:pPr>
      <w:r>
        <w:t>9 Responsibility summary</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00"/>
        <w:gridCol w:w="3840"/>
        <w:gridCol w:w="3120"/>
      </w:tblGrid>
      <w:tr>
        <w:trPr>
          <w:tblHeader w:val="true"/>
          <w:cantSplit/>
        </w:trPr>
        <w:tc>
          <w:tcPr>
            <w:tcW w:type="dxa" w:w="24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6"/>
              </w:rPr>
              <w:t>Role</w:t>
            </w:r>
          </w:p>
        </w:tc>
        <w:tc>
          <w:tcPr>
            <w:tcW w:type="dxa" w:w="384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Accountability</w:t>
            </w:r>
          </w:p>
        </w:tc>
        <w:tc>
          <w:tcPr>
            <w:tcW w:type="dxa" w:w="312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Key approvals or handoffs</w:t>
            </w:r>
          </w:p>
        </w:tc>
      </w:tr>
      <w:tr>
        <w:trPr>
          <w:cantSplit/>
        </w:trPr>
        <w:tc>
          <w:tcPr>
            <w:tcW w:type="dxa" w:w="2400"/>
          </w:tcPr>
          <w:p>
            <w:pPr>
              <w:spacing w:before="0" w:after="0" w:line="245" w:lineRule="auto"/>
              <w:jc w:val="left"/>
            </w:pPr>
            <w:r/>
            <w:r>
              <w:rPr>
                <w:rFonts w:ascii="Calibri" w:hAnsi="Calibri"/>
                <w:b/>
                <w:i w:val="0"/>
                <w:color w:val="1D2939"/>
                <w:sz w:val="15"/>
              </w:rPr>
              <w:t>Nurtore Arynuruly  Project manager</w:t>
            </w:r>
          </w:p>
        </w:tc>
        <w:tc>
          <w:tcPr>
            <w:tcW w:type="dxa" w:w="3840"/>
          </w:tcPr>
          <w:p>
            <w:pPr>
              <w:spacing w:before="0" w:after="0" w:line="245" w:lineRule="auto"/>
              <w:jc w:val="left"/>
            </w:pPr>
            <w:r/>
            <w:r>
              <w:rPr>
                <w:rFonts w:ascii="Calibri" w:hAnsi="Calibri"/>
                <w:b w:val="0"/>
                <w:i w:val="0"/>
                <w:color w:val="1D2939"/>
                <w:sz w:val="15"/>
              </w:rPr>
              <w:t>Integrated baseline, business analysis, coordination, status, change control, pilot operations, and evaluation.</w:t>
            </w:r>
          </w:p>
        </w:tc>
        <w:tc>
          <w:tcPr>
            <w:tcW w:type="dxa" w:w="3120"/>
          </w:tcPr>
          <w:p>
            <w:pPr>
              <w:spacing w:before="0" w:after="0" w:line="245" w:lineRule="auto"/>
              <w:jc w:val="left"/>
            </w:pPr>
            <w:r/>
            <w:r>
              <w:rPr>
                <w:rFonts w:ascii="Calibri" w:hAnsi="Calibri"/>
                <w:b w:val="0"/>
                <w:i w:val="0"/>
                <w:color w:val="1D2939"/>
                <w:sz w:val="15"/>
              </w:rPr>
              <w:t>Business requirements, UAT readiness, status, and sponsor recommendations.</w:t>
            </w:r>
          </w:p>
        </w:tc>
      </w:tr>
      <w:tr>
        <w:trPr>
          <w:cantSplit/>
        </w:trPr>
        <w:tc>
          <w:tcPr>
            <w:tcW w:type="dxa" w:w="2400"/>
            <w:shd w:fill="F3F4F6"/>
          </w:tcPr>
          <w:p>
            <w:pPr>
              <w:spacing w:before="0" w:after="0" w:line="245" w:lineRule="auto"/>
              <w:jc w:val="left"/>
            </w:pPr>
            <w:r/>
            <w:r>
              <w:rPr>
                <w:rFonts w:ascii="Calibri" w:hAnsi="Calibri"/>
                <w:b/>
                <w:i w:val="0"/>
                <w:color w:val="1D2939"/>
                <w:sz w:val="15"/>
              </w:rPr>
              <w:t>Temiko Machavariani  Technical lead</w:t>
            </w:r>
          </w:p>
        </w:tc>
        <w:tc>
          <w:tcPr>
            <w:tcW w:type="dxa" w:w="3840"/>
            <w:shd w:fill="F3F4F6"/>
          </w:tcPr>
          <w:p>
            <w:pPr>
              <w:spacing w:before="0" w:after="0" w:line="245" w:lineRule="auto"/>
              <w:jc w:val="left"/>
            </w:pPr>
            <w:r/>
            <w:r>
              <w:rPr>
                <w:rFonts w:ascii="Calibri" w:hAnsi="Calibri"/>
                <w:b w:val="0"/>
                <w:i w:val="0"/>
                <w:color w:val="1D2939"/>
                <w:sz w:val="15"/>
              </w:rPr>
              <w:t>Architecture, build, AV integration, technical testing, defect correction, and technical evidence.</w:t>
            </w:r>
          </w:p>
        </w:tc>
        <w:tc>
          <w:tcPr>
            <w:tcW w:type="dxa" w:w="3120"/>
            <w:shd w:fill="F3F4F6"/>
          </w:tcPr>
          <w:p>
            <w:pPr>
              <w:spacing w:before="0" w:after="0" w:line="245" w:lineRule="auto"/>
              <w:jc w:val="left"/>
            </w:pPr>
            <w:r/>
            <w:r>
              <w:rPr>
                <w:rFonts w:ascii="Calibri" w:hAnsi="Calibri"/>
                <w:b w:val="0"/>
                <w:i w:val="0"/>
                <w:color w:val="1D2939"/>
                <w:sz w:val="15"/>
              </w:rPr>
              <w:t>Release candidate, test evidence, and technical readiness.</w:t>
            </w:r>
          </w:p>
        </w:tc>
      </w:tr>
      <w:tr>
        <w:trPr>
          <w:cantSplit/>
        </w:trPr>
        <w:tc>
          <w:tcPr>
            <w:tcW w:type="dxa" w:w="2400"/>
          </w:tcPr>
          <w:p>
            <w:pPr>
              <w:spacing w:before="0" w:after="0" w:line="245" w:lineRule="auto"/>
              <w:jc w:val="left"/>
            </w:pPr>
            <w:r/>
            <w:r>
              <w:rPr>
                <w:rFonts w:ascii="Calibri" w:hAnsi="Calibri"/>
                <w:b/>
                <w:i w:val="0"/>
                <w:color w:val="1D2939"/>
                <w:sz w:val="15"/>
              </w:rPr>
              <w:t>Dean of Academic Affairs  Sponsor</w:t>
            </w:r>
          </w:p>
        </w:tc>
        <w:tc>
          <w:tcPr>
            <w:tcW w:type="dxa" w:w="3840"/>
          </w:tcPr>
          <w:p>
            <w:pPr>
              <w:spacing w:before="0" w:after="0" w:line="245" w:lineRule="auto"/>
              <w:jc w:val="left"/>
            </w:pPr>
            <w:r/>
            <w:r>
              <w:rPr>
                <w:rFonts w:ascii="Calibri" w:hAnsi="Calibri"/>
                <w:b w:val="0"/>
                <w:i w:val="0"/>
                <w:color w:val="1D2939"/>
                <w:sz w:val="15"/>
              </w:rPr>
              <w:t>Funding and resource authorization, major exceptions, and final disposition.</w:t>
            </w:r>
          </w:p>
        </w:tc>
        <w:tc>
          <w:tcPr>
            <w:tcW w:type="dxa" w:w="3120"/>
          </w:tcPr>
          <w:p>
            <w:pPr>
              <w:spacing w:before="0" w:after="0" w:line="245" w:lineRule="auto"/>
              <w:jc w:val="left"/>
            </w:pPr>
            <w:r/>
            <w:r>
              <w:rPr>
                <w:rFonts w:ascii="Calibri" w:hAnsi="Calibri"/>
                <w:b w:val="0"/>
                <w:i w:val="0"/>
                <w:color w:val="1D2939"/>
                <w:sz w:val="15"/>
              </w:rPr>
              <w:t>Baseline changes, risk exceptions, and close revise or continue decision.</w:t>
            </w:r>
          </w:p>
        </w:tc>
      </w:tr>
    </w:tbl>
    <w:p>
      <w:pPr>
        <w:sectPr>
          <w:headerReference w:type="default" r:id="rId9"/>
          <w:footerReference w:type="default" r:id="rId10"/>
          <w:pgSz w:w="12240" w:h="15840"/>
          <w:pgMar w:top="893" w:right="1440" w:bottom="893" w:left="1440" w:header="403" w:footer="403" w:gutter="0"/>
          <w:cols w:space="720"/>
          <w:docGrid w:linePitch="360"/>
        </w:sectPr>
      </w:pPr>
    </w:p>
    <w:p>
      <w:pPr>
        <w:pStyle w:val="Heading1"/>
      </w:pPr>
      <w:r>
        <w:t>10 Schedule and critical path</w:t>
      </w:r>
    </w:p>
    <w:p>
      <w:pPr>
        <w:keepNext w:val="0"/>
        <w:spacing w:before="0" w:after="80" w:line="259" w:lineRule="auto"/>
        <w:jc w:val="left"/>
      </w:pPr>
      <w:r>
        <w:rPr>
          <w:rFonts w:ascii="Calibri" w:hAnsi="Calibri"/>
          <w:b w:val="0"/>
          <w:i w:val="0"/>
          <w:color w:val="667085"/>
          <w:sz w:val="18"/>
        </w:rPr>
        <w:t>The baseline uses 14 teaching weeks. Dark cells are critical-path work, light-blue cells are planned parallel work, and green cells are approval milestones.</w:t>
      </w:r>
    </w:p>
    <w:tbl>
      <w:tblPr>
        <w:tblW w:type="dxa" w:w="1422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60"/>
        <w:gridCol w:w="790"/>
        <w:gridCol w:w="790"/>
        <w:gridCol w:w="790"/>
        <w:gridCol w:w="790"/>
        <w:gridCol w:w="790"/>
        <w:gridCol w:w="790"/>
        <w:gridCol w:w="790"/>
        <w:gridCol w:w="790"/>
        <w:gridCol w:w="790"/>
        <w:gridCol w:w="790"/>
        <w:gridCol w:w="790"/>
        <w:gridCol w:w="790"/>
        <w:gridCol w:w="790"/>
        <w:gridCol w:w="790"/>
      </w:tblGrid>
      <w:tr>
        <w:trPr>
          <w:tblHeader w:val="true"/>
          <w:cantSplit/>
        </w:trPr>
        <w:tc>
          <w:tcPr>
            <w:tcW w:type="dxa" w:w="316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6"/>
              </w:rPr>
              <w:t>Work package</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W1</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W2</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W3</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W4</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W5</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W6</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W7</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W8</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W9</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W10</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W11</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W12</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W13</w:t>
            </w:r>
          </w:p>
        </w:tc>
        <w:tc>
          <w:tcPr>
            <w:tcW w:type="dxa" w:w="79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W14</w:t>
            </w:r>
          </w:p>
        </w:tc>
      </w:tr>
      <w:tr>
        <w:trPr>
          <w:cantSplit/>
        </w:trPr>
        <w:tc>
          <w:tcPr>
            <w:tcW w:type="dxa" w:w="3160"/>
          </w:tcPr>
          <w:p>
            <w:pPr>
              <w:spacing w:before="0" w:after="0" w:line="245" w:lineRule="auto"/>
              <w:jc w:val="left"/>
            </w:pPr>
            <w:r/>
            <w:r>
              <w:rPr>
                <w:rFonts w:ascii="Calibri" w:hAnsi="Calibri"/>
                <w:b w:val="0"/>
                <w:i w:val="0"/>
                <w:color w:val="1D2939"/>
                <w:sz w:val="15"/>
              </w:rPr>
              <w:t>Project control and reporting</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r>
      <w:tr>
        <w:trPr>
          <w:cantSplit/>
        </w:trPr>
        <w:tc>
          <w:tcPr>
            <w:tcW w:type="dxa" w:w="3160"/>
            <w:shd w:fill="F3F4F6"/>
          </w:tcPr>
          <w:p>
            <w:pPr>
              <w:spacing w:before="0" w:after="0" w:line="245" w:lineRule="auto"/>
              <w:jc w:val="left"/>
            </w:pPr>
            <w:r/>
            <w:r>
              <w:rPr>
                <w:rFonts w:ascii="Calibri" w:hAnsi="Calibri"/>
                <w:b/>
                <w:i w:val="0"/>
                <w:color w:val="1D2939"/>
                <w:sz w:val="15"/>
              </w:rPr>
              <w:t>Workflow requirements</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r>
      <w:tr>
        <w:trPr>
          <w:cantSplit/>
        </w:trPr>
        <w:tc>
          <w:tcPr>
            <w:tcW w:type="dxa" w:w="3160"/>
          </w:tcPr>
          <w:p>
            <w:pPr>
              <w:spacing w:before="0" w:after="0" w:line="245" w:lineRule="auto"/>
              <w:jc w:val="left"/>
            </w:pPr>
            <w:r/>
            <w:r>
              <w:rPr>
                <w:rFonts w:ascii="Calibri" w:hAnsi="Calibri"/>
                <w:b/>
                <w:i w:val="0"/>
                <w:color w:val="1D2939"/>
                <w:sz w:val="15"/>
              </w:rPr>
              <w:t>Privacy accessibility and architecture</w:t>
            </w:r>
          </w:p>
        </w:tc>
        <w:tc>
          <w:tcPr>
            <w:tcW w:type="dxa" w:w="790"/>
          </w:tcPr>
          <w:p>
            <w:pPr>
              <w:spacing w:before="0" w:after="0" w:line="245" w:lineRule="auto"/>
              <w:jc w:val="center"/>
            </w:pPr>
            <w:r/>
            <w:r>
              <w:rPr>
                <w:rFonts w:ascii="Calibri" w:hAnsi="Calibri"/>
                <w:b w:val="0"/>
                <w:i w:val="0"/>
                <w:color w:val="1D2939"/>
                <w:sz w:val="14"/>
              </w:rPr>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r>
      <w:tr>
        <w:trPr>
          <w:cantSplit/>
        </w:trPr>
        <w:tc>
          <w:tcPr>
            <w:tcW w:type="dxa" w:w="3160"/>
            <w:shd w:fill="F3F4F6"/>
          </w:tcPr>
          <w:p>
            <w:pPr>
              <w:spacing w:before="0" w:after="0" w:line="245" w:lineRule="auto"/>
              <w:jc w:val="left"/>
            </w:pPr>
            <w:r/>
            <w:r>
              <w:rPr>
                <w:rFonts w:ascii="Calibri" w:hAnsi="Calibri"/>
                <w:b w:val="0"/>
                <w:i w:val="0"/>
                <w:color w:val="1D2939"/>
                <w:sz w:val="15"/>
              </w:rPr>
              <w:t>Interaction prototype</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r>
      <w:tr>
        <w:trPr>
          <w:cantSplit/>
        </w:trPr>
        <w:tc>
          <w:tcPr>
            <w:tcW w:type="dxa" w:w="3160"/>
          </w:tcPr>
          <w:p>
            <w:pPr>
              <w:spacing w:before="0" w:after="0" w:line="245" w:lineRule="auto"/>
              <w:jc w:val="left"/>
            </w:pPr>
            <w:r/>
            <w:r>
              <w:rPr>
                <w:rFonts w:ascii="Calibri" w:hAnsi="Calibri"/>
                <w:b/>
                <w:i w:val="0"/>
                <w:color w:val="1D2939"/>
                <w:sz w:val="15"/>
              </w:rPr>
              <w:t>Design and control gate</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shd w:fill="176B4D"/>
          </w:tcPr>
          <w:p>
            <w:pPr>
              <w:spacing w:before="0" w:after="0" w:line="245" w:lineRule="auto"/>
              <w:jc w:val="center"/>
            </w:pPr>
            <w:r/>
            <w:r>
              <w:rPr>
                <w:rFonts w:ascii="Calibri" w:hAnsi="Calibri"/>
                <w:b/>
                <w:i w:val="0"/>
                <w:color w:val="FFFFFF"/>
                <w:sz w:val="14"/>
              </w:rPr>
              <w:t>M</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r>
      <w:tr>
        <w:trPr>
          <w:cantSplit/>
        </w:trPr>
        <w:tc>
          <w:tcPr>
            <w:tcW w:type="dxa" w:w="3160"/>
            <w:shd w:fill="F3F4F6"/>
          </w:tcPr>
          <w:p>
            <w:pPr>
              <w:spacing w:before="0" w:after="0" w:line="245" w:lineRule="auto"/>
              <w:jc w:val="left"/>
            </w:pPr>
            <w:r/>
            <w:r>
              <w:rPr>
                <w:rFonts w:ascii="Calibri" w:hAnsi="Calibri"/>
                <w:b/>
                <w:i w:val="0"/>
                <w:color w:val="1D2939"/>
                <w:sz w:val="15"/>
              </w:rPr>
              <w:t>Audio and session core</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r>
      <w:tr>
        <w:trPr>
          <w:cantSplit/>
        </w:trPr>
        <w:tc>
          <w:tcPr>
            <w:tcW w:type="dxa" w:w="3160"/>
          </w:tcPr>
          <w:p>
            <w:pPr>
              <w:spacing w:before="0" w:after="0" w:line="245" w:lineRule="auto"/>
              <w:jc w:val="left"/>
            </w:pPr>
            <w:r/>
            <w:r>
              <w:rPr>
                <w:rFonts w:ascii="Calibri" w:hAnsi="Calibri"/>
                <w:b w:val="0"/>
                <w:i w:val="0"/>
                <w:color w:val="1D2939"/>
                <w:sz w:val="15"/>
              </w:rPr>
              <w:t>Student browser interface</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shd w:fill="EAF2F8"/>
          </w:tcPr>
          <w:p>
            <w:pPr>
              <w:spacing w:before="0" w:after="0" w:line="245" w:lineRule="auto"/>
              <w:jc w:val="center"/>
            </w:pPr>
            <w:r/>
            <w:r>
              <w:rPr>
                <w:rFonts w:ascii="Calibri" w:hAnsi="Calibri"/>
                <w:b/>
                <w:i w:val="0"/>
                <w:color w:val="17365D"/>
                <w:sz w:val="14"/>
              </w:rPr>
              <w:t>X</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r>
      <w:tr>
        <w:trPr>
          <w:cantSplit/>
        </w:trPr>
        <w:tc>
          <w:tcPr>
            <w:tcW w:type="dxa" w:w="3160"/>
            <w:shd w:fill="F3F4F6"/>
          </w:tcPr>
          <w:p>
            <w:pPr>
              <w:spacing w:before="0" w:after="0" w:line="245" w:lineRule="auto"/>
              <w:jc w:val="left"/>
            </w:pPr>
            <w:r/>
            <w:r>
              <w:rPr>
                <w:rFonts w:ascii="Calibri" w:hAnsi="Calibri"/>
                <w:b/>
                <w:i w:val="0"/>
                <w:color w:val="1D2939"/>
                <w:sz w:val="15"/>
              </w:rPr>
              <w:t>Instructor queue and controls</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r>
      <w:tr>
        <w:trPr>
          <w:cantSplit/>
        </w:trPr>
        <w:tc>
          <w:tcPr>
            <w:tcW w:type="dxa" w:w="3160"/>
          </w:tcPr>
          <w:p>
            <w:pPr>
              <w:spacing w:before="0" w:after="0" w:line="245" w:lineRule="auto"/>
              <w:jc w:val="left"/>
            </w:pPr>
            <w:r/>
            <w:r>
              <w:rPr>
                <w:rFonts w:ascii="Calibri" w:hAnsi="Calibri"/>
                <w:b/>
                <w:i w:val="0"/>
                <w:color w:val="1D2939"/>
                <w:sz w:val="15"/>
              </w:rPr>
              <w:t>Classroom AV integration</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r>
      <w:tr>
        <w:trPr>
          <w:cantSplit/>
        </w:trPr>
        <w:tc>
          <w:tcPr>
            <w:tcW w:type="dxa" w:w="3160"/>
            <w:shd w:fill="F3F4F6"/>
          </w:tcPr>
          <w:p>
            <w:pPr>
              <w:spacing w:before="0" w:after="0" w:line="245" w:lineRule="auto"/>
              <w:jc w:val="left"/>
            </w:pPr>
            <w:r/>
            <w:r>
              <w:rPr>
                <w:rFonts w:ascii="Calibri" w:hAnsi="Calibri"/>
                <w:b/>
                <w:i w:val="0"/>
                <w:color w:val="1D2939"/>
                <w:sz w:val="15"/>
              </w:rPr>
              <w:t>Security device and system tests</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r>
      <w:tr>
        <w:trPr>
          <w:cantSplit/>
        </w:trPr>
        <w:tc>
          <w:tcPr>
            <w:tcW w:type="dxa" w:w="3160"/>
          </w:tcPr>
          <w:p>
            <w:pPr>
              <w:spacing w:before="0" w:after="0" w:line="245" w:lineRule="auto"/>
              <w:jc w:val="left"/>
            </w:pPr>
            <w:r/>
            <w:r>
              <w:rPr>
                <w:rFonts w:ascii="Calibri" w:hAnsi="Calibri"/>
                <w:b/>
                <w:i w:val="0"/>
                <w:color w:val="1D2939"/>
                <w:sz w:val="15"/>
              </w:rPr>
              <w:t>User acceptance and instructor training</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r>
      <w:tr>
        <w:trPr>
          <w:cantSplit/>
        </w:trPr>
        <w:tc>
          <w:tcPr>
            <w:tcW w:type="dxa" w:w="3160"/>
            <w:shd w:fill="F3F4F6"/>
          </w:tcPr>
          <w:p>
            <w:pPr>
              <w:spacing w:before="0" w:after="0" w:line="245" w:lineRule="auto"/>
              <w:jc w:val="left"/>
            </w:pPr>
            <w:r/>
            <w:r>
              <w:rPr>
                <w:rFonts w:ascii="Calibri" w:hAnsi="Calibri"/>
                <w:b/>
                <w:i w:val="0"/>
                <w:color w:val="1D2939"/>
                <w:sz w:val="15"/>
              </w:rPr>
              <w:t>Live classroom pilot and support</w:t>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F3F4F6"/>
          </w:tcPr>
          <w:p>
            <w:pPr>
              <w:spacing w:before="0" w:after="0" w:line="245" w:lineRule="auto"/>
              <w:jc w:val="center"/>
            </w:pPr>
            <w:r/>
            <w:r>
              <w:rPr>
                <w:rFonts w:ascii="Calibri" w:hAnsi="Calibri"/>
                <w:b w:val="0"/>
                <w:i w:val="0"/>
                <w:color w:val="1D2939"/>
                <w:sz w:val="14"/>
              </w:rPr>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c>
          <w:tcPr>
            <w:tcW w:type="dxa" w:w="790"/>
            <w:shd w:fill="17365D"/>
          </w:tcPr>
          <w:p>
            <w:pPr>
              <w:spacing w:before="0" w:after="0" w:line="245" w:lineRule="auto"/>
              <w:jc w:val="center"/>
            </w:pPr>
            <w:r/>
            <w:r>
              <w:rPr>
                <w:rFonts w:ascii="Calibri" w:hAnsi="Calibri"/>
                <w:b/>
                <w:i w:val="0"/>
                <w:color w:val="FFFFFF"/>
                <w:sz w:val="14"/>
              </w:rPr>
              <w:t>X</w:t>
            </w:r>
          </w:p>
        </w:tc>
      </w:tr>
      <w:tr>
        <w:trPr>
          <w:cantSplit/>
        </w:trPr>
        <w:tc>
          <w:tcPr>
            <w:tcW w:type="dxa" w:w="3160"/>
          </w:tcPr>
          <w:p>
            <w:pPr>
              <w:spacing w:before="0" w:after="0" w:line="245" w:lineRule="auto"/>
              <w:jc w:val="left"/>
            </w:pPr>
            <w:r/>
            <w:r>
              <w:rPr>
                <w:rFonts w:ascii="Calibri" w:hAnsi="Calibri"/>
                <w:b/>
                <w:i w:val="0"/>
                <w:color w:val="1D2939"/>
                <w:sz w:val="15"/>
              </w:rPr>
              <w:t>Outcome analysis and sponsor decision</w:t>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tcPr>
          <w:p>
            <w:pPr>
              <w:spacing w:before="0" w:after="0" w:line="245" w:lineRule="auto"/>
              <w:jc w:val="center"/>
            </w:pPr>
            <w:r/>
            <w:r>
              <w:rPr>
                <w:rFonts w:ascii="Calibri" w:hAnsi="Calibri"/>
                <w:b w:val="0"/>
                <w:i w:val="0"/>
                <w:color w:val="1D2939"/>
                <w:sz w:val="14"/>
              </w:rPr>
            </w:r>
          </w:p>
        </w:tc>
        <w:tc>
          <w:tcPr>
            <w:tcW w:type="dxa" w:w="790"/>
            <w:shd w:fill="176B4D"/>
          </w:tcPr>
          <w:p>
            <w:pPr>
              <w:spacing w:before="0" w:after="0" w:line="245" w:lineRule="auto"/>
              <w:jc w:val="center"/>
            </w:pPr>
            <w:r/>
            <w:r>
              <w:rPr>
                <w:rFonts w:ascii="Calibri" w:hAnsi="Calibri"/>
                <w:b/>
                <w:i w:val="0"/>
                <w:color w:val="FFFFFF"/>
                <w:sz w:val="14"/>
              </w:rPr>
              <w:t>M</w:t>
            </w:r>
          </w:p>
        </w:tc>
      </w:tr>
    </w:tbl>
    <w:p>
      <w:pPr>
        <w:pStyle w:val="Heading2"/>
      </w:pPr>
      <w:r>
        <w:t>Critical path</w:t>
      </w:r>
    </w:p>
    <w:p>
      <w:pPr>
        <w:keepNext w:val="0"/>
        <w:spacing w:before="0" w:after="80" w:line="259" w:lineRule="auto"/>
        <w:jc w:val="left"/>
      </w:pPr>
      <w:r>
        <w:rPr>
          <w:rFonts w:ascii="Calibri" w:hAnsi="Calibri"/>
          <w:b/>
          <w:i w:val="0"/>
          <w:color w:val="1D2939"/>
          <w:sz w:val="20"/>
        </w:rPr>
        <w:t>Workflow requirements  -&gt;  privacy accessibility and architecture  -&gt;  design gate  -&gt;  audio and instructor controls  -&gt;  AV integration  -&gt;  system tests  -&gt;  user acceptance  -&gt;  six-week pilot  -&gt;  outcome decision.</w:t>
      </w:r>
    </w:p>
    <w:p>
      <w:pPr>
        <w:keepNext w:val="0"/>
        <w:spacing w:before="0" w:after="80" w:line="259" w:lineRule="auto"/>
        <w:jc w:val="left"/>
      </w:pPr>
      <w:r>
        <w:rPr>
          <w:rFonts w:ascii="Calibri" w:hAnsi="Calibri"/>
          <w:b w:val="0"/>
          <w:i w:val="0"/>
          <w:color w:val="1D2939"/>
          <w:sz w:val="19"/>
        </w:rPr>
        <w:t>A delay to any critical-path activity moves the pilot or final sponsor decision unless recovered within the same stage. The student interface and interaction prototype have limited float, but both must be integrated before system testing in Week 7.</w:t>
      </w:r>
    </w:p>
    <w:tbl>
      <w:tblPr>
        <w:tblW w:type="dxa" w:w="1422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0"/>
        <w:gridCol w:w="2550"/>
        <w:gridCol w:w="3000"/>
        <w:gridCol w:w="3470"/>
        <w:gridCol w:w="3500"/>
      </w:tblGrid>
      <w:tr>
        <w:trPr>
          <w:tblHeader w:val="true"/>
          <w:cantSplit/>
        </w:trPr>
        <w:tc>
          <w:tcPr>
            <w:tcW w:type="dxa" w:w="17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5"/>
              </w:rPr>
              <w:t>Gate</w:t>
            </w:r>
          </w:p>
        </w:tc>
        <w:tc>
          <w:tcPr>
            <w:tcW w:type="dxa" w:w="255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Due</w:t>
            </w:r>
          </w:p>
        </w:tc>
        <w:tc>
          <w:tcPr>
            <w:tcW w:type="dxa" w:w="30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Entry evidence</w:t>
            </w:r>
          </w:p>
        </w:tc>
        <w:tc>
          <w:tcPr>
            <w:tcW w:type="dxa" w:w="347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Decision</w:t>
            </w:r>
          </w:p>
        </w:tc>
        <w:tc>
          <w:tcPr>
            <w:tcW w:type="dxa" w:w="35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Decision owner</w:t>
            </w:r>
          </w:p>
        </w:tc>
      </w:tr>
      <w:tr>
        <w:trPr>
          <w:cantSplit/>
        </w:trPr>
        <w:tc>
          <w:tcPr>
            <w:tcW w:type="dxa" w:w="1700"/>
          </w:tcPr>
          <w:p>
            <w:pPr>
              <w:spacing w:before="0" w:after="0" w:line="245" w:lineRule="auto"/>
              <w:jc w:val="center"/>
            </w:pPr>
            <w:r/>
            <w:r>
              <w:rPr>
                <w:rFonts w:ascii="Calibri" w:hAnsi="Calibri"/>
                <w:b/>
                <w:i w:val="0"/>
                <w:color w:val="1D2939"/>
                <w:sz w:val="15"/>
              </w:rPr>
              <w:t>Design gate</w:t>
            </w:r>
          </w:p>
        </w:tc>
        <w:tc>
          <w:tcPr>
            <w:tcW w:type="dxa" w:w="2550"/>
          </w:tcPr>
          <w:p>
            <w:pPr>
              <w:spacing w:before="0" w:after="0" w:line="245" w:lineRule="auto"/>
              <w:jc w:val="center"/>
            </w:pPr>
            <w:r/>
            <w:r>
              <w:rPr>
                <w:rFonts w:ascii="Calibri" w:hAnsi="Calibri"/>
                <w:b w:val="0"/>
                <w:i w:val="0"/>
                <w:color w:val="1D2939"/>
                <w:sz w:val="15"/>
              </w:rPr>
              <w:t>End Week 3</w:t>
            </w:r>
          </w:p>
        </w:tc>
        <w:tc>
          <w:tcPr>
            <w:tcW w:type="dxa" w:w="3000"/>
          </w:tcPr>
          <w:p>
            <w:pPr>
              <w:spacing w:before="0" w:after="0" w:line="245" w:lineRule="auto"/>
              <w:jc w:val="left"/>
            </w:pPr>
            <w:r/>
            <w:r>
              <w:rPr>
                <w:rFonts w:ascii="Calibri" w:hAnsi="Calibri"/>
                <w:b w:val="0"/>
                <w:i w:val="0"/>
                <w:color w:val="1D2939"/>
                <w:sz w:val="15"/>
              </w:rPr>
              <w:t>Accepted requirements, data flow, architecture, interaction prototype</w:t>
            </w:r>
          </w:p>
        </w:tc>
        <w:tc>
          <w:tcPr>
            <w:tcW w:type="dxa" w:w="3470"/>
          </w:tcPr>
          <w:p>
            <w:pPr>
              <w:spacing w:before="0" w:after="0" w:line="245" w:lineRule="auto"/>
              <w:jc w:val="left"/>
            </w:pPr>
            <w:r/>
            <w:r>
              <w:rPr>
                <w:rFonts w:ascii="Calibri" w:hAnsi="Calibri"/>
                <w:b w:val="0"/>
                <w:i w:val="0"/>
                <w:color w:val="1D2939"/>
                <w:sz w:val="15"/>
              </w:rPr>
              <w:t>Approve build or revise design</w:t>
            </w:r>
          </w:p>
        </w:tc>
        <w:tc>
          <w:tcPr>
            <w:tcW w:type="dxa" w:w="3500"/>
          </w:tcPr>
          <w:p>
            <w:pPr>
              <w:spacing w:before="0" w:after="0" w:line="245" w:lineRule="auto"/>
              <w:jc w:val="center"/>
            </w:pPr>
            <w:r/>
            <w:r>
              <w:rPr>
                <w:rFonts w:ascii="Calibri" w:hAnsi="Calibri"/>
                <w:b w:val="0"/>
                <w:i w:val="0"/>
                <w:color w:val="1D2939"/>
                <w:sz w:val="15"/>
              </w:rPr>
              <w:t>Project manager plus control owners</w:t>
            </w:r>
          </w:p>
        </w:tc>
      </w:tr>
      <w:tr>
        <w:trPr>
          <w:cantSplit/>
        </w:trPr>
        <w:tc>
          <w:tcPr>
            <w:tcW w:type="dxa" w:w="1700"/>
            <w:shd w:fill="EAF2F8"/>
          </w:tcPr>
          <w:p>
            <w:pPr>
              <w:spacing w:before="0" w:after="0" w:line="245" w:lineRule="auto"/>
              <w:jc w:val="center"/>
            </w:pPr>
            <w:r/>
            <w:r>
              <w:rPr>
                <w:rFonts w:ascii="Calibri" w:hAnsi="Calibri"/>
                <w:b/>
                <w:i w:val="0"/>
                <w:color w:val="1D2939"/>
                <w:sz w:val="15"/>
              </w:rPr>
              <w:t>Pilot readiness</w:t>
            </w:r>
          </w:p>
        </w:tc>
        <w:tc>
          <w:tcPr>
            <w:tcW w:type="dxa" w:w="2550"/>
            <w:shd w:fill="EAF2F8"/>
          </w:tcPr>
          <w:p>
            <w:pPr>
              <w:spacing w:before="0" w:after="0" w:line="245" w:lineRule="auto"/>
              <w:jc w:val="center"/>
            </w:pPr>
            <w:r/>
            <w:r>
              <w:rPr>
                <w:rFonts w:ascii="Calibri" w:hAnsi="Calibri"/>
                <w:b w:val="0"/>
                <w:i w:val="0"/>
                <w:color w:val="1D2939"/>
                <w:sz w:val="15"/>
              </w:rPr>
              <w:t>End Week 8</w:t>
            </w:r>
          </w:p>
        </w:tc>
        <w:tc>
          <w:tcPr>
            <w:tcW w:type="dxa" w:w="3000"/>
            <w:shd w:fill="EAF2F8"/>
          </w:tcPr>
          <w:p>
            <w:pPr>
              <w:spacing w:before="0" w:after="0" w:line="245" w:lineRule="auto"/>
              <w:jc w:val="left"/>
            </w:pPr>
            <w:r/>
            <w:r>
              <w:rPr>
                <w:rFonts w:ascii="Calibri" w:hAnsi="Calibri"/>
                <w:b w:val="0"/>
                <w:i w:val="0"/>
                <w:color w:val="1D2939"/>
                <w:sz w:val="15"/>
              </w:rPr>
              <w:t>Must-have tests, UAT, AV test, training, privacy and security approval</w:t>
            </w:r>
          </w:p>
        </w:tc>
        <w:tc>
          <w:tcPr>
            <w:tcW w:type="dxa" w:w="3470"/>
            <w:shd w:fill="EAF2F8"/>
          </w:tcPr>
          <w:p>
            <w:pPr>
              <w:spacing w:before="0" w:after="0" w:line="245" w:lineRule="auto"/>
              <w:jc w:val="left"/>
            </w:pPr>
            <w:r/>
            <w:r>
              <w:rPr>
                <w:rFonts w:ascii="Calibri" w:hAnsi="Calibri"/>
                <w:b w:val="0"/>
                <w:i w:val="0"/>
                <w:color w:val="1D2939"/>
                <w:sz w:val="15"/>
              </w:rPr>
              <w:t>Start, delay, or cancel pilot</w:t>
            </w:r>
          </w:p>
        </w:tc>
        <w:tc>
          <w:tcPr>
            <w:tcW w:type="dxa" w:w="3500"/>
            <w:shd w:fill="EAF2F8"/>
          </w:tcPr>
          <w:p>
            <w:pPr>
              <w:spacing w:before="0" w:after="0" w:line="245" w:lineRule="auto"/>
              <w:jc w:val="center"/>
            </w:pPr>
            <w:r/>
            <w:r>
              <w:rPr>
                <w:rFonts w:ascii="Calibri" w:hAnsi="Calibri"/>
                <w:b w:val="0"/>
                <w:i w:val="0"/>
                <w:color w:val="1D2939"/>
                <w:sz w:val="15"/>
              </w:rPr>
              <w:t>Business owner; sponsor for exception</w:t>
            </w:r>
          </w:p>
        </w:tc>
      </w:tr>
      <w:tr>
        <w:trPr>
          <w:cantSplit/>
        </w:trPr>
        <w:tc>
          <w:tcPr>
            <w:tcW w:type="dxa" w:w="1700"/>
          </w:tcPr>
          <w:p>
            <w:pPr>
              <w:spacing w:before="0" w:after="0" w:line="245" w:lineRule="auto"/>
              <w:jc w:val="center"/>
            </w:pPr>
            <w:r/>
            <w:r>
              <w:rPr>
                <w:rFonts w:ascii="Calibri" w:hAnsi="Calibri"/>
                <w:b/>
                <w:i w:val="0"/>
                <w:color w:val="1D2939"/>
                <w:sz w:val="15"/>
              </w:rPr>
              <w:t>Outcome gate</w:t>
            </w:r>
          </w:p>
        </w:tc>
        <w:tc>
          <w:tcPr>
            <w:tcW w:type="dxa" w:w="2550"/>
          </w:tcPr>
          <w:p>
            <w:pPr>
              <w:spacing w:before="0" w:after="0" w:line="245" w:lineRule="auto"/>
              <w:jc w:val="center"/>
            </w:pPr>
            <w:r/>
            <w:r>
              <w:rPr>
                <w:rFonts w:ascii="Calibri" w:hAnsi="Calibri"/>
                <w:b w:val="0"/>
                <w:i w:val="0"/>
                <w:color w:val="1D2939"/>
                <w:sz w:val="15"/>
              </w:rPr>
              <w:t>End Week 14</w:t>
            </w:r>
          </w:p>
        </w:tc>
        <w:tc>
          <w:tcPr>
            <w:tcW w:type="dxa" w:w="3000"/>
          </w:tcPr>
          <w:p>
            <w:pPr>
              <w:spacing w:before="0" w:after="0" w:line="245" w:lineRule="auto"/>
              <w:jc w:val="left"/>
            </w:pPr>
            <w:r/>
            <w:r>
              <w:rPr>
                <w:rFonts w:ascii="Calibri" w:hAnsi="Calibri"/>
                <w:b w:val="0"/>
                <w:i w:val="0"/>
                <w:color w:val="1D2939"/>
                <w:sz w:val="15"/>
              </w:rPr>
              <w:t>Performance, adoption, support, incidents, cost, and satisfaction results</w:t>
            </w:r>
          </w:p>
        </w:tc>
        <w:tc>
          <w:tcPr>
            <w:tcW w:type="dxa" w:w="3470"/>
          </w:tcPr>
          <w:p>
            <w:pPr>
              <w:spacing w:before="0" w:after="0" w:line="245" w:lineRule="auto"/>
              <w:jc w:val="left"/>
            </w:pPr>
            <w:r/>
            <w:r>
              <w:rPr>
                <w:rFonts w:ascii="Calibri" w:hAnsi="Calibri"/>
                <w:b w:val="0"/>
                <w:i w:val="0"/>
                <w:color w:val="1D2939"/>
                <w:sz w:val="15"/>
              </w:rPr>
              <w:t>Close, revise, or continue</w:t>
            </w:r>
          </w:p>
        </w:tc>
        <w:tc>
          <w:tcPr>
            <w:tcW w:type="dxa" w:w="3500"/>
          </w:tcPr>
          <w:p>
            <w:pPr>
              <w:spacing w:before="0" w:after="0" w:line="245" w:lineRule="auto"/>
              <w:jc w:val="center"/>
            </w:pPr>
            <w:r/>
            <w:r>
              <w:rPr>
                <w:rFonts w:ascii="Calibri" w:hAnsi="Calibri"/>
                <w:b w:val="0"/>
                <w:i w:val="0"/>
                <w:color w:val="1D2939"/>
                <w:sz w:val="15"/>
              </w:rPr>
              <w:t>Dean of Academic Affairs</w:t>
            </w:r>
          </w:p>
        </w:tc>
      </w:tr>
    </w:tbl>
    <w:p>
      <w:pPr>
        <w:sectPr>
          <w:headerReference w:type="default" r:id="rId11"/>
          <w:footerReference w:type="default" r:id="rId12"/>
          <w:pgSz w:w="15840" w:h="12240" w:orient="landscape"/>
          <w:pgMar w:top="792" w:right="792" w:bottom="792" w:left="792" w:header="403" w:footer="403" w:gutter="0"/>
          <w:cols w:space="720"/>
          <w:docGrid w:linePitch="360"/>
        </w:sectPr>
      </w:pPr>
    </w:p>
    <w:p>
      <w:pPr>
        <w:pStyle w:val="Heading1"/>
      </w:pPr>
      <w:r>
        <w:t>11 Cost estimate and budget baseline</w:t>
      </w:r>
    </w:p>
    <w:p>
      <w:pPr>
        <w:keepNext w:val="0"/>
        <w:spacing w:before="0" w:after="80" w:line="259" w:lineRule="auto"/>
        <w:jc w:val="left"/>
      </w:pPr>
      <w:r>
        <w:rPr>
          <w:rFonts w:ascii="Calibri" w:hAnsi="Calibri"/>
          <w:b w:val="0"/>
          <w:i w:val="0"/>
          <w:color w:val="667085"/>
          <w:sz w:val="19"/>
        </w:rPr>
        <w:t>The estimate combines planned labor effort and direct pilot costs. It is a planning baseline, not a vendor quotation, and remains below the AED 60,000 charter ceiling.</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900"/>
        <w:gridCol w:w="1680"/>
        <w:gridCol w:w="3780"/>
      </w:tblGrid>
      <w:tr>
        <w:trPr>
          <w:tblHeader w:val="true"/>
          <w:cantSplit/>
        </w:trPr>
        <w:tc>
          <w:tcPr>
            <w:tcW w:type="dxa" w:w="39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6"/>
              </w:rPr>
              <w:t>Cost element</w:t>
            </w:r>
          </w:p>
        </w:tc>
        <w:tc>
          <w:tcPr>
            <w:tcW w:type="dxa" w:w="16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AED</w:t>
            </w:r>
          </w:p>
        </w:tc>
        <w:tc>
          <w:tcPr>
            <w:tcW w:type="dxa" w:w="37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6"/>
              </w:rPr>
              <w:t>Estimation basis</w:t>
            </w:r>
          </w:p>
        </w:tc>
      </w:tr>
      <w:tr>
        <w:trPr>
          <w:cantSplit/>
        </w:trPr>
        <w:tc>
          <w:tcPr>
            <w:tcW w:type="dxa" w:w="3900"/>
          </w:tcPr>
          <w:p>
            <w:pPr>
              <w:spacing w:before="0" w:after="0" w:line="245" w:lineRule="auto"/>
              <w:jc w:val="left"/>
            </w:pPr>
            <w:r/>
            <w:r>
              <w:rPr>
                <w:rFonts w:ascii="Calibri" w:hAnsi="Calibri"/>
                <w:b/>
                <w:i w:val="0"/>
                <w:color w:val="1D2939"/>
                <w:sz w:val="16"/>
              </w:rPr>
              <w:t>Requirements and classroom design</w:t>
            </w:r>
          </w:p>
        </w:tc>
        <w:tc>
          <w:tcPr>
            <w:tcW w:type="dxa" w:w="1680"/>
          </w:tcPr>
          <w:p>
            <w:pPr>
              <w:spacing w:before="0" w:after="0" w:line="245" w:lineRule="auto"/>
              <w:jc w:val="center"/>
            </w:pPr>
            <w:r/>
            <w:r>
              <w:rPr>
                <w:rFonts w:ascii="Calibri" w:hAnsi="Calibri"/>
                <w:b w:val="0"/>
                <w:i w:val="0"/>
                <w:color w:val="1D2939"/>
                <w:sz w:val="16"/>
              </w:rPr>
              <w:t>6,000</w:t>
            </w:r>
          </w:p>
        </w:tc>
        <w:tc>
          <w:tcPr>
            <w:tcW w:type="dxa" w:w="3780"/>
          </w:tcPr>
          <w:p>
            <w:pPr>
              <w:spacing w:before="0" w:after="0" w:line="245" w:lineRule="auto"/>
              <w:jc w:val="left"/>
            </w:pPr>
            <w:r/>
            <w:r>
              <w:rPr>
                <w:rFonts w:ascii="Calibri" w:hAnsi="Calibri"/>
                <w:b w:val="0"/>
                <w:i w:val="0"/>
                <w:color w:val="1D2939"/>
                <w:sz w:val="16"/>
              </w:rPr>
              <w:t>Project manager and stakeholder workshops</w:t>
            </w:r>
          </w:p>
        </w:tc>
      </w:tr>
      <w:tr>
        <w:trPr>
          <w:cantSplit/>
        </w:trPr>
        <w:tc>
          <w:tcPr>
            <w:tcW w:type="dxa" w:w="3900"/>
            <w:shd w:fill="F3F4F6"/>
          </w:tcPr>
          <w:p>
            <w:pPr>
              <w:spacing w:before="0" w:after="0" w:line="245" w:lineRule="auto"/>
              <w:jc w:val="left"/>
            </w:pPr>
            <w:r/>
            <w:r>
              <w:rPr>
                <w:rFonts w:ascii="Calibri" w:hAnsi="Calibri"/>
                <w:b/>
                <w:i w:val="0"/>
                <w:color w:val="1D2939"/>
                <w:sz w:val="16"/>
              </w:rPr>
              <w:t>Interaction and technical design</w:t>
            </w:r>
          </w:p>
        </w:tc>
        <w:tc>
          <w:tcPr>
            <w:tcW w:type="dxa" w:w="1680"/>
            <w:shd w:fill="F3F4F6"/>
          </w:tcPr>
          <w:p>
            <w:pPr>
              <w:spacing w:before="0" w:after="0" w:line="245" w:lineRule="auto"/>
              <w:jc w:val="center"/>
            </w:pPr>
            <w:r/>
            <w:r>
              <w:rPr>
                <w:rFonts w:ascii="Calibri" w:hAnsi="Calibri"/>
                <w:b w:val="0"/>
                <w:i w:val="0"/>
                <w:color w:val="1D2939"/>
                <w:sz w:val="16"/>
              </w:rPr>
              <w:t>5,500</w:t>
            </w:r>
          </w:p>
        </w:tc>
        <w:tc>
          <w:tcPr>
            <w:tcW w:type="dxa" w:w="3780"/>
            <w:shd w:fill="F3F4F6"/>
          </w:tcPr>
          <w:p>
            <w:pPr>
              <w:spacing w:before="0" w:after="0" w:line="245" w:lineRule="auto"/>
              <w:jc w:val="left"/>
            </w:pPr>
            <w:r/>
            <w:r>
              <w:rPr>
                <w:rFonts w:ascii="Calibri" w:hAnsi="Calibri"/>
                <w:b w:val="0"/>
                <w:i w:val="0"/>
                <w:color w:val="1D2939"/>
                <w:sz w:val="16"/>
              </w:rPr>
              <w:t>Technical design, data flow, and prototype</w:t>
            </w:r>
          </w:p>
        </w:tc>
      </w:tr>
      <w:tr>
        <w:trPr>
          <w:cantSplit/>
        </w:trPr>
        <w:tc>
          <w:tcPr>
            <w:tcW w:type="dxa" w:w="3900"/>
          </w:tcPr>
          <w:p>
            <w:pPr>
              <w:spacing w:before="0" w:after="0" w:line="245" w:lineRule="auto"/>
              <w:jc w:val="left"/>
            </w:pPr>
            <w:r/>
            <w:r>
              <w:rPr>
                <w:rFonts w:ascii="Calibri" w:hAnsi="Calibri"/>
                <w:b/>
                <w:i w:val="0"/>
                <w:color w:val="1D2939"/>
                <w:sz w:val="16"/>
              </w:rPr>
              <w:t>Web application development</w:t>
            </w:r>
          </w:p>
        </w:tc>
        <w:tc>
          <w:tcPr>
            <w:tcW w:type="dxa" w:w="1680"/>
          </w:tcPr>
          <w:p>
            <w:pPr>
              <w:spacing w:before="0" w:after="0" w:line="245" w:lineRule="auto"/>
              <w:jc w:val="center"/>
            </w:pPr>
            <w:r/>
            <w:r>
              <w:rPr>
                <w:rFonts w:ascii="Calibri" w:hAnsi="Calibri"/>
                <w:b w:val="0"/>
                <w:i w:val="0"/>
                <w:color w:val="1D2939"/>
                <w:sz w:val="16"/>
              </w:rPr>
              <w:t>20,000</w:t>
            </w:r>
          </w:p>
        </w:tc>
        <w:tc>
          <w:tcPr>
            <w:tcW w:type="dxa" w:w="3780"/>
          </w:tcPr>
          <w:p>
            <w:pPr>
              <w:spacing w:before="0" w:after="0" w:line="245" w:lineRule="auto"/>
              <w:jc w:val="left"/>
            </w:pPr>
            <w:r/>
            <w:r>
              <w:rPr>
                <w:rFonts w:ascii="Calibri" w:hAnsi="Calibri"/>
                <w:b w:val="0"/>
                <w:i w:val="0"/>
                <w:color w:val="1D2939"/>
                <w:sz w:val="16"/>
              </w:rPr>
              <w:t>Student interface, session service, instructor controls</w:t>
            </w:r>
          </w:p>
        </w:tc>
      </w:tr>
      <w:tr>
        <w:trPr>
          <w:cantSplit/>
        </w:trPr>
        <w:tc>
          <w:tcPr>
            <w:tcW w:type="dxa" w:w="3900"/>
            <w:shd w:fill="F3F4F6"/>
          </w:tcPr>
          <w:p>
            <w:pPr>
              <w:spacing w:before="0" w:after="0" w:line="245" w:lineRule="auto"/>
              <w:jc w:val="left"/>
            </w:pPr>
            <w:r/>
            <w:r>
              <w:rPr>
                <w:rFonts w:ascii="Calibri" w:hAnsi="Calibri"/>
                <w:b/>
                <w:i w:val="0"/>
                <w:color w:val="1D2939"/>
                <w:sz w:val="16"/>
              </w:rPr>
              <w:t>Audio AV integration and testing</w:t>
            </w:r>
          </w:p>
        </w:tc>
        <w:tc>
          <w:tcPr>
            <w:tcW w:type="dxa" w:w="1680"/>
            <w:shd w:fill="F3F4F6"/>
          </w:tcPr>
          <w:p>
            <w:pPr>
              <w:spacing w:before="0" w:after="0" w:line="245" w:lineRule="auto"/>
              <w:jc w:val="center"/>
            </w:pPr>
            <w:r/>
            <w:r>
              <w:rPr>
                <w:rFonts w:ascii="Calibri" w:hAnsi="Calibri"/>
                <w:b w:val="0"/>
                <w:i w:val="0"/>
                <w:color w:val="1D2939"/>
                <w:sz w:val="16"/>
              </w:rPr>
              <w:t>8,000</w:t>
            </w:r>
          </w:p>
        </w:tc>
        <w:tc>
          <w:tcPr>
            <w:tcW w:type="dxa" w:w="3780"/>
            <w:shd w:fill="F3F4F6"/>
          </w:tcPr>
          <w:p>
            <w:pPr>
              <w:spacing w:before="0" w:after="0" w:line="245" w:lineRule="auto"/>
              <w:jc w:val="left"/>
            </w:pPr>
            <w:r/>
            <w:r>
              <w:rPr>
                <w:rFonts w:ascii="Calibri" w:hAnsi="Calibri"/>
                <w:b w:val="0"/>
                <w:i w:val="0"/>
                <w:color w:val="1D2939"/>
                <w:sz w:val="16"/>
              </w:rPr>
              <w:t>Room setup, device matrix, feedback and latency tests</w:t>
            </w:r>
          </w:p>
        </w:tc>
      </w:tr>
      <w:tr>
        <w:trPr>
          <w:cantSplit/>
        </w:trPr>
        <w:tc>
          <w:tcPr>
            <w:tcW w:type="dxa" w:w="3900"/>
          </w:tcPr>
          <w:p>
            <w:pPr>
              <w:spacing w:before="0" w:after="0" w:line="245" w:lineRule="auto"/>
              <w:jc w:val="left"/>
            </w:pPr>
            <w:r/>
            <w:r>
              <w:rPr>
                <w:rFonts w:ascii="Calibri" w:hAnsi="Calibri"/>
                <w:b/>
                <w:i w:val="0"/>
                <w:color w:val="1D2939"/>
                <w:sz w:val="16"/>
              </w:rPr>
              <w:t>Security privacy and accessibility validation</w:t>
            </w:r>
          </w:p>
        </w:tc>
        <w:tc>
          <w:tcPr>
            <w:tcW w:type="dxa" w:w="1680"/>
          </w:tcPr>
          <w:p>
            <w:pPr>
              <w:spacing w:before="0" w:after="0" w:line="245" w:lineRule="auto"/>
              <w:jc w:val="center"/>
            </w:pPr>
            <w:r/>
            <w:r>
              <w:rPr>
                <w:rFonts w:ascii="Calibri" w:hAnsi="Calibri"/>
                <w:b w:val="0"/>
                <w:i w:val="0"/>
                <w:color w:val="1D2939"/>
                <w:sz w:val="16"/>
              </w:rPr>
              <w:t>5,500</w:t>
            </w:r>
          </w:p>
        </w:tc>
        <w:tc>
          <w:tcPr>
            <w:tcW w:type="dxa" w:w="3780"/>
          </w:tcPr>
          <w:p>
            <w:pPr>
              <w:spacing w:before="0" w:after="0" w:line="245" w:lineRule="auto"/>
              <w:jc w:val="left"/>
            </w:pPr>
            <w:r/>
            <w:r>
              <w:rPr>
                <w:rFonts w:ascii="Calibri" w:hAnsi="Calibri"/>
                <w:b w:val="0"/>
                <w:i w:val="0"/>
                <w:color w:val="1D2939"/>
                <w:sz w:val="16"/>
              </w:rPr>
              <w:t>Control reviews, remediation, and readiness evidence</w:t>
            </w:r>
          </w:p>
        </w:tc>
      </w:tr>
      <w:tr>
        <w:trPr>
          <w:cantSplit/>
        </w:trPr>
        <w:tc>
          <w:tcPr>
            <w:tcW w:type="dxa" w:w="3900"/>
            <w:shd w:fill="F3F4F6"/>
          </w:tcPr>
          <w:p>
            <w:pPr>
              <w:spacing w:before="0" w:after="0" w:line="245" w:lineRule="auto"/>
              <w:jc w:val="left"/>
            </w:pPr>
            <w:r/>
            <w:r>
              <w:rPr>
                <w:rFonts w:ascii="Calibri" w:hAnsi="Calibri"/>
                <w:b/>
                <w:i w:val="0"/>
                <w:color w:val="1D2939"/>
                <w:sz w:val="16"/>
              </w:rPr>
              <w:t>Pilot training operations and support</w:t>
            </w:r>
          </w:p>
        </w:tc>
        <w:tc>
          <w:tcPr>
            <w:tcW w:type="dxa" w:w="1680"/>
            <w:shd w:fill="F3F4F6"/>
          </w:tcPr>
          <w:p>
            <w:pPr>
              <w:spacing w:before="0" w:after="0" w:line="245" w:lineRule="auto"/>
              <w:jc w:val="center"/>
            </w:pPr>
            <w:r/>
            <w:r>
              <w:rPr>
                <w:rFonts w:ascii="Calibri" w:hAnsi="Calibri"/>
                <w:b w:val="0"/>
                <w:i w:val="0"/>
                <w:color w:val="1D2939"/>
                <w:sz w:val="16"/>
              </w:rPr>
              <w:t>7,000</w:t>
            </w:r>
          </w:p>
        </w:tc>
        <w:tc>
          <w:tcPr>
            <w:tcW w:type="dxa" w:w="3780"/>
            <w:shd w:fill="F3F4F6"/>
          </w:tcPr>
          <w:p>
            <w:pPr>
              <w:spacing w:before="0" w:after="0" w:line="245" w:lineRule="auto"/>
              <w:jc w:val="left"/>
            </w:pPr>
            <w:r/>
            <w:r>
              <w:rPr>
                <w:rFonts w:ascii="Calibri" w:hAnsi="Calibri"/>
                <w:b w:val="0"/>
                <w:i w:val="0"/>
                <w:color w:val="1D2939"/>
                <w:sz w:val="16"/>
              </w:rPr>
              <w:t>Three rooms, six instructors, six-week support allowance</w:t>
            </w:r>
          </w:p>
        </w:tc>
      </w:tr>
      <w:tr>
        <w:trPr>
          <w:cantSplit/>
        </w:trPr>
        <w:tc>
          <w:tcPr>
            <w:tcW w:type="dxa" w:w="3900"/>
          </w:tcPr>
          <w:p>
            <w:pPr>
              <w:spacing w:before="0" w:after="0" w:line="245" w:lineRule="auto"/>
              <w:jc w:val="left"/>
            </w:pPr>
            <w:r/>
            <w:r>
              <w:rPr>
                <w:rFonts w:ascii="Calibri" w:hAnsi="Calibri"/>
                <w:b/>
                <w:i w:val="0"/>
                <w:color w:val="1D2939"/>
                <w:sz w:val="16"/>
              </w:rPr>
              <w:t>Hosting monitoring and tools</w:t>
            </w:r>
          </w:p>
        </w:tc>
        <w:tc>
          <w:tcPr>
            <w:tcW w:type="dxa" w:w="1680"/>
          </w:tcPr>
          <w:p>
            <w:pPr>
              <w:spacing w:before="0" w:after="0" w:line="245" w:lineRule="auto"/>
              <w:jc w:val="center"/>
            </w:pPr>
            <w:r/>
            <w:r>
              <w:rPr>
                <w:rFonts w:ascii="Calibri" w:hAnsi="Calibri"/>
                <w:b w:val="0"/>
                <w:i w:val="0"/>
                <w:color w:val="1D2939"/>
                <w:sz w:val="16"/>
              </w:rPr>
              <w:t>2,000</w:t>
            </w:r>
          </w:p>
        </w:tc>
        <w:tc>
          <w:tcPr>
            <w:tcW w:type="dxa" w:w="3780"/>
          </w:tcPr>
          <w:p>
            <w:pPr>
              <w:spacing w:before="0" w:after="0" w:line="245" w:lineRule="auto"/>
              <w:jc w:val="left"/>
            </w:pPr>
            <w:r/>
            <w:r>
              <w:rPr>
                <w:rFonts w:ascii="Calibri" w:hAnsi="Calibri"/>
                <w:b w:val="0"/>
                <w:i w:val="0"/>
                <w:color w:val="1D2939"/>
                <w:sz w:val="16"/>
              </w:rPr>
              <w:t>Pilot-only environment and operational tooling</w:t>
            </w:r>
          </w:p>
        </w:tc>
      </w:tr>
      <w:tr>
        <w:trPr>
          <w:cantSplit/>
        </w:trPr>
        <w:tc>
          <w:tcPr>
            <w:tcW w:type="dxa" w:w="3900"/>
            <w:shd w:fill="F3F4F6"/>
          </w:tcPr>
          <w:p>
            <w:pPr>
              <w:spacing w:before="0" w:after="0" w:line="245" w:lineRule="auto"/>
              <w:jc w:val="left"/>
            </w:pPr>
            <w:r/>
            <w:r>
              <w:rPr>
                <w:rFonts w:ascii="Calibri" w:hAnsi="Calibri"/>
                <w:b/>
                <w:i w:val="0"/>
                <w:color w:val="1D2939"/>
                <w:sz w:val="16"/>
              </w:rPr>
              <w:t>Contingency reserve</w:t>
            </w:r>
          </w:p>
        </w:tc>
        <w:tc>
          <w:tcPr>
            <w:tcW w:type="dxa" w:w="1680"/>
            <w:shd w:fill="F3F4F6"/>
          </w:tcPr>
          <w:p>
            <w:pPr>
              <w:spacing w:before="0" w:after="0" w:line="245" w:lineRule="auto"/>
              <w:jc w:val="center"/>
            </w:pPr>
            <w:r/>
            <w:r>
              <w:rPr>
                <w:rFonts w:ascii="Calibri" w:hAnsi="Calibri"/>
                <w:b w:val="0"/>
                <w:i w:val="0"/>
                <w:color w:val="1D2939"/>
                <w:sz w:val="16"/>
              </w:rPr>
              <w:t>5,800</w:t>
            </w:r>
          </w:p>
        </w:tc>
        <w:tc>
          <w:tcPr>
            <w:tcW w:type="dxa" w:w="3780"/>
            <w:shd w:fill="F3F4F6"/>
          </w:tcPr>
          <w:p>
            <w:pPr>
              <w:spacing w:before="0" w:after="0" w:line="245" w:lineRule="auto"/>
              <w:jc w:val="left"/>
            </w:pPr>
            <w:r/>
            <w:r>
              <w:rPr>
                <w:rFonts w:ascii="Calibri" w:hAnsi="Calibri"/>
                <w:b w:val="0"/>
                <w:i w:val="0"/>
                <w:color w:val="1D2939"/>
                <w:sz w:val="16"/>
              </w:rPr>
              <w:t>About 10.7% of AED 54,000 base estimate</w:t>
            </w:r>
          </w:p>
        </w:tc>
      </w:tr>
      <w:tr>
        <w:trPr>
          <w:cantSplit/>
        </w:trPr>
        <w:tc>
          <w:tcPr>
            <w:tcW w:type="dxa" w:w="3900"/>
            <w:shd w:fill="EAF4EF"/>
          </w:tcPr>
          <w:p>
            <w:pPr>
              <w:spacing w:before="0" w:after="0" w:line="245" w:lineRule="auto"/>
              <w:jc w:val="left"/>
            </w:pPr>
            <w:r/>
            <w:r>
              <w:rPr>
                <w:rFonts w:ascii="Calibri" w:hAnsi="Calibri"/>
                <w:b/>
                <w:i w:val="0"/>
                <w:color w:val="1D2939"/>
                <w:sz w:val="16"/>
              </w:rPr>
              <w:t>Total baseline</w:t>
            </w:r>
          </w:p>
        </w:tc>
        <w:tc>
          <w:tcPr>
            <w:tcW w:type="dxa" w:w="1680"/>
            <w:shd w:fill="EAF4EF"/>
          </w:tcPr>
          <w:p>
            <w:pPr>
              <w:spacing w:before="0" w:after="0" w:line="245" w:lineRule="auto"/>
              <w:jc w:val="center"/>
            </w:pPr>
            <w:r/>
            <w:r>
              <w:rPr>
                <w:rFonts w:ascii="Calibri" w:hAnsi="Calibri"/>
                <w:b/>
                <w:i w:val="0"/>
                <w:color w:val="1D2939"/>
                <w:sz w:val="16"/>
              </w:rPr>
              <w:t>59,800</w:t>
            </w:r>
          </w:p>
        </w:tc>
        <w:tc>
          <w:tcPr>
            <w:tcW w:type="dxa" w:w="3780"/>
            <w:shd w:fill="EAF4EF"/>
          </w:tcPr>
          <w:p>
            <w:pPr>
              <w:spacing w:before="0" w:after="0" w:line="245" w:lineRule="auto"/>
              <w:jc w:val="left"/>
            </w:pPr>
            <w:r/>
            <w:r>
              <w:rPr>
                <w:rFonts w:ascii="Calibri" w:hAnsi="Calibri"/>
                <w:b/>
                <w:i w:val="0"/>
                <w:color w:val="1D2939"/>
                <w:sz w:val="16"/>
              </w:rPr>
              <w:t>AED 200 below the authorization ceiling</w:t>
            </w:r>
          </w:p>
        </w:tc>
      </w:tr>
    </w:tbl>
    <w:p>
      <w:pPr>
        <w:pStyle w:val="Heading1"/>
      </w:pPr>
      <w:r>
        <w:t>12 Materially lower budget scenario</w:t>
      </w:r>
    </w:p>
    <w:p>
      <w:pPr>
        <w:keepNext w:val="0"/>
        <w:spacing w:before="0" w:after="80" w:line="259" w:lineRule="auto"/>
        <w:jc w:val="left"/>
      </w:pPr>
      <w:r>
        <w:rPr>
          <w:rFonts w:ascii="Calibri" w:hAnsi="Calibri"/>
          <w:b w:val="0"/>
          <w:i w:val="0"/>
          <w:color w:val="1D2939"/>
          <w:sz w:val="19"/>
        </w:rPr>
        <w:t>If management reduces the ceiling by about 25% to AED 45,000, the team should revise the evidence ambition rather than preserve the same promise with an unrealistic number. Security, privacy, and accessibility controls remain protected.</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00"/>
        <w:gridCol w:w="2280"/>
        <w:gridCol w:w="1380"/>
        <w:gridCol w:w="3600"/>
      </w:tblGrid>
      <w:tr>
        <w:trPr>
          <w:tblHeader w:val="true"/>
          <w:cantSplit/>
        </w:trPr>
        <w:tc>
          <w:tcPr>
            <w:tcW w:type="dxa" w:w="21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5"/>
              </w:rPr>
              <w:t>Change</w:t>
            </w:r>
          </w:p>
        </w:tc>
        <w:tc>
          <w:tcPr>
            <w:tcW w:type="dxa" w:w="22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Reduced plan</w:t>
            </w:r>
          </w:p>
        </w:tc>
        <w:tc>
          <w:tcPr>
            <w:tcW w:type="dxa" w:w="13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Saving AED</w:t>
            </w:r>
          </w:p>
        </w:tc>
        <w:tc>
          <w:tcPr>
            <w:tcW w:type="dxa" w:w="36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Consequence</w:t>
            </w:r>
          </w:p>
        </w:tc>
      </w:tr>
      <w:tr>
        <w:trPr>
          <w:cantSplit/>
        </w:trPr>
        <w:tc>
          <w:tcPr>
            <w:tcW w:type="dxa" w:w="2100"/>
          </w:tcPr>
          <w:p>
            <w:pPr>
              <w:spacing w:before="0" w:after="0" w:line="245" w:lineRule="auto"/>
              <w:jc w:val="left"/>
            </w:pPr>
            <w:r/>
            <w:r>
              <w:rPr>
                <w:rFonts w:ascii="Calibri" w:hAnsi="Calibri"/>
                <w:b/>
                <w:i w:val="0"/>
                <w:color w:val="1D2939"/>
                <w:sz w:val="15"/>
              </w:rPr>
              <w:t>Pilot size and duration</w:t>
            </w:r>
          </w:p>
        </w:tc>
        <w:tc>
          <w:tcPr>
            <w:tcW w:type="dxa" w:w="2280"/>
          </w:tcPr>
          <w:p>
            <w:pPr>
              <w:spacing w:before="0" w:after="0" w:line="245" w:lineRule="auto"/>
              <w:jc w:val="left"/>
            </w:pPr>
            <w:r/>
            <w:r>
              <w:rPr>
                <w:rFonts w:ascii="Calibri" w:hAnsi="Calibri"/>
                <w:b w:val="0"/>
                <w:i w:val="0"/>
                <w:color w:val="1D2939"/>
                <w:sz w:val="15"/>
              </w:rPr>
              <w:t>1 classroom for 3 weeks</w:t>
            </w:r>
          </w:p>
        </w:tc>
        <w:tc>
          <w:tcPr>
            <w:tcW w:type="dxa" w:w="1380"/>
          </w:tcPr>
          <w:p>
            <w:pPr>
              <w:spacing w:before="0" w:after="0" w:line="245" w:lineRule="auto"/>
              <w:jc w:val="center"/>
            </w:pPr>
            <w:r/>
            <w:r>
              <w:rPr>
                <w:rFonts w:ascii="Calibri" w:hAnsi="Calibri"/>
                <w:b w:val="0"/>
                <w:i w:val="0"/>
                <w:color w:val="1D2939"/>
                <w:sz w:val="15"/>
              </w:rPr>
              <w:t>6,500</w:t>
            </w:r>
          </w:p>
        </w:tc>
        <w:tc>
          <w:tcPr>
            <w:tcW w:type="dxa" w:w="3600"/>
          </w:tcPr>
          <w:p>
            <w:pPr>
              <w:spacing w:before="0" w:after="0" w:line="245" w:lineRule="auto"/>
              <w:jc w:val="left"/>
            </w:pPr>
            <w:r/>
            <w:r>
              <w:rPr>
                <w:rFonts w:ascii="Calibri" w:hAnsi="Calibri"/>
                <w:b w:val="0"/>
                <w:i w:val="0"/>
                <w:color w:val="1D2939"/>
                <w:sz w:val="15"/>
              </w:rPr>
              <w:t>Smaller sample and weaker evidence about different rooms, instructors, and support demand.</w:t>
            </w:r>
          </w:p>
        </w:tc>
      </w:tr>
      <w:tr>
        <w:trPr>
          <w:cantSplit/>
        </w:trPr>
        <w:tc>
          <w:tcPr>
            <w:tcW w:type="dxa" w:w="2100"/>
            <w:shd w:fill="EAF2F8"/>
          </w:tcPr>
          <w:p>
            <w:pPr>
              <w:spacing w:before="0" w:after="0" w:line="245" w:lineRule="auto"/>
              <w:jc w:val="left"/>
            </w:pPr>
            <w:r/>
            <w:r>
              <w:rPr>
                <w:rFonts w:ascii="Calibri" w:hAnsi="Calibri"/>
                <w:b/>
                <w:i w:val="0"/>
                <w:color w:val="1D2939"/>
                <w:sz w:val="15"/>
              </w:rPr>
              <w:t>Device coverage</w:t>
            </w:r>
          </w:p>
        </w:tc>
        <w:tc>
          <w:tcPr>
            <w:tcW w:type="dxa" w:w="2280"/>
            <w:shd w:fill="EAF2F8"/>
          </w:tcPr>
          <w:p>
            <w:pPr>
              <w:spacing w:before="0" w:after="0" w:line="245" w:lineRule="auto"/>
              <w:jc w:val="left"/>
            </w:pPr>
            <w:r/>
            <w:r>
              <w:rPr>
                <w:rFonts w:ascii="Calibri" w:hAnsi="Calibri"/>
                <w:b w:val="0"/>
                <w:i w:val="0"/>
                <w:color w:val="1D2939"/>
                <w:sz w:val="15"/>
              </w:rPr>
              <w:t>Latest Safari and Chrome only</w:t>
            </w:r>
          </w:p>
        </w:tc>
        <w:tc>
          <w:tcPr>
            <w:tcW w:type="dxa" w:w="1380"/>
            <w:shd w:fill="EAF2F8"/>
          </w:tcPr>
          <w:p>
            <w:pPr>
              <w:spacing w:before="0" w:after="0" w:line="245" w:lineRule="auto"/>
              <w:jc w:val="center"/>
            </w:pPr>
            <w:r/>
            <w:r>
              <w:rPr>
                <w:rFonts w:ascii="Calibri" w:hAnsi="Calibri"/>
                <w:b w:val="0"/>
                <w:i w:val="0"/>
                <w:color w:val="1D2939"/>
                <w:sz w:val="15"/>
              </w:rPr>
              <w:t>2,000</w:t>
            </w:r>
          </w:p>
        </w:tc>
        <w:tc>
          <w:tcPr>
            <w:tcW w:type="dxa" w:w="3600"/>
            <w:shd w:fill="EAF2F8"/>
          </w:tcPr>
          <w:p>
            <w:pPr>
              <w:spacing w:before="0" w:after="0" w:line="245" w:lineRule="auto"/>
              <w:jc w:val="left"/>
            </w:pPr>
            <w:r/>
            <w:r>
              <w:rPr>
                <w:rFonts w:ascii="Calibri" w:hAnsi="Calibri"/>
                <w:b w:val="0"/>
                <w:i w:val="0"/>
                <w:color w:val="1D2939"/>
                <w:sz w:val="15"/>
              </w:rPr>
              <w:t>More students may need the physical-mic fallback; general compatibility remains unproven.</w:t>
            </w:r>
          </w:p>
        </w:tc>
      </w:tr>
      <w:tr>
        <w:trPr>
          <w:cantSplit/>
        </w:trPr>
        <w:tc>
          <w:tcPr>
            <w:tcW w:type="dxa" w:w="2100"/>
          </w:tcPr>
          <w:p>
            <w:pPr>
              <w:spacing w:before="0" w:after="0" w:line="245" w:lineRule="auto"/>
              <w:jc w:val="left"/>
            </w:pPr>
            <w:r/>
            <w:r>
              <w:rPr>
                <w:rFonts w:ascii="Calibri" w:hAnsi="Calibri"/>
                <w:b/>
                <w:i w:val="0"/>
                <w:color w:val="1D2939"/>
                <w:sz w:val="15"/>
              </w:rPr>
              <w:t>Product scope</w:t>
            </w:r>
          </w:p>
        </w:tc>
        <w:tc>
          <w:tcPr>
            <w:tcW w:type="dxa" w:w="2280"/>
          </w:tcPr>
          <w:p>
            <w:pPr>
              <w:spacing w:before="0" w:after="0" w:line="245" w:lineRule="auto"/>
              <w:jc w:val="left"/>
            </w:pPr>
            <w:r/>
            <w:r>
              <w:rPr>
                <w:rFonts w:ascii="Calibri" w:hAnsi="Calibri"/>
                <w:b w:val="0"/>
                <w:i w:val="0"/>
                <w:color w:val="1D2939"/>
                <w:sz w:val="15"/>
              </w:rPr>
              <w:t>Remove rich metrics, diagnostics, and interface polish</w:t>
            </w:r>
          </w:p>
        </w:tc>
        <w:tc>
          <w:tcPr>
            <w:tcW w:type="dxa" w:w="1380"/>
          </w:tcPr>
          <w:p>
            <w:pPr>
              <w:spacing w:before="0" w:after="0" w:line="245" w:lineRule="auto"/>
              <w:jc w:val="center"/>
            </w:pPr>
            <w:r/>
            <w:r>
              <w:rPr>
                <w:rFonts w:ascii="Calibri" w:hAnsi="Calibri"/>
                <w:b w:val="0"/>
                <w:i w:val="0"/>
                <w:color w:val="1D2939"/>
                <w:sz w:val="15"/>
              </w:rPr>
              <w:t>2,500</w:t>
            </w:r>
          </w:p>
        </w:tc>
        <w:tc>
          <w:tcPr>
            <w:tcW w:type="dxa" w:w="3600"/>
          </w:tcPr>
          <w:p>
            <w:pPr>
              <w:spacing w:before="0" w:after="0" w:line="245" w:lineRule="auto"/>
              <w:jc w:val="left"/>
            </w:pPr>
            <w:r/>
            <w:r>
              <w:rPr>
                <w:rFonts w:ascii="Calibri" w:hAnsi="Calibri"/>
                <w:b w:val="0"/>
                <w:i w:val="0"/>
                <w:color w:val="1D2939"/>
                <w:sz w:val="15"/>
              </w:rPr>
              <w:t>Core workflow remains, but troubleshooting and evaluation are more manual.</w:t>
            </w:r>
          </w:p>
        </w:tc>
      </w:tr>
      <w:tr>
        <w:trPr>
          <w:cantSplit/>
        </w:trPr>
        <w:tc>
          <w:tcPr>
            <w:tcW w:type="dxa" w:w="2100"/>
            <w:shd w:fill="EAF2F8"/>
          </w:tcPr>
          <w:p>
            <w:pPr>
              <w:spacing w:before="0" w:after="0" w:line="245" w:lineRule="auto"/>
              <w:jc w:val="left"/>
            </w:pPr>
            <w:r/>
            <w:r>
              <w:rPr>
                <w:rFonts w:ascii="Calibri" w:hAnsi="Calibri"/>
                <w:b/>
                <w:i w:val="0"/>
                <w:color w:val="1D2939"/>
                <w:sz w:val="15"/>
              </w:rPr>
              <w:t>Support model</w:t>
            </w:r>
          </w:p>
        </w:tc>
        <w:tc>
          <w:tcPr>
            <w:tcW w:type="dxa" w:w="2280"/>
            <w:shd w:fill="EAF2F8"/>
          </w:tcPr>
          <w:p>
            <w:pPr>
              <w:spacing w:before="0" w:after="0" w:line="245" w:lineRule="auto"/>
              <w:jc w:val="left"/>
            </w:pPr>
            <w:r/>
            <w:r>
              <w:rPr>
                <w:rFonts w:ascii="Calibri" w:hAnsi="Calibri"/>
                <w:b w:val="0"/>
                <w:i w:val="0"/>
                <w:color w:val="1D2939"/>
                <w:sz w:val="15"/>
              </w:rPr>
              <w:t>Scheduled pilot sessions only</w:t>
            </w:r>
          </w:p>
        </w:tc>
        <w:tc>
          <w:tcPr>
            <w:tcW w:type="dxa" w:w="1380"/>
            <w:shd w:fill="EAF2F8"/>
          </w:tcPr>
          <w:p>
            <w:pPr>
              <w:spacing w:before="0" w:after="0" w:line="245" w:lineRule="auto"/>
              <w:jc w:val="center"/>
            </w:pPr>
            <w:r/>
            <w:r>
              <w:rPr>
                <w:rFonts w:ascii="Calibri" w:hAnsi="Calibri"/>
                <w:b w:val="0"/>
                <w:i w:val="0"/>
                <w:color w:val="1D2939"/>
                <w:sz w:val="15"/>
              </w:rPr>
              <w:t>1,800</w:t>
            </w:r>
          </w:p>
        </w:tc>
        <w:tc>
          <w:tcPr>
            <w:tcW w:type="dxa" w:w="3600"/>
            <w:shd w:fill="EAF2F8"/>
          </w:tcPr>
          <w:p>
            <w:pPr>
              <w:spacing w:before="0" w:after="0" w:line="245" w:lineRule="auto"/>
              <w:jc w:val="left"/>
            </w:pPr>
            <w:r/>
            <w:r>
              <w:rPr>
                <w:rFonts w:ascii="Calibri" w:hAnsi="Calibri"/>
                <w:b w:val="0"/>
                <w:i w:val="0"/>
                <w:color w:val="1D2939"/>
                <w:sz w:val="15"/>
              </w:rPr>
              <w:t>Unplanned classes receive no immediate support; adoption evidence is less natural.</w:t>
            </w:r>
          </w:p>
        </w:tc>
      </w:tr>
      <w:tr>
        <w:trPr>
          <w:cantSplit/>
        </w:trPr>
        <w:tc>
          <w:tcPr>
            <w:tcW w:type="dxa" w:w="2100"/>
          </w:tcPr>
          <w:p>
            <w:pPr>
              <w:spacing w:before="0" w:after="0" w:line="245" w:lineRule="auto"/>
              <w:jc w:val="left"/>
            </w:pPr>
            <w:r/>
            <w:r>
              <w:rPr>
                <w:rFonts w:ascii="Calibri" w:hAnsi="Calibri"/>
                <w:b/>
                <w:i w:val="0"/>
                <w:color w:val="1D2939"/>
                <w:sz w:val="15"/>
              </w:rPr>
              <w:t>Hosting and relay allowance</w:t>
            </w:r>
          </w:p>
        </w:tc>
        <w:tc>
          <w:tcPr>
            <w:tcW w:type="dxa" w:w="2280"/>
          </w:tcPr>
          <w:p>
            <w:pPr>
              <w:spacing w:before="0" w:after="0" w:line="245" w:lineRule="auto"/>
              <w:jc w:val="left"/>
            </w:pPr>
            <w:r/>
            <w:r>
              <w:rPr>
                <w:rFonts w:ascii="Calibri" w:hAnsi="Calibri"/>
                <w:b w:val="0"/>
                <w:i w:val="0"/>
                <w:color w:val="1D2939"/>
                <w:sz w:val="15"/>
              </w:rPr>
              <w:t>Use internal environment only</w:t>
            </w:r>
          </w:p>
        </w:tc>
        <w:tc>
          <w:tcPr>
            <w:tcW w:type="dxa" w:w="1380"/>
          </w:tcPr>
          <w:p>
            <w:pPr>
              <w:spacing w:before="0" w:after="0" w:line="245" w:lineRule="auto"/>
              <w:jc w:val="center"/>
            </w:pPr>
            <w:r/>
            <w:r>
              <w:rPr>
                <w:rFonts w:ascii="Calibri" w:hAnsi="Calibri"/>
                <w:b w:val="0"/>
                <w:i w:val="0"/>
                <w:color w:val="1D2939"/>
                <w:sz w:val="15"/>
              </w:rPr>
              <w:t>800</w:t>
            </w:r>
          </w:p>
        </w:tc>
        <w:tc>
          <w:tcPr>
            <w:tcW w:type="dxa" w:w="3600"/>
          </w:tcPr>
          <w:p>
            <w:pPr>
              <w:spacing w:before="0" w:after="0" w:line="245" w:lineRule="auto"/>
              <w:jc w:val="left"/>
            </w:pPr>
            <w:r/>
            <w:r>
              <w:rPr>
                <w:rFonts w:ascii="Calibri" w:hAnsi="Calibri"/>
                <w:b w:val="0"/>
                <w:i w:val="0"/>
                <w:color w:val="1D2939"/>
                <w:sz w:val="15"/>
              </w:rPr>
              <w:t>Pilot stops if network tests show an external relay is necessary.</w:t>
            </w:r>
          </w:p>
        </w:tc>
      </w:tr>
      <w:tr>
        <w:trPr>
          <w:cantSplit/>
        </w:trPr>
        <w:tc>
          <w:tcPr>
            <w:tcW w:type="dxa" w:w="2100"/>
            <w:shd w:fill="EAF2F8"/>
          </w:tcPr>
          <w:p>
            <w:pPr>
              <w:spacing w:before="0" w:after="0" w:line="245" w:lineRule="auto"/>
              <w:jc w:val="left"/>
            </w:pPr>
            <w:r/>
            <w:r>
              <w:rPr>
                <w:rFonts w:ascii="Calibri" w:hAnsi="Calibri"/>
                <w:b/>
                <w:i w:val="0"/>
                <w:color w:val="1D2939"/>
                <w:sz w:val="15"/>
              </w:rPr>
              <w:t>Contingency</w:t>
            </w:r>
          </w:p>
        </w:tc>
        <w:tc>
          <w:tcPr>
            <w:tcW w:type="dxa" w:w="2280"/>
            <w:shd w:fill="EAF2F8"/>
          </w:tcPr>
          <w:p>
            <w:pPr>
              <w:spacing w:before="0" w:after="0" w:line="245" w:lineRule="auto"/>
              <w:jc w:val="left"/>
            </w:pPr>
            <w:r/>
            <w:r>
              <w:rPr>
                <w:rFonts w:ascii="Calibri" w:hAnsi="Calibri"/>
                <w:b w:val="0"/>
                <w:i w:val="0"/>
                <w:color w:val="1D2939"/>
                <w:sz w:val="15"/>
              </w:rPr>
              <w:t>Reduce reserve by AED 1,200</w:t>
            </w:r>
          </w:p>
        </w:tc>
        <w:tc>
          <w:tcPr>
            <w:tcW w:type="dxa" w:w="1380"/>
            <w:shd w:fill="EAF2F8"/>
          </w:tcPr>
          <w:p>
            <w:pPr>
              <w:spacing w:before="0" w:after="0" w:line="245" w:lineRule="auto"/>
              <w:jc w:val="center"/>
            </w:pPr>
            <w:r/>
            <w:r>
              <w:rPr>
                <w:rFonts w:ascii="Calibri" w:hAnsi="Calibri"/>
                <w:b w:val="0"/>
                <w:i w:val="0"/>
                <w:color w:val="1D2939"/>
                <w:sz w:val="15"/>
              </w:rPr>
              <w:t>1,200</w:t>
            </w:r>
          </w:p>
        </w:tc>
        <w:tc>
          <w:tcPr>
            <w:tcW w:type="dxa" w:w="3600"/>
            <w:shd w:fill="EAF2F8"/>
          </w:tcPr>
          <w:p>
            <w:pPr>
              <w:spacing w:before="0" w:after="0" w:line="245" w:lineRule="auto"/>
              <w:jc w:val="left"/>
            </w:pPr>
            <w:r/>
            <w:r>
              <w:rPr>
                <w:rFonts w:ascii="Calibri" w:hAnsi="Calibri"/>
                <w:b w:val="0"/>
                <w:i w:val="0"/>
                <w:color w:val="1D2939"/>
                <w:sz w:val="15"/>
              </w:rPr>
              <w:t>Less ability to absorb rework; scope must be cut sooner if a risk occurs.</w:t>
            </w:r>
          </w:p>
        </w:tc>
      </w:tr>
      <w:tr>
        <w:trPr>
          <w:cantSplit/>
        </w:trPr>
        <w:tc>
          <w:tcPr>
            <w:tcW w:type="dxa" w:w="2100"/>
            <w:shd w:fill="FFF4D6"/>
          </w:tcPr>
          <w:p>
            <w:pPr>
              <w:spacing w:before="0" w:after="0" w:line="245" w:lineRule="auto"/>
              <w:jc w:val="left"/>
            </w:pPr>
            <w:r/>
            <w:r>
              <w:rPr>
                <w:rFonts w:ascii="Calibri" w:hAnsi="Calibri"/>
                <w:b/>
                <w:i w:val="0"/>
                <w:color w:val="1D2939"/>
                <w:sz w:val="15"/>
              </w:rPr>
              <w:t>Total reduction</w:t>
            </w:r>
          </w:p>
        </w:tc>
        <w:tc>
          <w:tcPr>
            <w:tcW w:type="dxa" w:w="2280"/>
            <w:shd w:fill="FFF4D6"/>
          </w:tcPr>
          <w:p>
            <w:pPr>
              <w:spacing w:before="0" w:after="0" w:line="245" w:lineRule="auto"/>
              <w:jc w:val="left"/>
            </w:pPr>
            <w:r/>
            <w:r>
              <w:rPr>
                <w:rFonts w:ascii="Calibri" w:hAnsi="Calibri"/>
                <w:b/>
                <w:i w:val="0"/>
                <w:color w:val="1D2939"/>
                <w:sz w:val="15"/>
              </w:rPr>
              <w:t>Revised ceiling AED 45,000</w:t>
            </w:r>
          </w:p>
        </w:tc>
        <w:tc>
          <w:tcPr>
            <w:tcW w:type="dxa" w:w="1380"/>
            <w:shd w:fill="FFF4D6"/>
          </w:tcPr>
          <w:p>
            <w:pPr>
              <w:spacing w:before="0" w:after="0" w:line="245" w:lineRule="auto"/>
              <w:jc w:val="center"/>
            </w:pPr>
            <w:r/>
            <w:r>
              <w:rPr>
                <w:rFonts w:ascii="Calibri" w:hAnsi="Calibri"/>
                <w:b/>
                <w:i w:val="0"/>
                <w:color w:val="1D2939"/>
                <w:sz w:val="15"/>
              </w:rPr>
              <w:t>14,800</w:t>
            </w:r>
          </w:p>
        </w:tc>
        <w:tc>
          <w:tcPr>
            <w:tcW w:type="dxa" w:w="3600"/>
            <w:shd w:fill="FFF4D6"/>
          </w:tcPr>
          <w:p>
            <w:pPr>
              <w:spacing w:before="0" w:after="0" w:line="245" w:lineRule="auto"/>
              <w:jc w:val="left"/>
            </w:pPr>
            <w:r/>
            <w:r>
              <w:rPr>
                <w:rFonts w:ascii="Calibri" w:hAnsi="Calibri"/>
                <w:b/>
                <w:i w:val="0"/>
                <w:color w:val="1D2939"/>
                <w:sz w:val="15"/>
              </w:rPr>
              <w:t>The result is a feasibility test, not sufficient evidence for campus-wide investment.</w:t>
            </w:r>
          </w:p>
        </w:tc>
      </w:tr>
    </w:tbl>
    <w:p>
      <w:pPr>
        <w:pStyle w:val="Heading2"/>
      </w:pPr>
      <w:r>
        <w:t>Budget control</w:t>
      </w:r>
    </w:p>
    <w:p>
      <w:pPr>
        <w:keepNext w:val="0"/>
        <w:spacing w:before="0" w:after="80" w:line="259" w:lineRule="auto"/>
        <w:jc w:val="left"/>
      </w:pPr>
      <w:r>
        <w:rPr>
          <w:rFonts w:ascii="Calibri" w:hAnsi="Calibri"/>
          <w:b w:val="0"/>
          <w:i w:val="0"/>
          <w:color w:val="1D2939"/>
          <w:sz w:val="19"/>
        </w:rPr>
        <w:t>Nurtore maintains the forecast and reports variance weekly. Forecast variance above 5% requires recovery options; any forecast above AED 60,000, use of management reserve for a new scope item, or external commitment outside the approved plan requires the Dean's approval before spending.</w:t>
      </w:r>
    </w:p>
    <w:p>
      <w:pPr>
        <w:sectPr>
          <w:headerReference w:type="default" r:id="rId13"/>
          <w:footerReference w:type="default" r:id="rId14"/>
          <w:pgSz w:w="12240" w:h="15840"/>
          <w:pgMar w:top="893" w:right="1440" w:bottom="893" w:left="1440" w:header="403" w:footer="403" w:gutter="0"/>
          <w:cols w:space="720"/>
          <w:docGrid w:linePitch="360"/>
        </w:sectPr>
      </w:pPr>
    </w:p>
    <w:p>
      <w:pPr>
        <w:pStyle w:val="Heading1"/>
      </w:pPr>
      <w:r>
        <w:t>13 Risk register</w:t>
      </w:r>
    </w:p>
    <w:p>
      <w:pPr>
        <w:keepNext w:val="0"/>
        <w:spacing w:before="0" w:after="80" w:line="259" w:lineRule="auto"/>
        <w:jc w:val="left"/>
      </w:pPr>
      <w:r>
        <w:rPr>
          <w:rFonts w:ascii="Calibri" w:hAnsi="Calibri"/>
          <w:b w:val="0"/>
          <w:i w:val="0"/>
          <w:color w:val="667085"/>
          <w:sz w:val="18"/>
        </w:rPr>
        <w:t>Scoring uses probability and impact from 1 to 5; priority equals probability multiplied by impact. Scores 10 to 25 are High, 5 to 9 are Medium, and 1 to 4 are Low.</w:t>
      </w:r>
    </w:p>
    <w:tbl>
      <w:tblPr>
        <w:tblW w:type="dxa" w:w="1422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600"/>
        <w:gridCol w:w="4250"/>
        <w:gridCol w:w="1350"/>
        <w:gridCol w:w="3900"/>
        <w:gridCol w:w="1450"/>
        <w:gridCol w:w="2670"/>
      </w:tblGrid>
      <w:tr>
        <w:trPr>
          <w:tblHeader w:val="true"/>
          <w:cantSplit/>
        </w:trPr>
        <w:tc>
          <w:tcPr>
            <w:tcW w:type="dxa" w:w="6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4"/>
              </w:rPr>
              <w:t>ID</w:t>
            </w:r>
          </w:p>
        </w:tc>
        <w:tc>
          <w:tcPr>
            <w:tcW w:type="dxa" w:w="425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Cause  -&gt;  risk event  -&gt;  effect</w:t>
            </w:r>
          </w:p>
        </w:tc>
        <w:tc>
          <w:tcPr>
            <w:tcW w:type="dxa" w:w="135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4"/>
              </w:rPr>
              <w:t>P I score</w:t>
            </w:r>
          </w:p>
        </w:tc>
        <w:tc>
          <w:tcPr>
            <w:tcW w:type="dxa" w:w="39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Response</w:t>
            </w:r>
          </w:p>
        </w:tc>
        <w:tc>
          <w:tcPr>
            <w:tcW w:type="dxa" w:w="145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Owner</w:t>
            </w:r>
          </w:p>
        </w:tc>
        <w:tc>
          <w:tcPr>
            <w:tcW w:type="dxa" w:w="267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Trigger</w:t>
            </w:r>
          </w:p>
        </w:tc>
      </w:tr>
      <w:tr>
        <w:trPr>
          <w:cantSplit/>
        </w:trPr>
        <w:tc>
          <w:tcPr>
            <w:tcW w:type="dxa" w:w="600"/>
          </w:tcPr>
          <w:p>
            <w:pPr>
              <w:spacing w:before="0" w:after="0" w:line="240" w:lineRule="auto"/>
              <w:jc w:val="center"/>
            </w:pPr>
            <w:r/>
            <w:r>
              <w:rPr>
                <w:rFonts w:ascii="Calibri" w:hAnsi="Calibri"/>
                <w:b/>
                <w:i w:val="0"/>
                <w:color w:val="1D2939"/>
                <w:sz w:val="14"/>
              </w:rPr>
              <w:t>R1</w:t>
            </w:r>
          </w:p>
        </w:tc>
        <w:tc>
          <w:tcPr>
            <w:tcW w:type="dxa" w:w="4250"/>
          </w:tcPr>
          <w:p>
            <w:pPr>
              <w:spacing w:before="0" w:after="0" w:line="240" w:lineRule="auto"/>
              <w:jc w:val="left"/>
            </w:pPr>
            <w:r/>
            <w:r>
              <w:rPr>
                <w:rFonts w:ascii="Calibri" w:hAnsi="Calibri"/>
                <w:b w:val="0"/>
                <w:i w:val="0"/>
                <w:color w:val="1D2939"/>
                <w:sz w:val="14"/>
              </w:rPr>
              <w:t>Room speakers feed phone microphones  -&gt;  echo or feedback occurs  -&gt;  speech becomes unusable and class is disrupted.</w:t>
            </w:r>
          </w:p>
        </w:tc>
        <w:tc>
          <w:tcPr>
            <w:tcW w:type="dxa" w:w="1350"/>
            <w:shd w:fill="FDECEC"/>
          </w:tcPr>
          <w:p>
            <w:pPr>
              <w:spacing w:before="0" w:after="0" w:line="240" w:lineRule="auto"/>
              <w:jc w:val="center"/>
            </w:pPr>
            <w:r/>
            <w:r>
              <w:rPr>
                <w:rFonts w:ascii="Calibri" w:hAnsi="Calibri"/>
                <w:b/>
                <w:i w:val="0"/>
                <w:color w:val="1D2939"/>
                <w:sz w:val="14"/>
              </w:rPr>
              <w:t>4 4 16 High</w:t>
            </w:r>
          </w:p>
        </w:tc>
        <w:tc>
          <w:tcPr>
            <w:tcW w:type="dxa" w:w="3900"/>
          </w:tcPr>
          <w:p>
            <w:pPr>
              <w:spacing w:before="0" w:after="0" w:line="240" w:lineRule="auto"/>
              <w:jc w:val="left"/>
            </w:pPr>
            <w:r/>
            <w:r>
              <w:rPr>
                <w:rFonts w:ascii="Calibri" w:hAnsi="Calibri"/>
                <w:b w:val="0"/>
                <w:i w:val="0"/>
                <w:color w:val="1D2939"/>
                <w:sz w:val="14"/>
              </w:rPr>
              <w:t>Use one active microphone, push to talk, echo controls, pre-pilot room tuning, and immediate physical-mic fallback.</w:t>
            </w:r>
          </w:p>
        </w:tc>
        <w:tc>
          <w:tcPr>
            <w:tcW w:type="dxa" w:w="1450"/>
          </w:tcPr>
          <w:p>
            <w:pPr>
              <w:spacing w:before="0" w:after="0" w:line="240" w:lineRule="auto"/>
              <w:jc w:val="center"/>
            </w:pPr>
            <w:r/>
            <w:r>
              <w:rPr>
                <w:rFonts w:ascii="Calibri" w:hAnsi="Calibri"/>
                <w:b w:val="0"/>
                <w:i w:val="0"/>
                <w:color w:val="1D2939"/>
                <w:sz w:val="14"/>
              </w:rPr>
              <w:t>Temiko</w:t>
            </w:r>
          </w:p>
        </w:tc>
        <w:tc>
          <w:tcPr>
            <w:tcW w:type="dxa" w:w="2670"/>
          </w:tcPr>
          <w:p>
            <w:pPr>
              <w:spacing w:before="0" w:after="0" w:line="240" w:lineRule="auto"/>
              <w:jc w:val="left"/>
            </w:pPr>
            <w:r/>
            <w:r>
              <w:rPr>
                <w:rFonts w:ascii="Calibri" w:hAnsi="Calibri"/>
                <w:b w:val="0"/>
                <w:i w:val="0"/>
                <w:color w:val="1D2939"/>
                <w:sz w:val="14"/>
              </w:rPr>
              <w:t>Feedback in more than 10% of test requests</w:t>
            </w:r>
          </w:p>
        </w:tc>
      </w:tr>
      <w:tr>
        <w:trPr>
          <w:cantSplit/>
        </w:trPr>
        <w:tc>
          <w:tcPr>
            <w:tcW w:type="dxa" w:w="600"/>
            <w:shd w:fill="F3F4F6"/>
          </w:tcPr>
          <w:p>
            <w:pPr>
              <w:spacing w:before="0" w:after="0" w:line="240" w:lineRule="auto"/>
              <w:jc w:val="center"/>
            </w:pPr>
            <w:r/>
            <w:r>
              <w:rPr>
                <w:rFonts w:ascii="Calibri" w:hAnsi="Calibri"/>
                <w:b/>
                <w:i w:val="0"/>
                <w:color w:val="1D2939"/>
                <w:sz w:val="14"/>
              </w:rPr>
              <w:t>R2</w:t>
            </w:r>
          </w:p>
        </w:tc>
        <w:tc>
          <w:tcPr>
            <w:tcW w:type="dxa" w:w="4250"/>
            <w:shd w:fill="F3F4F6"/>
          </w:tcPr>
          <w:p>
            <w:pPr>
              <w:spacing w:before="0" w:after="0" w:line="240" w:lineRule="auto"/>
              <w:jc w:val="left"/>
            </w:pPr>
            <w:r/>
            <w:r>
              <w:rPr>
                <w:rFonts w:ascii="Calibri" w:hAnsi="Calibri"/>
                <w:b w:val="0"/>
                <w:i w:val="0"/>
                <w:color w:val="1D2939"/>
                <w:sz w:val="14"/>
              </w:rPr>
              <w:t>Busy classroom Wi-Fi adds loss or delay  -&gt;  audio becomes late or breaks up  -&gt;  users abandon ClassMic.</w:t>
            </w:r>
          </w:p>
        </w:tc>
        <w:tc>
          <w:tcPr>
            <w:tcW w:type="dxa" w:w="1350"/>
            <w:shd w:fill="FDECEC"/>
          </w:tcPr>
          <w:p>
            <w:pPr>
              <w:spacing w:before="0" w:after="0" w:line="240" w:lineRule="auto"/>
              <w:jc w:val="center"/>
            </w:pPr>
            <w:r/>
            <w:r>
              <w:rPr>
                <w:rFonts w:ascii="Calibri" w:hAnsi="Calibri"/>
                <w:b/>
                <w:i w:val="0"/>
                <w:color w:val="1D2939"/>
                <w:sz w:val="14"/>
              </w:rPr>
              <w:t>3 5 15 High</w:t>
            </w:r>
          </w:p>
        </w:tc>
        <w:tc>
          <w:tcPr>
            <w:tcW w:type="dxa" w:w="3900"/>
            <w:shd w:fill="F3F4F6"/>
          </w:tcPr>
          <w:p>
            <w:pPr>
              <w:spacing w:before="0" w:after="0" w:line="240" w:lineRule="auto"/>
              <w:jc w:val="left"/>
            </w:pPr>
            <w:r/>
            <w:r>
              <w:rPr>
                <w:rFonts w:ascii="Calibri" w:hAnsi="Calibri"/>
                <w:b w:val="0"/>
                <w:i w:val="0"/>
                <w:color w:val="1D2939"/>
                <w:sz w:val="14"/>
              </w:rPr>
              <w:t>Test peak load, prioritize local routing, monitor latency and loss, reduce cohort, and use fallback when thresholds fail.</w:t>
            </w:r>
          </w:p>
        </w:tc>
        <w:tc>
          <w:tcPr>
            <w:tcW w:type="dxa" w:w="1450"/>
            <w:shd w:fill="F3F4F6"/>
          </w:tcPr>
          <w:p>
            <w:pPr>
              <w:spacing w:before="0" w:after="0" w:line="240" w:lineRule="auto"/>
              <w:jc w:val="center"/>
            </w:pPr>
            <w:r/>
            <w:r>
              <w:rPr>
                <w:rFonts w:ascii="Calibri" w:hAnsi="Calibri"/>
                <w:b w:val="0"/>
                <w:i w:val="0"/>
                <w:color w:val="1D2939"/>
                <w:sz w:val="14"/>
              </w:rPr>
              <w:t>IT lead</w:t>
            </w:r>
          </w:p>
        </w:tc>
        <w:tc>
          <w:tcPr>
            <w:tcW w:type="dxa" w:w="2670"/>
            <w:shd w:fill="F3F4F6"/>
          </w:tcPr>
          <w:p>
            <w:pPr>
              <w:spacing w:before="0" w:after="0" w:line="240" w:lineRule="auto"/>
              <w:jc w:val="left"/>
            </w:pPr>
            <w:r/>
            <w:r>
              <w:rPr>
                <w:rFonts w:ascii="Calibri" w:hAnsi="Calibri"/>
                <w:b w:val="0"/>
                <w:i w:val="0"/>
                <w:color w:val="1D2939"/>
                <w:sz w:val="14"/>
              </w:rPr>
              <w:t>Median delay above 700 ms or loss above 3% in two tests</w:t>
            </w:r>
          </w:p>
        </w:tc>
      </w:tr>
      <w:tr>
        <w:trPr>
          <w:cantSplit/>
        </w:trPr>
        <w:tc>
          <w:tcPr>
            <w:tcW w:type="dxa" w:w="600"/>
          </w:tcPr>
          <w:p>
            <w:pPr>
              <w:spacing w:before="0" w:after="0" w:line="240" w:lineRule="auto"/>
              <w:jc w:val="center"/>
            </w:pPr>
            <w:r/>
            <w:r>
              <w:rPr>
                <w:rFonts w:ascii="Calibri" w:hAnsi="Calibri"/>
                <w:b/>
                <w:i w:val="0"/>
                <w:color w:val="1D2939"/>
                <w:sz w:val="14"/>
              </w:rPr>
              <w:t>R3</w:t>
            </w:r>
          </w:p>
        </w:tc>
        <w:tc>
          <w:tcPr>
            <w:tcW w:type="dxa" w:w="4250"/>
          </w:tcPr>
          <w:p>
            <w:pPr>
              <w:spacing w:before="0" w:after="0" w:line="240" w:lineRule="auto"/>
              <w:jc w:val="left"/>
            </w:pPr>
            <w:r/>
            <w:r>
              <w:rPr>
                <w:rFonts w:ascii="Calibri" w:hAnsi="Calibri"/>
                <w:b w:val="0"/>
                <w:i w:val="0"/>
                <w:color w:val="1D2939"/>
                <w:sz w:val="14"/>
              </w:rPr>
              <w:t>Room AV systems differ  -&gt;  the receiver cannot route cleanly to speakers  -&gt;  a pilot room misses readiness.</w:t>
            </w:r>
          </w:p>
        </w:tc>
        <w:tc>
          <w:tcPr>
            <w:tcW w:type="dxa" w:w="1350"/>
            <w:shd w:fill="FDECEC"/>
          </w:tcPr>
          <w:p>
            <w:pPr>
              <w:spacing w:before="0" w:after="0" w:line="240" w:lineRule="auto"/>
              <w:jc w:val="center"/>
            </w:pPr>
            <w:r/>
            <w:r>
              <w:rPr>
                <w:rFonts w:ascii="Calibri" w:hAnsi="Calibri"/>
                <w:b/>
                <w:i w:val="0"/>
                <w:color w:val="1D2939"/>
                <w:sz w:val="14"/>
              </w:rPr>
              <w:t>3 4 12 High</w:t>
            </w:r>
          </w:p>
        </w:tc>
        <w:tc>
          <w:tcPr>
            <w:tcW w:type="dxa" w:w="3900"/>
          </w:tcPr>
          <w:p>
            <w:pPr>
              <w:spacing w:before="0" w:after="0" w:line="240" w:lineRule="auto"/>
              <w:jc w:val="left"/>
            </w:pPr>
            <w:r/>
            <w:r>
              <w:rPr>
                <w:rFonts w:ascii="Calibri" w:hAnsi="Calibri"/>
                <w:b w:val="0"/>
                <w:i w:val="0"/>
                <w:color w:val="1D2939"/>
                <w:sz w:val="14"/>
              </w:rPr>
              <w:t>Inventory rooms in Week 1, standardize adapters and levels, test each room, and keep a substitute room.</w:t>
            </w:r>
          </w:p>
        </w:tc>
        <w:tc>
          <w:tcPr>
            <w:tcW w:type="dxa" w:w="1450"/>
          </w:tcPr>
          <w:p>
            <w:pPr>
              <w:spacing w:before="0" w:after="0" w:line="240" w:lineRule="auto"/>
              <w:jc w:val="center"/>
            </w:pPr>
            <w:r/>
            <w:r>
              <w:rPr>
                <w:rFonts w:ascii="Calibri" w:hAnsi="Calibri"/>
                <w:b w:val="0"/>
                <w:i w:val="0"/>
                <w:color w:val="1D2939"/>
                <w:sz w:val="14"/>
              </w:rPr>
              <w:t>AV lead</w:t>
            </w:r>
          </w:p>
        </w:tc>
        <w:tc>
          <w:tcPr>
            <w:tcW w:type="dxa" w:w="2670"/>
          </w:tcPr>
          <w:p>
            <w:pPr>
              <w:spacing w:before="0" w:after="0" w:line="240" w:lineRule="auto"/>
              <w:jc w:val="left"/>
            </w:pPr>
            <w:r/>
            <w:r>
              <w:rPr>
                <w:rFonts w:ascii="Calibri" w:hAnsi="Calibri"/>
                <w:b w:val="0"/>
                <w:i w:val="0"/>
                <w:color w:val="1D2939"/>
                <w:sz w:val="14"/>
              </w:rPr>
              <w:t>No stable speaker output by Week 6</w:t>
            </w:r>
          </w:p>
        </w:tc>
      </w:tr>
      <w:tr>
        <w:trPr>
          <w:cantSplit/>
        </w:trPr>
        <w:tc>
          <w:tcPr>
            <w:tcW w:type="dxa" w:w="600"/>
            <w:shd w:fill="F3F4F6"/>
          </w:tcPr>
          <w:p>
            <w:pPr>
              <w:spacing w:before="0" w:after="0" w:line="240" w:lineRule="auto"/>
              <w:jc w:val="center"/>
            </w:pPr>
            <w:r/>
            <w:r>
              <w:rPr>
                <w:rFonts w:ascii="Calibri" w:hAnsi="Calibri"/>
                <w:b/>
                <w:i w:val="0"/>
                <w:color w:val="1D2939"/>
                <w:sz w:val="14"/>
              </w:rPr>
              <w:t>R4</w:t>
            </w:r>
          </w:p>
        </w:tc>
        <w:tc>
          <w:tcPr>
            <w:tcW w:type="dxa" w:w="4250"/>
            <w:shd w:fill="F3F4F6"/>
          </w:tcPr>
          <w:p>
            <w:pPr>
              <w:spacing w:before="0" w:after="0" w:line="240" w:lineRule="auto"/>
              <w:jc w:val="left"/>
            </w:pPr>
            <w:r/>
            <w:r>
              <w:rPr>
                <w:rFonts w:ascii="Calibri" w:hAnsi="Calibri"/>
                <w:b w:val="0"/>
                <w:i w:val="0"/>
                <w:color w:val="1D2939"/>
                <w:sz w:val="14"/>
              </w:rPr>
              <w:t>Mobile browsers and permissions vary  -&gt;  some phones cannot join or transmit  -&gt;  access and adoption fall.</w:t>
            </w:r>
          </w:p>
        </w:tc>
        <w:tc>
          <w:tcPr>
            <w:tcW w:type="dxa" w:w="1350"/>
            <w:shd w:fill="FFF4D6"/>
          </w:tcPr>
          <w:p>
            <w:pPr>
              <w:spacing w:before="0" w:after="0" w:line="240" w:lineRule="auto"/>
              <w:jc w:val="center"/>
            </w:pPr>
            <w:r/>
            <w:r>
              <w:rPr>
                <w:rFonts w:ascii="Calibri" w:hAnsi="Calibri"/>
                <w:b/>
                <w:i w:val="0"/>
                <w:color w:val="1D2939"/>
                <w:sz w:val="14"/>
              </w:rPr>
              <w:t>3 3 9 Medium</w:t>
            </w:r>
          </w:p>
        </w:tc>
        <w:tc>
          <w:tcPr>
            <w:tcW w:type="dxa" w:w="3900"/>
            <w:shd w:fill="F3F4F6"/>
          </w:tcPr>
          <w:p>
            <w:pPr>
              <w:spacing w:before="0" w:after="0" w:line="240" w:lineRule="auto"/>
              <w:jc w:val="left"/>
            </w:pPr>
            <w:r/>
            <w:r>
              <w:rPr>
                <w:rFonts w:ascii="Calibri" w:hAnsi="Calibri"/>
                <w:b w:val="0"/>
                <w:i w:val="0"/>
                <w:color w:val="1D2939"/>
                <w:sz w:val="14"/>
              </w:rPr>
              <w:t>Publish supported devices, run a pre-check, test the agreed matrix, provide reconnect help, and offer a loaner or physical mic.</w:t>
            </w:r>
          </w:p>
        </w:tc>
        <w:tc>
          <w:tcPr>
            <w:tcW w:type="dxa" w:w="1450"/>
            <w:shd w:fill="F3F4F6"/>
          </w:tcPr>
          <w:p>
            <w:pPr>
              <w:spacing w:before="0" w:after="0" w:line="240" w:lineRule="auto"/>
              <w:jc w:val="center"/>
            </w:pPr>
            <w:r/>
            <w:r>
              <w:rPr>
                <w:rFonts w:ascii="Calibri" w:hAnsi="Calibri"/>
                <w:b w:val="0"/>
                <w:i w:val="0"/>
                <w:color w:val="1D2939"/>
                <w:sz w:val="14"/>
              </w:rPr>
              <w:t>Temiko</w:t>
            </w:r>
          </w:p>
        </w:tc>
        <w:tc>
          <w:tcPr>
            <w:tcW w:type="dxa" w:w="2670"/>
            <w:shd w:fill="F3F4F6"/>
          </w:tcPr>
          <w:p>
            <w:pPr>
              <w:spacing w:before="0" w:after="0" w:line="240" w:lineRule="auto"/>
              <w:jc w:val="left"/>
            </w:pPr>
            <w:r/>
            <w:r>
              <w:rPr>
                <w:rFonts w:ascii="Calibri" w:hAnsi="Calibri"/>
                <w:b w:val="0"/>
                <w:i w:val="0"/>
                <w:color w:val="1D2939"/>
                <w:sz w:val="14"/>
              </w:rPr>
              <w:t>More than 10% of test devices fail</w:t>
            </w:r>
          </w:p>
        </w:tc>
      </w:tr>
      <w:tr>
        <w:trPr>
          <w:cantSplit/>
        </w:trPr>
        <w:tc>
          <w:tcPr>
            <w:tcW w:type="dxa" w:w="600"/>
          </w:tcPr>
          <w:p>
            <w:pPr>
              <w:spacing w:before="0" w:after="0" w:line="240" w:lineRule="auto"/>
              <w:jc w:val="center"/>
            </w:pPr>
            <w:r/>
            <w:r>
              <w:rPr>
                <w:rFonts w:ascii="Calibri" w:hAnsi="Calibri"/>
                <w:b/>
                <w:i w:val="0"/>
                <w:color w:val="1D2939"/>
                <w:sz w:val="14"/>
              </w:rPr>
              <w:t>R5</w:t>
            </w:r>
          </w:p>
        </w:tc>
        <w:tc>
          <w:tcPr>
            <w:tcW w:type="dxa" w:w="4250"/>
          </w:tcPr>
          <w:p>
            <w:pPr>
              <w:spacing w:before="0" w:after="0" w:line="240" w:lineRule="auto"/>
              <w:jc w:val="left"/>
            </w:pPr>
            <w:r/>
            <w:r>
              <w:rPr>
                <w:rFonts w:ascii="Calibri" w:hAnsi="Calibri"/>
                <w:b w:val="0"/>
                <w:i w:val="0"/>
                <w:color w:val="1D2939"/>
                <w:sz w:val="14"/>
              </w:rPr>
              <w:t>A QR code is shared outside the room  -&gt;  an unauthorized user enters a session  -&gt;  classroom control or privacy is harmed.</w:t>
            </w:r>
          </w:p>
        </w:tc>
        <w:tc>
          <w:tcPr>
            <w:tcW w:type="dxa" w:w="1350"/>
            <w:shd w:fill="FDECEC"/>
          </w:tcPr>
          <w:p>
            <w:pPr>
              <w:spacing w:before="0" w:after="0" w:line="240" w:lineRule="auto"/>
              <w:jc w:val="center"/>
            </w:pPr>
            <w:r/>
            <w:r>
              <w:rPr>
                <w:rFonts w:ascii="Calibri" w:hAnsi="Calibri"/>
                <w:b/>
                <w:i w:val="0"/>
                <w:color w:val="1D2939"/>
                <w:sz w:val="14"/>
              </w:rPr>
              <w:t>2 5 10 High</w:t>
            </w:r>
          </w:p>
        </w:tc>
        <w:tc>
          <w:tcPr>
            <w:tcW w:type="dxa" w:w="3900"/>
          </w:tcPr>
          <w:p>
            <w:pPr>
              <w:spacing w:before="0" w:after="0" w:line="240" w:lineRule="auto"/>
              <w:jc w:val="left"/>
            </w:pPr>
            <w:r/>
            <w:r>
              <w:rPr>
                <w:rFonts w:ascii="Calibri" w:hAnsi="Calibri"/>
                <w:b w:val="0"/>
                <w:i w:val="0"/>
                <w:color w:val="1D2939"/>
                <w:sz w:val="14"/>
              </w:rPr>
              <w:t>Use short-lived codes, instructor admission or removal, one active mic, session timeout, and security logs.</w:t>
            </w:r>
          </w:p>
        </w:tc>
        <w:tc>
          <w:tcPr>
            <w:tcW w:type="dxa" w:w="1450"/>
          </w:tcPr>
          <w:p>
            <w:pPr>
              <w:spacing w:before="0" w:after="0" w:line="240" w:lineRule="auto"/>
              <w:jc w:val="center"/>
            </w:pPr>
            <w:r/>
            <w:r>
              <w:rPr>
                <w:rFonts w:ascii="Calibri" w:hAnsi="Calibri"/>
                <w:b w:val="0"/>
                <w:i w:val="0"/>
                <w:color w:val="1D2939"/>
                <w:sz w:val="14"/>
              </w:rPr>
              <w:t>Temiko</w:t>
            </w:r>
          </w:p>
        </w:tc>
        <w:tc>
          <w:tcPr>
            <w:tcW w:type="dxa" w:w="2670"/>
          </w:tcPr>
          <w:p>
            <w:pPr>
              <w:spacing w:before="0" w:after="0" w:line="240" w:lineRule="auto"/>
              <w:jc w:val="left"/>
            </w:pPr>
            <w:r/>
            <w:r>
              <w:rPr>
                <w:rFonts w:ascii="Calibri" w:hAnsi="Calibri"/>
                <w:b w:val="0"/>
                <w:i w:val="0"/>
                <w:color w:val="1D2939"/>
                <w:sz w:val="14"/>
              </w:rPr>
              <w:t>Unknown participant or repeated invalid joins</w:t>
            </w:r>
          </w:p>
        </w:tc>
      </w:tr>
      <w:tr>
        <w:trPr>
          <w:cantSplit/>
        </w:trPr>
        <w:tc>
          <w:tcPr>
            <w:tcW w:type="dxa" w:w="600"/>
            <w:shd w:fill="F3F4F6"/>
          </w:tcPr>
          <w:p>
            <w:pPr>
              <w:spacing w:before="0" w:after="0" w:line="240" w:lineRule="auto"/>
              <w:jc w:val="center"/>
            </w:pPr>
            <w:r/>
            <w:r>
              <w:rPr>
                <w:rFonts w:ascii="Calibri" w:hAnsi="Calibri"/>
                <w:b/>
                <w:i w:val="0"/>
                <w:color w:val="1D2939"/>
                <w:sz w:val="14"/>
              </w:rPr>
              <w:t>R6</w:t>
            </w:r>
          </w:p>
        </w:tc>
        <w:tc>
          <w:tcPr>
            <w:tcW w:type="dxa" w:w="4250"/>
            <w:shd w:fill="F3F4F6"/>
          </w:tcPr>
          <w:p>
            <w:pPr>
              <w:spacing w:before="0" w:after="0" w:line="240" w:lineRule="auto"/>
              <w:jc w:val="left"/>
            </w:pPr>
            <w:r/>
            <w:r>
              <w:rPr>
                <w:rFonts w:ascii="Calibri" w:hAnsi="Calibri"/>
                <w:b w:val="0"/>
                <w:i w:val="0"/>
                <w:color w:val="1D2939"/>
                <w:sz w:val="14"/>
              </w:rPr>
              <w:t>Audio handling is configured incorrectly  -&gt;  speech is recorded, retained, or exposed  -&gt;  a serious privacy incident occurs.</w:t>
            </w:r>
          </w:p>
        </w:tc>
        <w:tc>
          <w:tcPr>
            <w:tcW w:type="dxa" w:w="1350"/>
            <w:shd w:fill="FDECEC"/>
          </w:tcPr>
          <w:p>
            <w:pPr>
              <w:spacing w:before="0" w:after="0" w:line="240" w:lineRule="auto"/>
              <w:jc w:val="center"/>
            </w:pPr>
            <w:r/>
            <w:r>
              <w:rPr>
                <w:rFonts w:ascii="Calibri" w:hAnsi="Calibri"/>
                <w:b/>
                <w:i w:val="0"/>
                <w:color w:val="1D2939"/>
                <w:sz w:val="14"/>
              </w:rPr>
              <w:t>2 5 10 High</w:t>
            </w:r>
          </w:p>
        </w:tc>
        <w:tc>
          <w:tcPr>
            <w:tcW w:type="dxa" w:w="3900"/>
            <w:shd w:fill="F3F4F6"/>
          </w:tcPr>
          <w:p>
            <w:pPr>
              <w:spacing w:before="0" w:after="0" w:line="240" w:lineRule="auto"/>
              <w:jc w:val="left"/>
            </w:pPr>
            <w:r/>
            <w:r>
              <w:rPr>
                <w:rFonts w:ascii="Calibri" w:hAnsi="Calibri"/>
                <w:b w:val="0"/>
                <w:i w:val="0"/>
                <w:color w:val="1D2939"/>
                <w:sz w:val="14"/>
              </w:rPr>
              <w:t>Store no audio, review data flow and configuration, restrict logs, test deletion, and stop the affected feature on suspicion.</w:t>
            </w:r>
          </w:p>
        </w:tc>
        <w:tc>
          <w:tcPr>
            <w:tcW w:type="dxa" w:w="1450"/>
            <w:shd w:fill="F3F4F6"/>
          </w:tcPr>
          <w:p>
            <w:pPr>
              <w:spacing w:before="0" w:after="0" w:line="240" w:lineRule="auto"/>
              <w:jc w:val="center"/>
            </w:pPr>
            <w:r/>
            <w:r>
              <w:rPr>
                <w:rFonts w:ascii="Calibri" w:hAnsi="Calibri"/>
                <w:b w:val="0"/>
                <w:i w:val="0"/>
                <w:color w:val="1D2939"/>
                <w:sz w:val="14"/>
              </w:rPr>
              <w:t>Privacy lead</w:t>
            </w:r>
          </w:p>
        </w:tc>
        <w:tc>
          <w:tcPr>
            <w:tcW w:type="dxa" w:w="2670"/>
            <w:shd w:fill="F3F4F6"/>
          </w:tcPr>
          <w:p>
            <w:pPr>
              <w:spacing w:before="0" w:after="0" w:line="240" w:lineRule="auto"/>
              <w:jc w:val="left"/>
            </w:pPr>
            <w:r/>
            <w:r>
              <w:rPr>
                <w:rFonts w:ascii="Calibri" w:hAnsi="Calibri"/>
                <w:b w:val="0"/>
                <w:i w:val="0"/>
                <w:color w:val="1D2939"/>
                <w:sz w:val="14"/>
              </w:rPr>
              <w:t>Any stored audio, transcript, or unauthorized access</w:t>
            </w:r>
          </w:p>
        </w:tc>
      </w:tr>
      <w:tr>
        <w:trPr>
          <w:cantSplit/>
        </w:trPr>
        <w:tc>
          <w:tcPr>
            <w:tcW w:type="dxa" w:w="600"/>
          </w:tcPr>
          <w:p>
            <w:pPr>
              <w:spacing w:before="0" w:after="0" w:line="240" w:lineRule="auto"/>
              <w:jc w:val="center"/>
            </w:pPr>
            <w:r/>
            <w:r>
              <w:rPr>
                <w:rFonts w:ascii="Calibri" w:hAnsi="Calibri"/>
                <w:b/>
                <w:i w:val="0"/>
                <w:color w:val="1D2939"/>
                <w:sz w:val="14"/>
              </w:rPr>
              <w:t>R7</w:t>
            </w:r>
          </w:p>
        </w:tc>
        <w:tc>
          <w:tcPr>
            <w:tcW w:type="dxa" w:w="4250"/>
          </w:tcPr>
          <w:p>
            <w:pPr>
              <w:spacing w:before="0" w:after="0" w:line="240" w:lineRule="auto"/>
              <w:jc w:val="left"/>
            </w:pPr>
            <w:r/>
            <w:r>
              <w:rPr>
                <w:rFonts w:ascii="Calibri" w:hAnsi="Calibri"/>
                <w:b w:val="0"/>
                <w:i w:val="0"/>
                <w:color w:val="1D2939"/>
                <w:sz w:val="14"/>
              </w:rPr>
              <w:t>Instructors see extra classroom effort  -&gt;  they avoid the controls  -&gt;  the pilot produces little adoption evidence.</w:t>
            </w:r>
          </w:p>
        </w:tc>
        <w:tc>
          <w:tcPr>
            <w:tcW w:type="dxa" w:w="1350"/>
            <w:shd w:fill="FDECEC"/>
          </w:tcPr>
          <w:p>
            <w:pPr>
              <w:spacing w:before="0" w:after="0" w:line="240" w:lineRule="auto"/>
              <w:jc w:val="center"/>
            </w:pPr>
            <w:r/>
            <w:r>
              <w:rPr>
                <w:rFonts w:ascii="Calibri" w:hAnsi="Calibri"/>
                <w:b/>
                <w:i w:val="0"/>
                <w:color w:val="1D2939"/>
                <w:sz w:val="14"/>
              </w:rPr>
              <w:t>3 4 12 High</w:t>
            </w:r>
          </w:p>
        </w:tc>
        <w:tc>
          <w:tcPr>
            <w:tcW w:type="dxa" w:w="3900"/>
          </w:tcPr>
          <w:p>
            <w:pPr>
              <w:spacing w:before="0" w:after="0" w:line="240" w:lineRule="auto"/>
              <w:jc w:val="left"/>
            </w:pPr>
            <w:r/>
            <w:r>
              <w:rPr>
                <w:rFonts w:ascii="Calibri" w:hAnsi="Calibri"/>
                <w:b w:val="0"/>
                <w:i w:val="0"/>
                <w:color w:val="1D2939"/>
                <w:sz w:val="14"/>
              </w:rPr>
              <w:t>Co-design the queue, keep setup under two minutes, provide a short guide, observe sessions, and correct friction weekly.</w:t>
            </w:r>
          </w:p>
        </w:tc>
        <w:tc>
          <w:tcPr>
            <w:tcW w:type="dxa" w:w="1450"/>
          </w:tcPr>
          <w:p>
            <w:pPr>
              <w:spacing w:before="0" w:after="0" w:line="240" w:lineRule="auto"/>
              <w:jc w:val="center"/>
            </w:pPr>
            <w:r/>
            <w:r>
              <w:rPr>
                <w:rFonts w:ascii="Calibri" w:hAnsi="Calibri"/>
                <w:b w:val="0"/>
                <w:i w:val="0"/>
                <w:color w:val="1D2939"/>
                <w:sz w:val="14"/>
              </w:rPr>
              <w:t>Business owner</w:t>
            </w:r>
          </w:p>
        </w:tc>
        <w:tc>
          <w:tcPr>
            <w:tcW w:type="dxa" w:w="2670"/>
          </w:tcPr>
          <w:p>
            <w:pPr>
              <w:spacing w:before="0" w:after="0" w:line="240" w:lineRule="auto"/>
              <w:jc w:val="left"/>
            </w:pPr>
            <w:r/>
            <w:r>
              <w:rPr>
                <w:rFonts w:ascii="Calibri" w:hAnsi="Calibri"/>
                <w:b w:val="0"/>
                <w:i w:val="0"/>
                <w:color w:val="1D2939"/>
                <w:sz w:val="14"/>
              </w:rPr>
              <w:t>Fewer than four of six instructors use it twice</w:t>
            </w:r>
          </w:p>
        </w:tc>
      </w:tr>
      <w:tr>
        <w:trPr>
          <w:cantSplit/>
        </w:trPr>
        <w:tc>
          <w:tcPr>
            <w:tcW w:type="dxa" w:w="600"/>
            <w:shd w:fill="F3F4F6"/>
          </w:tcPr>
          <w:p>
            <w:pPr>
              <w:spacing w:before="0" w:after="0" w:line="240" w:lineRule="auto"/>
              <w:jc w:val="center"/>
            </w:pPr>
            <w:r/>
            <w:r>
              <w:rPr>
                <w:rFonts w:ascii="Calibri" w:hAnsi="Calibri"/>
                <w:b/>
                <w:i w:val="0"/>
                <w:color w:val="1D2939"/>
                <w:sz w:val="14"/>
              </w:rPr>
              <w:t>R8</w:t>
            </w:r>
          </w:p>
        </w:tc>
        <w:tc>
          <w:tcPr>
            <w:tcW w:type="dxa" w:w="4250"/>
            <w:shd w:fill="F3F4F6"/>
          </w:tcPr>
          <w:p>
            <w:pPr>
              <w:spacing w:before="0" w:after="0" w:line="240" w:lineRule="auto"/>
              <w:jc w:val="left"/>
            </w:pPr>
            <w:r/>
            <w:r>
              <w:rPr>
                <w:rFonts w:ascii="Calibri" w:hAnsi="Calibri"/>
                <w:b w:val="0"/>
                <w:i w:val="0"/>
                <w:color w:val="1D2939"/>
                <w:sz w:val="14"/>
              </w:rPr>
              <w:t>Students are unsure about permission or value  -&gt;  few request the microphone  -&gt;  outcome measures are inconclusive.</w:t>
            </w:r>
          </w:p>
        </w:tc>
        <w:tc>
          <w:tcPr>
            <w:tcW w:type="dxa" w:w="1350"/>
            <w:shd w:fill="FFF4D6"/>
          </w:tcPr>
          <w:p>
            <w:pPr>
              <w:spacing w:before="0" w:after="0" w:line="240" w:lineRule="auto"/>
              <w:jc w:val="center"/>
            </w:pPr>
            <w:r/>
            <w:r>
              <w:rPr>
                <w:rFonts w:ascii="Calibri" w:hAnsi="Calibri"/>
                <w:b/>
                <w:i w:val="0"/>
                <w:color w:val="1D2939"/>
                <w:sz w:val="14"/>
              </w:rPr>
              <w:t>3 3 9 Medium</w:t>
            </w:r>
          </w:p>
        </w:tc>
        <w:tc>
          <w:tcPr>
            <w:tcW w:type="dxa" w:w="3900"/>
            <w:shd w:fill="F3F4F6"/>
          </w:tcPr>
          <w:p>
            <w:pPr>
              <w:spacing w:before="0" w:after="0" w:line="240" w:lineRule="auto"/>
              <w:jc w:val="left"/>
            </w:pPr>
            <w:r/>
            <w:r>
              <w:rPr>
                <w:rFonts w:ascii="Calibri" w:hAnsi="Calibri"/>
                <w:b w:val="0"/>
                <w:i w:val="0"/>
                <w:color w:val="1D2939"/>
                <w:sz w:val="14"/>
              </w:rPr>
              <w:t>Use clear notices, demonstrate the flow, collect anonymous feedback, and let instructors prompt participation without forcing it.</w:t>
            </w:r>
          </w:p>
        </w:tc>
        <w:tc>
          <w:tcPr>
            <w:tcW w:type="dxa" w:w="1450"/>
            <w:shd w:fill="F3F4F6"/>
          </w:tcPr>
          <w:p>
            <w:pPr>
              <w:spacing w:before="0" w:after="0" w:line="240" w:lineRule="auto"/>
              <w:jc w:val="center"/>
            </w:pPr>
            <w:r/>
            <w:r>
              <w:rPr>
                <w:rFonts w:ascii="Calibri" w:hAnsi="Calibri"/>
                <w:b w:val="0"/>
                <w:i w:val="0"/>
                <w:color w:val="1D2939"/>
                <w:sz w:val="14"/>
              </w:rPr>
              <w:t>Nurtore</w:t>
            </w:r>
          </w:p>
        </w:tc>
        <w:tc>
          <w:tcPr>
            <w:tcW w:type="dxa" w:w="2670"/>
            <w:shd w:fill="F3F4F6"/>
          </w:tcPr>
          <w:p>
            <w:pPr>
              <w:spacing w:before="0" w:after="0" w:line="240" w:lineRule="auto"/>
              <w:jc w:val="left"/>
            </w:pPr>
            <w:r/>
            <w:r>
              <w:rPr>
                <w:rFonts w:ascii="Calibri" w:hAnsi="Calibri"/>
                <w:b w:val="0"/>
                <w:i w:val="0"/>
                <w:color w:val="1D2939"/>
                <w:sz w:val="14"/>
              </w:rPr>
              <w:t>Voluntary use below 50% of eligible sessions after Week 2</w:t>
            </w:r>
          </w:p>
        </w:tc>
      </w:tr>
      <w:tr>
        <w:trPr>
          <w:cantSplit/>
        </w:trPr>
        <w:tc>
          <w:tcPr>
            <w:tcW w:type="dxa" w:w="600"/>
          </w:tcPr>
          <w:p>
            <w:pPr>
              <w:spacing w:before="0" w:after="0" w:line="240" w:lineRule="auto"/>
              <w:jc w:val="center"/>
            </w:pPr>
            <w:r/>
            <w:r>
              <w:rPr>
                <w:rFonts w:ascii="Calibri" w:hAnsi="Calibri"/>
                <w:b/>
                <w:i w:val="0"/>
                <w:color w:val="1D2939"/>
                <w:sz w:val="14"/>
              </w:rPr>
              <w:t>R9</w:t>
            </w:r>
          </w:p>
        </w:tc>
        <w:tc>
          <w:tcPr>
            <w:tcW w:type="dxa" w:w="4250"/>
          </w:tcPr>
          <w:p>
            <w:pPr>
              <w:spacing w:before="0" w:after="0" w:line="240" w:lineRule="auto"/>
              <w:jc w:val="left"/>
            </w:pPr>
            <w:r/>
            <w:r>
              <w:rPr>
                <w:rFonts w:ascii="Calibri" w:hAnsi="Calibri"/>
                <w:b w:val="0"/>
                <w:i w:val="0"/>
                <w:color w:val="1D2939"/>
                <w:sz w:val="14"/>
              </w:rPr>
              <w:t>Some students lack a compatible phone or cannot use push to talk  -&gt;  access is unequal  -&gt;  the pilot excludes participants.</w:t>
            </w:r>
          </w:p>
        </w:tc>
        <w:tc>
          <w:tcPr>
            <w:tcW w:type="dxa" w:w="1350"/>
            <w:shd w:fill="FFF4D6"/>
          </w:tcPr>
          <w:p>
            <w:pPr>
              <w:spacing w:before="0" w:after="0" w:line="240" w:lineRule="auto"/>
              <w:jc w:val="center"/>
            </w:pPr>
            <w:r/>
            <w:r>
              <w:rPr>
                <w:rFonts w:ascii="Calibri" w:hAnsi="Calibri"/>
                <w:b/>
                <w:i w:val="0"/>
                <w:color w:val="1D2939"/>
                <w:sz w:val="14"/>
              </w:rPr>
              <w:t>2 4 8 Medium</w:t>
            </w:r>
          </w:p>
        </w:tc>
        <w:tc>
          <w:tcPr>
            <w:tcW w:type="dxa" w:w="3900"/>
          </w:tcPr>
          <w:p>
            <w:pPr>
              <w:spacing w:before="0" w:after="0" w:line="240" w:lineRule="auto"/>
              <w:jc w:val="left"/>
            </w:pPr>
            <w:r/>
            <w:r>
              <w:rPr>
                <w:rFonts w:ascii="Calibri" w:hAnsi="Calibri"/>
                <w:b w:val="0"/>
                <w:i w:val="0"/>
                <w:color w:val="1D2939"/>
                <w:sz w:val="14"/>
              </w:rPr>
              <w:t>Provide a loaner or physical-mic path, review accessibility, support keyboard and screen-reader flows, and never require phone use.</w:t>
            </w:r>
          </w:p>
        </w:tc>
        <w:tc>
          <w:tcPr>
            <w:tcW w:type="dxa" w:w="1450"/>
          </w:tcPr>
          <w:p>
            <w:pPr>
              <w:spacing w:before="0" w:after="0" w:line="240" w:lineRule="auto"/>
              <w:jc w:val="center"/>
            </w:pPr>
            <w:r/>
            <w:r>
              <w:rPr>
                <w:rFonts w:ascii="Calibri" w:hAnsi="Calibri"/>
                <w:b w:val="0"/>
                <w:i w:val="0"/>
                <w:color w:val="1D2939"/>
                <w:sz w:val="14"/>
              </w:rPr>
              <w:t>Accessibility lead</w:t>
            </w:r>
          </w:p>
        </w:tc>
        <w:tc>
          <w:tcPr>
            <w:tcW w:type="dxa" w:w="2670"/>
          </w:tcPr>
          <w:p>
            <w:pPr>
              <w:spacing w:before="0" w:after="0" w:line="240" w:lineRule="auto"/>
              <w:jc w:val="left"/>
            </w:pPr>
            <w:r/>
            <w:r>
              <w:rPr>
                <w:rFonts w:ascii="Calibri" w:hAnsi="Calibri"/>
                <w:b w:val="0"/>
                <w:i w:val="0"/>
                <w:color w:val="1D2939"/>
                <w:sz w:val="14"/>
              </w:rPr>
              <w:t>A participant cannot access an equivalent speaking path</w:t>
            </w:r>
          </w:p>
        </w:tc>
      </w:tr>
      <w:tr>
        <w:trPr>
          <w:cantSplit/>
        </w:trPr>
        <w:tc>
          <w:tcPr>
            <w:tcW w:type="dxa" w:w="600"/>
            <w:shd w:fill="F3F4F6"/>
          </w:tcPr>
          <w:p>
            <w:pPr>
              <w:spacing w:before="0" w:after="0" w:line="240" w:lineRule="auto"/>
              <w:jc w:val="center"/>
            </w:pPr>
            <w:r/>
            <w:r>
              <w:rPr>
                <w:rFonts w:ascii="Calibri" w:hAnsi="Calibri"/>
                <w:b/>
                <w:i w:val="0"/>
                <w:color w:val="1D2939"/>
                <w:sz w:val="14"/>
              </w:rPr>
              <w:t>R10</w:t>
            </w:r>
          </w:p>
        </w:tc>
        <w:tc>
          <w:tcPr>
            <w:tcW w:type="dxa" w:w="4250"/>
            <w:shd w:fill="F3F4F6"/>
          </w:tcPr>
          <w:p>
            <w:pPr>
              <w:spacing w:before="0" w:after="0" w:line="240" w:lineRule="auto"/>
              <w:jc w:val="left"/>
            </w:pPr>
            <w:r/>
            <w:r>
              <w:rPr>
                <w:rFonts w:ascii="Calibri" w:hAnsi="Calibri"/>
                <w:b w:val="0"/>
                <w:i w:val="0"/>
                <w:color w:val="1D2939"/>
                <w:sz w:val="14"/>
              </w:rPr>
              <w:t>Support demand is underestimated  -&gt;  incidents consume the team  -&gt;  schedule and classroom trust deteriorate.</w:t>
            </w:r>
          </w:p>
        </w:tc>
        <w:tc>
          <w:tcPr>
            <w:tcW w:type="dxa" w:w="1350"/>
            <w:shd w:fill="FFF4D6"/>
          </w:tcPr>
          <w:p>
            <w:pPr>
              <w:spacing w:before="0" w:after="0" w:line="240" w:lineRule="auto"/>
              <w:jc w:val="center"/>
            </w:pPr>
            <w:r/>
            <w:r>
              <w:rPr>
                <w:rFonts w:ascii="Calibri" w:hAnsi="Calibri"/>
                <w:b/>
                <w:i w:val="0"/>
                <w:color w:val="1D2939"/>
                <w:sz w:val="14"/>
              </w:rPr>
              <w:t>3 3 9 Medium</w:t>
            </w:r>
          </w:p>
        </w:tc>
        <w:tc>
          <w:tcPr>
            <w:tcW w:type="dxa" w:w="3900"/>
            <w:shd w:fill="F3F4F6"/>
          </w:tcPr>
          <w:p>
            <w:pPr>
              <w:spacing w:before="0" w:after="0" w:line="240" w:lineRule="auto"/>
              <w:jc w:val="left"/>
            </w:pPr>
            <w:r/>
            <w:r>
              <w:rPr>
                <w:rFonts w:ascii="Calibri" w:hAnsi="Calibri"/>
                <w:b w:val="0"/>
                <w:i w:val="0"/>
                <w:color w:val="1D2939"/>
                <w:sz w:val="14"/>
              </w:rPr>
              <w:t>Use runbooks, scheduled support coverage, triage severity, known-issue guidance, and a stop rule for repeated failures.</w:t>
            </w:r>
          </w:p>
        </w:tc>
        <w:tc>
          <w:tcPr>
            <w:tcW w:type="dxa" w:w="1450"/>
            <w:shd w:fill="F3F4F6"/>
          </w:tcPr>
          <w:p>
            <w:pPr>
              <w:spacing w:before="0" w:after="0" w:line="240" w:lineRule="auto"/>
              <w:jc w:val="center"/>
            </w:pPr>
            <w:r/>
            <w:r>
              <w:rPr>
                <w:rFonts w:ascii="Calibri" w:hAnsi="Calibri"/>
                <w:b w:val="0"/>
                <w:i w:val="0"/>
                <w:color w:val="1D2939"/>
                <w:sz w:val="14"/>
              </w:rPr>
              <w:t>Nurtore</w:t>
            </w:r>
          </w:p>
        </w:tc>
        <w:tc>
          <w:tcPr>
            <w:tcW w:type="dxa" w:w="2670"/>
            <w:shd w:fill="F3F4F6"/>
          </w:tcPr>
          <w:p>
            <w:pPr>
              <w:spacing w:before="0" w:after="0" w:line="240" w:lineRule="auto"/>
              <w:jc w:val="left"/>
            </w:pPr>
            <w:r/>
            <w:r>
              <w:rPr>
                <w:rFonts w:ascii="Calibri" w:hAnsi="Calibri"/>
                <w:b w:val="0"/>
                <w:i w:val="0"/>
                <w:color w:val="1D2939"/>
                <w:sz w:val="14"/>
              </w:rPr>
              <w:t>Support exceeds 4 hours per room per week</w:t>
            </w:r>
          </w:p>
        </w:tc>
      </w:tr>
      <w:tr>
        <w:trPr>
          <w:cantSplit/>
        </w:trPr>
        <w:tc>
          <w:tcPr>
            <w:tcW w:type="dxa" w:w="600"/>
          </w:tcPr>
          <w:p>
            <w:pPr>
              <w:spacing w:before="0" w:after="0" w:line="240" w:lineRule="auto"/>
              <w:jc w:val="center"/>
            </w:pPr>
            <w:r/>
            <w:r>
              <w:rPr>
                <w:rFonts w:ascii="Calibri" w:hAnsi="Calibri"/>
                <w:b/>
                <w:i w:val="0"/>
                <w:color w:val="1D2939"/>
                <w:sz w:val="14"/>
              </w:rPr>
              <w:t>R11</w:t>
            </w:r>
          </w:p>
        </w:tc>
        <w:tc>
          <w:tcPr>
            <w:tcW w:type="dxa" w:w="4250"/>
          </w:tcPr>
          <w:p>
            <w:pPr>
              <w:spacing w:before="0" w:after="0" w:line="240" w:lineRule="auto"/>
              <w:jc w:val="left"/>
            </w:pPr>
            <w:r/>
            <w:r>
              <w:rPr>
                <w:rFonts w:ascii="Calibri" w:hAnsi="Calibri"/>
                <w:b w:val="0"/>
                <w:i w:val="0"/>
                <w:color w:val="1D2939"/>
                <w:sz w:val="14"/>
              </w:rPr>
              <w:t>Stakeholders request captions, recording, analytics, or more rooms  -&gt;  scope expands  -&gt;  cost or schedule exceeds the baseline.</w:t>
            </w:r>
          </w:p>
        </w:tc>
        <w:tc>
          <w:tcPr>
            <w:tcW w:type="dxa" w:w="1350"/>
            <w:shd w:fill="FDECEC"/>
          </w:tcPr>
          <w:p>
            <w:pPr>
              <w:spacing w:before="0" w:after="0" w:line="240" w:lineRule="auto"/>
              <w:jc w:val="center"/>
            </w:pPr>
            <w:r/>
            <w:r>
              <w:rPr>
                <w:rFonts w:ascii="Calibri" w:hAnsi="Calibri"/>
                <w:b/>
                <w:i w:val="0"/>
                <w:color w:val="1D2939"/>
                <w:sz w:val="14"/>
              </w:rPr>
              <w:t>4 3 12 High</w:t>
            </w:r>
          </w:p>
        </w:tc>
        <w:tc>
          <w:tcPr>
            <w:tcW w:type="dxa" w:w="3900"/>
          </w:tcPr>
          <w:p>
            <w:pPr>
              <w:spacing w:before="0" w:after="0" w:line="240" w:lineRule="auto"/>
              <w:jc w:val="left"/>
            </w:pPr>
            <w:r/>
            <w:r>
              <w:rPr>
                <w:rFonts w:ascii="Calibri" w:hAnsi="Calibri"/>
                <w:b w:val="0"/>
                <w:i w:val="0"/>
                <w:color w:val="1D2939"/>
                <w:sz w:val="14"/>
              </w:rPr>
              <w:t>Apply MoSCoW boundaries, log requests, assess impact, freeze additions after Week 3, and require sponsor approval for change.</w:t>
            </w:r>
          </w:p>
        </w:tc>
        <w:tc>
          <w:tcPr>
            <w:tcW w:type="dxa" w:w="1450"/>
          </w:tcPr>
          <w:p>
            <w:pPr>
              <w:spacing w:before="0" w:after="0" w:line="240" w:lineRule="auto"/>
              <w:jc w:val="center"/>
            </w:pPr>
            <w:r/>
            <w:r>
              <w:rPr>
                <w:rFonts w:ascii="Calibri" w:hAnsi="Calibri"/>
                <w:b w:val="0"/>
                <w:i w:val="0"/>
                <w:color w:val="1D2939"/>
                <w:sz w:val="14"/>
              </w:rPr>
              <w:t>Nurtore</w:t>
            </w:r>
          </w:p>
        </w:tc>
        <w:tc>
          <w:tcPr>
            <w:tcW w:type="dxa" w:w="2670"/>
          </w:tcPr>
          <w:p>
            <w:pPr>
              <w:spacing w:before="0" w:after="0" w:line="240" w:lineRule="auto"/>
              <w:jc w:val="left"/>
            </w:pPr>
            <w:r/>
            <w:r>
              <w:rPr>
                <w:rFonts w:ascii="Calibri" w:hAnsi="Calibri"/>
                <w:b w:val="0"/>
                <w:i w:val="0"/>
                <w:color w:val="1D2939"/>
                <w:sz w:val="14"/>
              </w:rPr>
              <w:t>Any request alters a baseline or adds stored data</w:t>
            </w:r>
          </w:p>
        </w:tc>
      </w:tr>
      <w:tr>
        <w:trPr>
          <w:cantSplit/>
        </w:trPr>
        <w:tc>
          <w:tcPr>
            <w:tcW w:type="dxa" w:w="600"/>
            <w:shd w:fill="F3F4F6"/>
          </w:tcPr>
          <w:p>
            <w:pPr>
              <w:spacing w:before="0" w:after="0" w:line="240" w:lineRule="auto"/>
              <w:jc w:val="center"/>
            </w:pPr>
            <w:r/>
            <w:r>
              <w:rPr>
                <w:rFonts w:ascii="Calibri" w:hAnsi="Calibri"/>
                <w:b/>
                <w:i w:val="0"/>
                <w:color w:val="1D2939"/>
                <w:sz w:val="14"/>
              </w:rPr>
              <w:t>R12</w:t>
            </w:r>
          </w:p>
        </w:tc>
        <w:tc>
          <w:tcPr>
            <w:tcW w:type="dxa" w:w="4250"/>
            <w:shd w:fill="F3F4F6"/>
          </w:tcPr>
          <w:p>
            <w:pPr>
              <w:spacing w:before="0" w:after="0" w:line="240" w:lineRule="auto"/>
              <w:jc w:val="left"/>
            </w:pPr>
            <w:r/>
            <w:r>
              <w:rPr>
                <w:rFonts w:ascii="Calibri" w:hAnsi="Calibri"/>
                <w:b w:val="0"/>
                <w:i w:val="0"/>
                <w:color w:val="1D2939"/>
                <w:sz w:val="14"/>
              </w:rPr>
              <w:t>Critical technical tasks slip  -&gt;  readiness moves beyond Week 8  -&gt;  the six-week pilot or outcome decision is shortened.</w:t>
            </w:r>
          </w:p>
        </w:tc>
        <w:tc>
          <w:tcPr>
            <w:tcW w:type="dxa" w:w="1350"/>
            <w:shd w:fill="FDECEC"/>
          </w:tcPr>
          <w:p>
            <w:pPr>
              <w:spacing w:before="0" w:after="0" w:line="240" w:lineRule="auto"/>
              <w:jc w:val="center"/>
            </w:pPr>
            <w:r/>
            <w:r>
              <w:rPr>
                <w:rFonts w:ascii="Calibri" w:hAnsi="Calibri"/>
                <w:b/>
                <w:i w:val="0"/>
                <w:color w:val="1D2939"/>
                <w:sz w:val="14"/>
              </w:rPr>
              <w:t>3 4 12 High</w:t>
            </w:r>
          </w:p>
        </w:tc>
        <w:tc>
          <w:tcPr>
            <w:tcW w:type="dxa" w:w="3900"/>
            <w:shd w:fill="F3F4F6"/>
          </w:tcPr>
          <w:p>
            <w:pPr>
              <w:spacing w:before="0" w:after="0" w:line="240" w:lineRule="auto"/>
              <w:jc w:val="left"/>
            </w:pPr>
            <w:r/>
            <w:r>
              <w:rPr>
                <w:rFonts w:ascii="Calibri" w:hAnsi="Calibri"/>
                <w:b w:val="0"/>
                <w:i w:val="0"/>
                <w:color w:val="1D2939"/>
                <w:sz w:val="14"/>
              </w:rPr>
              <w:t>Review critical path weekly, protect integration time, use acceptance gates, and cut optional work before compressing tests.</w:t>
            </w:r>
          </w:p>
        </w:tc>
        <w:tc>
          <w:tcPr>
            <w:tcW w:type="dxa" w:w="1450"/>
            <w:shd w:fill="F3F4F6"/>
          </w:tcPr>
          <w:p>
            <w:pPr>
              <w:spacing w:before="0" w:after="0" w:line="240" w:lineRule="auto"/>
              <w:jc w:val="center"/>
            </w:pPr>
            <w:r/>
            <w:r>
              <w:rPr>
                <w:rFonts w:ascii="Calibri" w:hAnsi="Calibri"/>
                <w:b w:val="0"/>
                <w:i w:val="0"/>
                <w:color w:val="1D2939"/>
                <w:sz w:val="14"/>
              </w:rPr>
              <w:t>Nurtore</w:t>
            </w:r>
          </w:p>
        </w:tc>
        <w:tc>
          <w:tcPr>
            <w:tcW w:type="dxa" w:w="2670"/>
            <w:shd w:fill="F3F4F6"/>
          </w:tcPr>
          <w:p>
            <w:pPr>
              <w:spacing w:before="0" w:after="0" w:line="240" w:lineRule="auto"/>
              <w:jc w:val="left"/>
            </w:pPr>
            <w:r/>
            <w:r>
              <w:rPr>
                <w:rFonts w:ascii="Calibri" w:hAnsi="Calibri"/>
                <w:b w:val="0"/>
                <w:i w:val="0"/>
                <w:color w:val="1D2939"/>
                <w:sz w:val="14"/>
              </w:rPr>
              <w:t>Critical milestone forecast more than 5 business days late</w:t>
            </w:r>
          </w:p>
        </w:tc>
      </w:tr>
      <w:tr>
        <w:trPr>
          <w:cantSplit/>
        </w:trPr>
        <w:tc>
          <w:tcPr>
            <w:tcW w:type="dxa" w:w="600"/>
          </w:tcPr>
          <w:p>
            <w:pPr>
              <w:spacing w:before="0" w:after="0" w:line="240" w:lineRule="auto"/>
              <w:jc w:val="center"/>
            </w:pPr>
            <w:r/>
            <w:r>
              <w:rPr>
                <w:rFonts w:ascii="Calibri" w:hAnsi="Calibri"/>
                <w:b/>
                <w:i w:val="0"/>
                <w:color w:val="1D2939"/>
                <w:sz w:val="14"/>
              </w:rPr>
              <w:t>R13</w:t>
            </w:r>
          </w:p>
        </w:tc>
        <w:tc>
          <w:tcPr>
            <w:tcW w:type="dxa" w:w="4250"/>
          </w:tcPr>
          <w:p>
            <w:pPr>
              <w:spacing w:before="0" w:after="0" w:line="240" w:lineRule="auto"/>
              <w:jc w:val="left"/>
            </w:pPr>
            <w:r/>
            <w:r>
              <w:rPr>
                <w:rFonts w:ascii="Calibri" w:hAnsi="Calibri"/>
                <w:b w:val="0"/>
                <w:i w:val="0"/>
                <w:color w:val="1D2939"/>
                <w:sz w:val="14"/>
              </w:rPr>
              <w:t>Rework or AV purchases exceed allowance  -&gt;  forecast rises above plan  -&gt;  the project breaches its authorization ceiling.</w:t>
            </w:r>
          </w:p>
        </w:tc>
        <w:tc>
          <w:tcPr>
            <w:tcW w:type="dxa" w:w="1350"/>
            <w:shd w:fill="FFF4D6"/>
          </w:tcPr>
          <w:p>
            <w:pPr>
              <w:spacing w:before="0" w:after="0" w:line="240" w:lineRule="auto"/>
              <w:jc w:val="center"/>
            </w:pPr>
            <w:r/>
            <w:r>
              <w:rPr>
                <w:rFonts w:ascii="Calibri" w:hAnsi="Calibri"/>
                <w:b/>
                <w:i w:val="0"/>
                <w:color w:val="1D2939"/>
                <w:sz w:val="14"/>
              </w:rPr>
              <w:t>2 4 8 Medium</w:t>
            </w:r>
          </w:p>
        </w:tc>
        <w:tc>
          <w:tcPr>
            <w:tcW w:type="dxa" w:w="3900"/>
          </w:tcPr>
          <w:p>
            <w:pPr>
              <w:spacing w:before="0" w:after="0" w:line="240" w:lineRule="auto"/>
              <w:jc w:val="left"/>
            </w:pPr>
            <w:r/>
            <w:r>
              <w:rPr>
                <w:rFonts w:ascii="Calibri" w:hAnsi="Calibri"/>
                <w:b w:val="0"/>
                <w:i w:val="0"/>
                <w:color w:val="1D2939"/>
                <w:sz w:val="14"/>
              </w:rPr>
              <w:t>Maintain weekly forecast, use contingency only for realized risks, seek alternatives, and stop new commitments before the ceiling.</w:t>
            </w:r>
          </w:p>
        </w:tc>
        <w:tc>
          <w:tcPr>
            <w:tcW w:type="dxa" w:w="1450"/>
          </w:tcPr>
          <w:p>
            <w:pPr>
              <w:spacing w:before="0" w:after="0" w:line="240" w:lineRule="auto"/>
              <w:jc w:val="center"/>
            </w:pPr>
            <w:r/>
            <w:r>
              <w:rPr>
                <w:rFonts w:ascii="Calibri" w:hAnsi="Calibri"/>
                <w:b w:val="0"/>
                <w:i w:val="0"/>
                <w:color w:val="1D2939"/>
                <w:sz w:val="14"/>
              </w:rPr>
              <w:t>Nurtore</w:t>
            </w:r>
          </w:p>
        </w:tc>
        <w:tc>
          <w:tcPr>
            <w:tcW w:type="dxa" w:w="2670"/>
          </w:tcPr>
          <w:p>
            <w:pPr>
              <w:spacing w:before="0" w:after="0" w:line="240" w:lineRule="auto"/>
              <w:jc w:val="left"/>
            </w:pPr>
            <w:r/>
            <w:r>
              <w:rPr>
                <w:rFonts w:ascii="Calibri" w:hAnsi="Calibri"/>
                <w:b w:val="0"/>
                <w:i w:val="0"/>
                <w:color w:val="1D2939"/>
                <w:sz w:val="14"/>
              </w:rPr>
              <w:t>Forecast variance above 5%</w:t>
            </w:r>
          </w:p>
        </w:tc>
      </w:tr>
      <w:tr>
        <w:trPr>
          <w:cantSplit/>
        </w:trPr>
        <w:tc>
          <w:tcPr>
            <w:tcW w:type="dxa" w:w="600"/>
            <w:shd w:fill="F3F4F6"/>
          </w:tcPr>
          <w:p>
            <w:pPr>
              <w:spacing w:before="0" w:after="0" w:line="240" w:lineRule="auto"/>
              <w:jc w:val="center"/>
            </w:pPr>
            <w:r/>
            <w:r>
              <w:rPr>
                <w:rFonts w:ascii="Calibri" w:hAnsi="Calibri"/>
                <w:b/>
                <w:i w:val="0"/>
                <w:color w:val="1D2939"/>
                <w:sz w:val="14"/>
              </w:rPr>
              <w:t>R14</w:t>
            </w:r>
          </w:p>
        </w:tc>
        <w:tc>
          <w:tcPr>
            <w:tcW w:type="dxa" w:w="4250"/>
            <w:shd w:fill="F3F4F6"/>
          </w:tcPr>
          <w:p>
            <w:pPr>
              <w:spacing w:before="0" w:after="0" w:line="240" w:lineRule="auto"/>
              <w:jc w:val="left"/>
            </w:pPr>
            <w:r/>
            <w:r>
              <w:rPr>
                <w:rFonts w:ascii="Calibri" w:hAnsi="Calibri"/>
                <w:b w:val="0"/>
                <w:i w:val="0"/>
                <w:color w:val="1D2939"/>
                <w:sz w:val="14"/>
              </w:rPr>
              <w:t>Too few valid sessions or survey responses are collected  -&gt;  evaluation is biased  -&gt;  the sponsor cannot make a confident decision.</w:t>
            </w:r>
          </w:p>
        </w:tc>
        <w:tc>
          <w:tcPr>
            <w:tcW w:type="dxa" w:w="1350"/>
            <w:shd w:fill="FFF4D6"/>
          </w:tcPr>
          <w:p>
            <w:pPr>
              <w:spacing w:before="0" w:after="0" w:line="240" w:lineRule="auto"/>
              <w:jc w:val="center"/>
            </w:pPr>
            <w:r/>
            <w:r>
              <w:rPr>
                <w:rFonts w:ascii="Calibri" w:hAnsi="Calibri"/>
                <w:b/>
                <w:i w:val="0"/>
                <w:color w:val="1D2939"/>
                <w:sz w:val="14"/>
              </w:rPr>
              <w:t>3 3 9 Medium</w:t>
            </w:r>
          </w:p>
        </w:tc>
        <w:tc>
          <w:tcPr>
            <w:tcW w:type="dxa" w:w="3900"/>
            <w:shd w:fill="F3F4F6"/>
          </w:tcPr>
          <w:p>
            <w:pPr>
              <w:spacing w:before="0" w:after="0" w:line="240" w:lineRule="auto"/>
              <w:jc w:val="left"/>
            </w:pPr>
            <w:r/>
            <w:r>
              <w:rPr>
                <w:rFonts w:ascii="Calibri" w:hAnsi="Calibri"/>
                <w:b w:val="0"/>
                <w:i w:val="0"/>
                <w:color w:val="1D2939"/>
                <w:sz w:val="14"/>
              </w:rPr>
              <w:t>Define measures before pilot, track sample sufficiency weekly, combine logs and surveys, and report uncertainty openly.</w:t>
            </w:r>
          </w:p>
        </w:tc>
        <w:tc>
          <w:tcPr>
            <w:tcW w:type="dxa" w:w="1450"/>
            <w:shd w:fill="F3F4F6"/>
          </w:tcPr>
          <w:p>
            <w:pPr>
              <w:spacing w:before="0" w:after="0" w:line="240" w:lineRule="auto"/>
              <w:jc w:val="center"/>
            </w:pPr>
            <w:r/>
            <w:r>
              <w:rPr>
                <w:rFonts w:ascii="Calibri" w:hAnsi="Calibri"/>
                <w:b w:val="0"/>
                <w:i w:val="0"/>
                <w:color w:val="1D2939"/>
                <w:sz w:val="14"/>
              </w:rPr>
              <w:t>Nurtore</w:t>
            </w:r>
          </w:p>
        </w:tc>
        <w:tc>
          <w:tcPr>
            <w:tcW w:type="dxa" w:w="2670"/>
            <w:shd w:fill="F3F4F6"/>
          </w:tcPr>
          <w:p>
            <w:pPr>
              <w:spacing w:before="0" w:after="0" w:line="240" w:lineRule="auto"/>
              <w:jc w:val="left"/>
            </w:pPr>
            <w:r/>
            <w:r>
              <w:rPr>
                <w:rFonts w:ascii="Calibri" w:hAnsi="Calibri"/>
                <w:b w:val="0"/>
                <w:i w:val="0"/>
                <w:color w:val="1D2939"/>
                <w:sz w:val="14"/>
              </w:rPr>
              <w:t>Fewer than 20 valid sessions or 60% survey response</w:t>
            </w:r>
          </w:p>
        </w:tc>
      </w:tr>
    </w:tbl>
    <w:p>
      <w:pPr>
        <w:sectPr>
          <w:headerReference w:type="default" r:id="rId15"/>
          <w:footerReference w:type="default" r:id="rId16"/>
          <w:pgSz w:w="15840" w:h="12240" w:orient="landscape"/>
          <w:pgMar w:top="792" w:right="792" w:bottom="792" w:left="792" w:header="403" w:footer="403" w:gutter="0"/>
          <w:cols w:space="720"/>
          <w:docGrid w:linePitch="360"/>
        </w:sectPr>
      </w:pPr>
    </w:p>
    <w:p>
      <w:pPr>
        <w:pStyle w:val="Heading1"/>
      </w:pPr>
      <w:r>
        <w:t>14 Quality and acceptance approach</w:t>
      </w:r>
    </w:p>
    <w:p>
      <w:pPr>
        <w:keepNext w:val="0"/>
        <w:spacing w:before="0" w:after="80" w:line="259" w:lineRule="auto"/>
        <w:jc w:val="left"/>
      </w:pPr>
      <w:r>
        <w:rPr>
          <w:rFonts w:ascii="Calibri" w:hAnsi="Calibri"/>
          <w:b w:val="0"/>
          <w:i w:val="0"/>
          <w:color w:val="1D2939"/>
          <w:sz w:val="19"/>
        </w:rPr>
        <w:t>Quality means the Release 1 workflow is safe, usable, measurable, and reliable enough for a controlled pilot. Passing tests is necessary, but the business owner and control owners must also accept the evidence at the readiness gate.</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3300"/>
        <w:gridCol w:w="2520"/>
        <w:gridCol w:w="1740"/>
      </w:tblGrid>
      <w:tr>
        <w:trPr>
          <w:tblHeader w:val="true"/>
          <w:cantSplit/>
        </w:trPr>
        <w:tc>
          <w:tcPr>
            <w:tcW w:type="dxa" w:w="18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5"/>
              </w:rPr>
              <w:t>Quality area</w:t>
            </w:r>
          </w:p>
        </w:tc>
        <w:tc>
          <w:tcPr>
            <w:tcW w:type="dxa" w:w="33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Acceptance criterion</w:t>
            </w:r>
          </w:p>
        </w:tc>
        <w:tc>
          <w:tcPr>
            <w:tcW w:type="dxa" w:w="252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Verification method</w:t>
            </w:r>
          </w:p>
        </w:tc>
        <w:tc>
          <w:tcPr>
            <w:tcW w:type="dxa" w:w="174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Acceptance owner</w:t>
            </w:r>
          </w:p>
        </w:tc>
      </w:tr>
      <w:tr>
        <w:trPr>
          <w:cantSplit/>
        </w:trPr>
        <w:tc>
          <w:tcPr>
            <w:tcW w:type="dxa" w:w="1800"/>
          </w:tcPr>
          <w:p>
            <w:pPr>
              <w:spacing w:before="0" w:after="0" w:line="245" w:lineRule="auto"/>
              <w:jc w:val="left"/>
            </w:pPr>
            <w:r/>
            <w:r>
              <w:rPr>
                <w:rFonts w:ascii="Calibri" w:hAnsi="Calibri"/>
                <w:b/>
                <w:i w:val="0"/>
                <w:color w:val="1D2939"/>
                <w:sz w:val="14"/>
              </w:rPr>
              <w:t>Setup and operability</w:t>
            </w:r>
          </w:p>
        </w:tc>
        <w:tc>
          <w:tcPr>
            <w:tcW w:type="dxa" w:w="3300"/>
          </w:tcPr>
          <w:p>
            <w:pPr>
              <w:spacing w:before="0" w:after="0" w:line="245" w:lineRule="auto"/>
              <w:jc w:val="left"/>
            </w:pPr>
            <w:r/>
            <w:r>
              <w:rPr>
                <w:rFonts w:ascii="Calibri" w:hAnsi="Calibri"/>
                <w:b w:val="0"/>
                <w:i w:val="0"/>
                <w:color w:val="1D2939"/>
                <w:sz w:val="14"/>
              </w:rPr>
              <w:t>At least 90% of observed sessions start within 2 minutes; instructor completes start approve mute and end without live help after briefing.</w:t>
            </w:r>
          </w:p>
        </w:tc>
        <w:tc>
          <w:tcPr>
            <w:tcW w:type="dxa" w:w="2520"/>
          </w:tcPr>
          <w:p>
            <w:pPr>
              <w:spacing w:before="0" w:after="0" w:line="245" w:lineRule="auto"/>
              <w:jc w:val="left"/>
            </w:pPr>
            <w:r/>
            <w:r>
              <w:rPr>
                <w:rFonts w:ascii="Calibri" w:hAnsi="Calibri"/>
                <w:b w:val="0"/>
                <w:i w:val="0"/>
                <w:color w:val="1D2939"/>
                <w:sz w:val="14"/>
              </w:rPr>
              <w:t>Timed scenario test and UAT observation</w:t>
            </w:r>
          </w:p>
        </w:tc>
        <w:tc>
          <w:tcPr>
            <w:tcW w:type="dxa" w:w="1740"/>
          </w:tcPr>
          <w:p>
            <w:pPr>
              <w:spacing w:before="0" w:after="0" w:line="245" w:lineRule="auto"/>
              <w:jc w:val="center"/>
            </w:pPr>
            <w:r/>
            <w:r>
              <w:rPr>
                <w:rFonts w:ascii="Calibri" w:hAnsi="Calibri"/>
                <w:b w:val="0"/>
                <w:i w:val="0"/>
                <w:color w:val="1D2939"/>
                <w:sz w:val="14"/>
              </w:rPr>
              <w:t>Business owner</w:t>
            </w:r>
          </w:p>
        </w:tc>
      </w:tr>
      <w:tr>
        <w:trPr>
          <w:cantSplit/>
        </w:trPr>
        <w:tc>
          <w:tcPr>
            <w:tcW w:type="dxa" w:w="1800"/>
            <w:shd w:fill="EAF2F8"/>
          </w:tcPr>
          <w:p>
            <w:pPr>
              <w:spacing w:before="0" w:after="0" w:line="245" w:lineRule="auto"/>
              <w:jc w:val="left"/>
            </w:pPr>
            <w:r/>
            <w:r>
              <w:rPr>
                <w:rFonts w:ascii="Calibri" w:hAnsi="Calibri"/>
                <w:b/>
                <w:i w:val="0"/>
                <w:color w:val="1D2939"/>
                <w:sz w:val="14"/>
              </w:rPr>
              <w:t>Functional control</w:t>
            </w:r>
          </w:p>
        </w:tc>
        <w:tc>
          <w:tcPr>
            <w:tcW w:type="dxa" w:w="3300"/>
            <w:shd w:fill="EAF2F8"/>
          </w:tcPr>
          <w:p>
            <w:pPr>
              <w:spacing w:before="0" w:after="0" w:line="245" w:lineRule="auto"/>
              <w:jc w:val="left"/>
            </w:pPr>
            <w:r/>
            <w:r>
              <w:rPr>
                <w:rFonts w:ascii="Calibri" w:hAnsi="Calibri"/>
                <w:b w:val="0"/>
                <w:i w:val="0"/>
                <w:color w:val="1D2939"/>
                <w:sz w:val="14"/>
              </w:rPr>
              <w:t>Only one student transmits; request approve mute remove timeout and end controls behave as specified; all Must-have tests pass.</w:t>
            </w:r>
          </w:p>
        </w:tc>
        <w:tc>
          <w:tcPr>
            <w:tcW w:type="dxa" w:w="2520"/>
            <w:shd w:fill="EAF2F8"/>
          </w:tcPr>
          <w:p>
            <w:pPr>
              <w:spacing w:before="0" w:after="0" w:line="245" w:lineRule="auto"/>
              <w:jc w:val="left"/>
            </w:pPr>
            <w:r/>
            <w:r>
              <w:rPr>
                <w:rFonts w:ascii="Calibri" w:hAnsi="Calibri"/>
                <w:b w:val="0"/>
                <w:i w:val="0"/>
                <w:color w:val="1D2939"/>
                <w:sz w:val="14"/>
              </w:rPr>
              <w:t>Functional and integration test suite</w:t>
            </w:r>
          </w:p>
        </w:tc>
        <w:tc>
          <w:tcPr>
            <w:tcW w:type="dxa" w:w="1740"/>
            <w:shd w:fill="EAF2F8"/>
          </w:tcPr>
          <w:p>
            <w:pPr>
              <w:spacing w:before="0" w:after="0" w:line="245" w:lineRule="auto"/>
              <w:jc w:val="center"/>
            </w:pPr>
            <w:r/>
            <w:r>
              <w:rPr>
                <w:rFonts w:ascii="Calibri" w:hAnsi="Calibri"/>
                <w:b w:val="0"/>
                <w:i w:val="0"/>
                <w:color w:val="1D2939"/>
                <w:sz w:val="14"/>
              </w:rPr>
              <w:t>Nurtore and Temiko</w:t>
            </w:r>
          </w:p>
        </w:tc>
      </w:tr>
      <w:tr>
        <w:trPr>
          <w:cantSplit/>
        </w:trPr>
        <w:tc>
          <w:tcPr>
            <w:tcW w:type="dxa" w:w="1800"/>
          </w:tcPr>
          <w:p>
            <w:pPr>
              <w:spacing w:before="0" w:after="0" w:line="245" w:lineRule="auto"/>
              <w:jc w:val="left"/>
            </w:pPr>
            <w:r/>
            <w:r>
              <w:rPr>
                <w:rFonts w:ascii="Calibri" w:hAnsi="Calibri"/>
                <w:b/>
                <w:i w:val="0"/>
                <w:color w:val="1D2939"/>
                <w:sz w:val="14"/>
              </w:rPr>
              <w:t>Performance and reliability</w:t>
            </w:r>
          </w:p>
        </w:tc>
        <w:tc>
          <w:tcPr>
            <w:tcW w:type="dxa" w:w="3300"/>
          </w:tcPr>
          <w:p>
            <w:pPr>
              <w:spacing w:before="0" w:after="0" w:line="245" w:lineRule="auto"/>
              <w:jc w:val="left"/>
            </w:pPr>
            <w:r/>
            <w:r>
              <w:rPr>
                <w:rFonts w:ascii="Calibri" w:hAnsi="Calibri"/>
                <w:b w:val="0"/>
                <w:i w:val="0"/>
                <w:color w:val="1D2939"/>
                <w:sz w:val="14"/>
              </w:rPr>
              <w:t>At least 90% of approved requests become audible within 3 seconds; median audio delay is 700 ms or less; at least 95% of pilot sessions finish without a ClassMic-caused stop.</w:t>
            </w:r>
          </w:p>
        </w:tc>
        <w:tc>
          <w:tcPr>
            <w:tcW w:type="dxa" w:w="2520"/>
          </w:tcPr>
          <w:p>
            <w:pPr>
              <w:spacing w:before="0" w:after="0" w:line="245" w:lineRule="auto"/>
              <w:jc w:val="left"/>
            </w:pPr>
            <w:r/>
            <w:r>
              <w:rPr>
                <w:rFonts w:ascii="Calibri" w:hAnsi="Calibri"/>
                <w:b w:val="0"/>
                <w:i w:val="0"/>
                <w:color w:val="1D2939"/>
                <w:sz w:val="14"/>
              </w:rPr>
              <w:t>Event logs, network test, and session log</w:t>
            </w:r>
          </w:p>
        </w:tc>
        <w:tc>
          <w:tcPr>
            <w:tcW w:type="dxa" w:w="1740"/>
          </w:tcPr>
          <w:p>
            <w:pPr>
              <w:spacing w:before="0" w:after="0" w:line="245" w:lineRule="auto"/>
              <w:jc w:val="center"/>
            </w:pPr>
            <w:r/>
            <w:r>
              <w:rPr>
                <w:rFonts w:ascii="Calibri" w:hAnsi="Calibri"/>
                <w:b w:val="0"/>
                <w:i w:val="0"/>
                <w:color w:val="1D2939"/>
                <w:sz w:val="14"/>
              </w:rPr>
              <w:t>Temiko and IT</w:t>
            </w:r>
          </w:p>
        </w:tc>
      </w:tr>
      <w:tr>
        <w:trPr>
          <w:cantSplit/>
        </w:trPr>
        <w:tc>
          <w:tcPr>
            <w:tcW w:type="dxa" w:w="1800"/>
            <w:shd w:fill="EAF2F8"/>
          </w:tcPr>
          <w:p>
            <w:pPr>
              <w:spacing w:before="0" w:after="0" w:line="245" w:lineRule="auto"/>
              <w:jc w:val="left"/>
            </w:pPr>
            <w:r/>
            <w:r>
              <w:rPr>
                <w:rFonts w:ascii="Calibri" w:hAnsi="Calibri"/>
                <w:b/>
                <w:i w:val="0"/>
                <w:color w:val="1D2939"/>
                <w:sz w:val="14"/>
              </w:rPr>
              <w:t>Audio usefulness</w:t>
            </w:r>
          </w:p>
        </w:tc>
        <w:tc>
          <w:tcPr>
            <w:tcW w:type="dxa" w:w="3300"/>
            <w:shd w:fill="EAF2F8"/>
          </w:tcPr>
          <w:p>
            <w:pPr>
              <w:spacing w:before="0" w:after="0" w:line="245" w:lineRule="auto"/>
              <w:jc w:val="left"/>
            </w:pPr>
            <w:r/>
            <w:r>
              <w:rPr>
                <w:rFonts w:ascii="Calibri" w:hAnsi="Calibri"/>
                <w:b w:val="0"/>
                <w:i w:val="0"/>
                <w:color w:val="1D2939"/>
                <w:sz w:val="14"/>
              </w:rPr>
              <w:t>Speech is intelligible in every pilot room at normal listening position, with no sustained feedback or unsafe volume.</w:t>
            </w:r>
          </w:p>
        </w:tc>
        <w:tc>
          <w:tcPr>
            <w:tcW w:type="dxa" w:w="2520"/>
            <w:shd w:fill="EAF2F8"/>
          </w:tcPr>
          <w:p>
            <w:pPr>
              <w:spacing w:before="0" w:after="0" w:line="245" w:lineRule="auto"/>
              <w:jc w:val="left"/>
            </w:pPr>
            <w:r/>
            <w:r>
              <w:rPr>
                <w:rFonts w:ascii="Calibri" w:hAnsi="Calibri"/>
                <w:b w:val="0"/>
                <w:i w:val="0"/>
                <w:color w:val="1D2939"/>
                <w:sz w:val="14"/>
              </w:rPr>
              <w:t>Room checklist and instructor rating</w:t>
            </w:r>
          </w:p>
        </w:tc>
        <w:tc>
          <w:tcPr>
            <w:tcW w:type="dxa" w:w="1740"/>
            <w:shd w:fill="EAF2F8"/>
          </w:tcPr>
          <w:p>
            <w:pPr>
              <w:spacing w:before="0" w:after="0" w:line="245" w:lineRule="auto"/>
              <w:jc w:val="center"/>
            </w:pPr>
            <w:r/>
            <w:r>
              <w:rPr>
                <w:rFonts w:ascii="Calibri" w:hAnsi="Calibri"/>
                <w:b w:val="0"/>
                <w:i w:val="0"/>
                <w:color w:val="1D2939"/>
                <w:sz w:val="14"/>
              </w:rPr>
              <w:t>AV lead and instructors</w:t>
            </w:r>
          </w:p>
        </w:tc>
      </w:tr>
      <w:tr>
        <w:trPr>
          <w:cantSplit/>
        </w:trPr>
        <w:tc>
          <w:tcPr>
            <w:tcW w:type="dxa" w:w="1800"/>
          </w:tcPr>
          <w:p>
            <w:pPr>
              <w:spacing w:before="0" w:after="0" w:line="245" w:lineRule="auto"/>
              <w:jc w:val="left"/>
            </w:pPr>
            <w:r/>
            <w:r>
              <w:rPr>
                <w:rFonts w:ascii="Calibri" w:hAnsi="Calibri"/>
                <w:b/>
                <w:i w:val="0"/>
                <w:color w:val="1D2939"/>
                <w:sz w:val="14"/>
              </w:rPr>
              <w:t>Privacy and security</w:t>
            </w:r>
          </w:p>
        </w:tc>
        <w:tc>
          <w:tcPr>
            <w:tcW w:type="dxa" w:w="3300"/>
          </w:tcPr>
          <w:p>
            <w:pPr>
              <w:spacing w:before="0" w:after="0" w:line="245" w:lineRule="auto"/>
              <w:jc w:val="left"/>
            </w:pPr>
            <w:r/>
            <w:r>
              <w:rPr>
                <w:rFonts w:ascii="Calibri" w:hAnsi="Calibri"/>
                <w:b w:val="0"/>
                <w:i w:val="0"/>
                <w:color w:val="1D2939"/>
                <w:sz w:val="14"/>
              </w:rPr>
              <w:t>No stored audio or transcript; codes expire; unauthorized users can be removed; access and retention controls pass review; no unresolved critical finding.</w:t>
            </w:r>
          </w:p>
        </w:tc>
        <w:tc>
          <w:tcPr>
            <w:tcW w:type="dxa" w:w="2520"/>
          </w:tcPr>
          <w:p>
            <w:pPr>
              <w:spacing w:before="0" w:after="0" w:line="245" w:lineRule="auto"/>
              <w:jc w:val="left"/>
            </w:pPr>
            <w:r/>
            <w:r>
              <w:rPr>
                <w:rFonts w:ascii="Calibri" w:hAnsi="Calibri"/>
                <w:b w:val="0"/>
                <w:i w:val="0"/>
                <w:color w:val="1D2939"/>
                <w:sz w:val="14"/>
              </w:rPr>
              <w:t>Data-flow review, configuration check, misuse test</w:t>
            </w:r>
          </w:p>
        </w:tc>
        <w:tc>
          <w:tcPr>
            <w:tcW w:type="dxa" w:w="1740"/>
          </w:tcPr>
          <w:p>
            <w:pPr>
              <w:spacing w:before="0" w:after="0" w:line="245" w:lineRule="auto"/>
              <w:jc w:val="center"/>
            </w:pPr>
            <w:r/>
            <w:r>
              <w:rPr>
                <w:rFonts w:ascii="Calibri" w:hAnsi="Calibri"/>
                <w:b w:val="0"/>
                <w:i w:val="0"/>
                <w:color w:val="1D2939"/>
                <w:sz w:val="14"/>
              </w:rPr>
              <w:t>Privacy and security owners</w:t>
            </w:r>
          </w:p>
        </w:tc>
      </w:tr>
      <w:tr>
        <w:trPr>
          <w:cantSplit/>
        </w:trPr>
        <w:tc>
          <w:tcPr>
            <w:tcW w:type="dxa" w:w="1800"/>
            <w:shd w:fill="EAF2F8"/>
          </w:tcPr>
          <w:p>
            <w:pPr>
              <w:spacing w:before="0" w:after="0" w:line="245" w:lineRule="auto"/>
              <w:jc w:val="left"/>
            </w:pPr>
            <w:r/>
            <w:r>
              <w:rPr>
                <w:rFonts w:ascii="Calibri" w:hAnsi="Calibri"/>
                <w:b/>
                <w:i w:val="0"/>
                <w:color w:val="1D2939"/>
                <w:sz w:val="14"/>
              </w:rPr>
              <w:t>Compatibility and accessibility</w:t>
            </w:r>
          </w:p>
        </w:tc>
        <w:tc>
          <w:tcPr>
            <w:tcW w:type="dxa" w:w="3300"/>
            <w:shd w:fill="EAF2F8"/>
          </w:tcPr>
          <w:p>
            <w:pPr>
              <w:spacing w:before="0" w:after="0" w:line="245" w:lineRule="auto"/>
              <w:jc w:val="left"/>
            </w:pPr>
            <w:r/>
            <w:r>
              <w:rPr>
                <w:rFonts w:ascii="Calibri" w:hAnsi="Calibri"/>
                <w:b w:val="0"/>
                <w:i w:val="0"/>
                <w:color w:val="1D2939"/>
                <w:sz w:val="14"/>
              </w:rPr>
              <w:t>Agreed iOS and Android browser matrix passes; denied permission has a clear recovery path; an equivalent physical or loaner microphone is always available.</w:t>
            </w:r>
          </w:p>
        </w:tc>
        <w:tc>
          <w:tcPr>
            <w:tcW w:type="dxa" w:w="2520"/>
            <w:shd w:fill="EAF2F8"/>
          </w:tcPr>
          <w:p>
            <w:pPr>
              <w:spacing w:before="0" w:after="0" w:line="245" w:lineRule="auto"/>
              <w:jc w:val="left"/>
            </w:pPr>
            <w:r/>
            <w:r>
              <w:rPr>
                <w:rFonts w:ascii="Calibri" w:hAnsi="Calibri"/>
                <w:b w:val="0"/>
                <w:i w:val="0"/>
                <w:color w:val="1D2939"/>
                <w:sz w:val="14"/>
              </w:rPr>
              <w:t>Device matrix and accessibility review</w:t>
            </w:r>
          </w:p>
        </w:tc>
        <w:tc>
          <w:tcPr>
            <w:tcW w:type="dxa" w:w="1740"/>
            <w:shd w:fill="EAF2F8"/>
          </w:tcPr>
          <w:p>
            <w:pPr>
              <w:spacing w:before="0" w:after="0" w:line="245" w:lineRule="auto"/>
              <w:jc w:val="center"/>
            </w:pPr>
            <w:r/>
            <w:r>
              <w:rPr>
                <w:rFonts w:ascii="Calibri" w:hAnsi="Calibri"/>
                <w:b w:val="0"/>
                <w:i w:val="0"/>
                <w:color w:val="1D2939"/>
                <w:sz w:val="14"/>
              </w:rPr>
              <w:t>Accessibility and IT leads</w:t>
            </w:r>
          </w:p>
        </w:tc>
      </w:tr>
      <w:tr>
        <w:trPr>
          <w:cantSplit/>
        </w:trPr>
        <w:tc>
          <w:tcPr>
            <w:tcW w:type="dxa" w:w="1800"/>
          </w:tcPr>
          <w:p>
            <w:pPr>
              <w:spacing w:before="0" w:after="0" w:line="245" w:lineRule="auto"/>
              <w:jc w:val="left"/>
            </w:pPr>
            <w:r/>
            <w:r>
              <w:rPr>
                <w:rFonts w:ascii="Calibri" w:hAnsi="Calibri"/>
                <w:b/>
                <w:i w:val="0"/>
                <w:color w:val="1D2939"/>
                <w:sz w:val="14"/>
              </w:rPr>
              <w:t>Stakeholder value</w:t>
            </w:r>
          </w:p>
        </w:tc>
        <w:tc>
          <w:tcPr>
            <w:tcW w:type="dxa" w:w="3300"/>
          </w:tcPr>
          <w:p>
            <w:pPr>
              <w:spacing w:before="0" w:after="0" w:line="245" w:lineRule="auto"/>
              <w:jc w:val="left"/>
            </w:pPr>
            <w:r/>
            <w:r>
              <w:rPr>
                <w:rFonts w:ascii="Calibri" w:hAnsi="Calibri"/>
                <w:b w:val="0"/>
                <w:i w:val="0"/>
                <w:color w:val="1D2939"/>
                <w:sz w:val="14"/>
              </w:rPr>
              <w:t>At least 75% of surveyed students and instructors say questions were easier to hear, and at least four of six instructors use ClassMic in two or more sessions.</w:t>
            </w:r>
          </w:p>
        </w:tc>
        <w:tc>
          <w:tcPr>
            <w:tcW w:type="dxa" w:w="2520"/>
          </w:tcPr>
          <w:p>
            <w:pPr>
              <w:spacing w:before="0" w:after="0" w:line="245" w:lineRule="auto"/>
              <w:jc w:val="left"/>
            </w:pPr>
            <w:r/>
            <w:r>
              <w:rPr>
                <w:rFonts w:ascii="Calibri" w:hAnsi="Calibri"/>
                <w:b w:val="0"/>
                <w:i w:val="0"/>
                <w:color w:val="1D2939"/>
                <w:sz w:val="14"/>
              </w:rPr>
              <w:t>Anonymous survey and usage evidence</w:t>
            </w:r>
          </w:p>
        </w:tc>
        <w:tc>
          <w:tcPr>
            <w:tcW w:type="dxa" w:w="1740"/>
          </w:tcPr>
          <w:p>
            <w:pPr>
              <w:spacing w:before="0" w:after="0" w:line="245" w:lineRule="auto"/>
              <w:jc w:val="center"/>
            </w:pPr>
            <w:r/>
            <w:r>
              <w:rPr>
                <w:rFonts w:ascii="Calibri" w:hAnsi="Calibri"/>
                <w:b w:val="0"/>
                <w:i w:val="0"/>
                <w:color w:val="1D2939"/>
                <w:sz w:val="14"/>
              </w:rPr>
              <w:t>Business owner</w:t>
            </w:r>
          </w:p>
        </w:tc>
      </w:tr>
      <w:tr>
        <w:trPr>
          <w:cantSplit/>
        </w:trPr>
        <w:tc>
          <w:tcPr>
            <w:tcW w:type="dxa" w:w="1800"/>
            <w:shd w:fill="EAF2F8"/>
          </w:tcPr>
          <w:p>
            <w:pPr>
              <w:spacing w:before="0" w:after="0" w:line="245" w:lineRule="auto"/>
              <w:jc w:val="left"/>
            </w:pPr>
            <w:r/>
            <w:r>
              <w:rPr>
                <w:rFonts w:ascii="Calibri" w:hAnsi="Calibri"/>
                <w:b/>
                <w:i w:val="0"/>
                <w:color w:val="1D2939"/>
                <w:sz w:val="14"/>
              </w:rPr>
              <w:t>Defect threshold</w:t>
            </w:r>
          </w:p>
        </w:tc>
        <w:tc>
          <w:tcPr>
            <w:tcW w:type="dxa" w:w="3300"/>
            <w:shd w:fill="EAF2F8"/>
          </w:tcPr>
          <w:p>
            <w:pPr>
              <w:spacing w:before="0" w:after="0" w:line="245" w:lineRule="auto"/>
              <w:jc w:val="left"/>
            </w:pPr>
            <w:r/>
            <w:r>
              <w:rPr>
                <w:rFonts w:ascii="Calibri" w:hAnsi="Calibri"/>
                <w:b w:val="0"/>
                <w:i w:val="0"/>
                <w:color w:val="1D2939"/>
                <w:sz w:val="14"/>
              </w:rPr>
              <w:t>Zero open critical defects; high defects resolved or explicitly accepted by the correct control owner and sponsor; medium defects have documented workarounds.</w:t>
            </w:r>
          </w:p>
        </w:tc>
        <w:tc>
          <w:tcPr>
            <w:tcW w:type="dxa" w:w="2520"/>
            <w:shd w:fill="EAF2F8"/>
          </w:tcPr>
          <w:p>
            <w:pPr>
              <w:spacing w:before="0" w:after="0" w:line="245" w:lineRule="auto"/>
              <w:jc w:val="left"/>
            </w:pPr>
            <w:r/>
            <w:r>
              <w:rPr>
                <w:rFonts w:ascii="Calibri" w:hAnsi="Calibri"/>
                <w:b w:val="0"/>
                <w:i w:val="0"/>
                <w:color w:val="1D2939"/>
                <w:sz w:val="14"/>
              </w:rPr>
              <w:t>Defect review at Week 8 gate</w:t>
            </w:r>
          </w:p>
        </w:tc>
        <w:tc>
          <w:tcPr>
            <w:tcW w:type="dxa" w:w="1740"/>
            <w:shd w:fill="EAF2F8"/>
          </w:tcPr>
          <w:p>
            <w:pPr>
              <w:spacing w:before="0" w:after="0" w:line="245" w:lineRule="auto"/>
              <w:jc w:val="center"/>
            </w:pPr>
            <w:r/>
            <w:r>
              <w:rPr>
                <w:rFonts w:ascii="Calibri" w:hAnsi="Calibri"/>
                <w:b w:val="0"/>
                <w:i w:val="0"/>
                <w:color w:val="1D2939"/>
                <w:sz w:val="14"/>
              </w:rPr>
              <w:t>Project manager</w:t>
            </w:r>
          </w:p>
        </w:tc>
      </w:tr>
    </w:tbl>
    <w:p>
      <w:pPr>
        <w:pStyle w:val="Heading1"/>
      </w:pPr>
      <w:r>
        <w:t>15 Make or buy and procurement approach</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00"/>
        <w:gridCol w:w="1680"/>
        <w:gridCol w:w="3180"/>
        <w:gridCol w:w="2100"/>
      </w:tblGrid>
      <w:tr>
        <w:trPr>
          <w:tblHeader w:val="true"/>
          <w:cantSplit/>
        </w:trPr>
        <w:tc>
          <w:tcPr>
            <w:tcW w:type="dxa" w:w="2400"/>
            <w:tcMar>
              <w:top w:w="72" w:type="dxa"/>
              <w:start w:w="100" w:type="dxa"/>
              <w:bottom w:w="72" w:type="dxa"/>
              <w:end w:w="100" w:type="dxa"/>
            </w:tcMar>
            <w:vAlign w:val="center"/>
            <w:shd w:fill="17365D"/>
          </w:tcPr>
          <w:p>
            <w:pPr>
              <w:spacing w:before="0" w:after="0" w:line="245" w:lineRule="auto"/>
              <w:jc w:val="left"/>
            </w:pPr>
            <w:r/>
            <w:r>
              <w:rPr>
                <w:rFonts w:ascii="Calibri" w:hAnsi="Calibri"/>
                <w:b/>
                <w:i w:val="0"/>
                <w:color w:val="FFFFFF"/>
                <w:sz w:val="15"/>
              </w:rPr>
              <w:t>Capability</w:t>
            </w:r>
          </w:p>
        </w:tc>
        <w:tc>
          <w:tcPr>
            <w:tcW w:type="dxa" w:w="16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Decision</w:t>
            </w:r>
          </w:p>
        </w:tc>
        <w:tc>
          <w:tcPr>
            <w:tcW w:type="dxa" w:w="318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Reason</w:t>
            </w:r>
          </w:p>
        </w:tc>
        <w:tc>
          <w:tcPr>
            <w:tcW w:type="dxa" w:w="2100"/>
            <w:tcMar>
              <w:top w:w="72" w:type="dxa"/>
              <w:start w:w="100" w:type="dxa"/>
              <w:bottom w:w="72" w:type="dxa"/>
              <w:end w:w="100" w:type="dxa"/>
            </w:tcMar>
            <w:vAlign w:val="center"/>
            <w:shd w:fill="17365D"/>
          </w:tcPr>
          <w:p>
            <w:pPr>
              <w:spacing w:before="0" w:after="0" w:line="245" w:lineRule="auto"/>
              <w:jc w:val="center"/>
            </w:pPr>
            <w:r/>
            <w:r>
              <w:rPr>
                <w:rFonts w:ascii="Calibri" w:hAnsi="Calibri"/>
                <w:b/>
                <w:i w:val="0"/>
                <w:color w:val="FFFFFF"/>
                <w:sz w:val="15"/>
              </w:rPr>
              <w:t>Control</w:t>
            </w:r>
          </w:p>
        </w:tc>
      </w:tr>
      <w:tr>
        <w:trPr>
          <w:cantSplit/>
        </w:trPr>
        <w:tc>
          <w:tcPr>
            <w:tcW w:type="dxa" w:w="2400"/>
          </w:tcPr>
          <w:p>
            <w:pPr>
              <w:spacing w:before="0" w:after="0" w:line="245" w:lineRule="auto"/>
              <w:jc w:val="left"/>
            </w:pPr>
            <w:r/>
            <w:r>
              <w:rPr>
                <w:rFonts w:ascii="Calibri" w:hAnsi="Calibri"/>
                <w:b/>
                <w:i w:val="0"/>
                <w:color w:val="1D2939"/>
                <w:sz w:val="14"/>
              </w:rPr>
              <w:t>ClassMic classroom workflow</w:t>
            </w:r>
          </w:p>
        </w:tc>
        <w:tc>
          <w:tcPr>
            <w:tcW w:type="dxa" w:w="1680"/>
          </w:tcPr>
          <w:p>
            <w:pPr>
              <w:spacing w:before="0" w:after="0" w:line="245" w:lineRule="auto"/>
              <w:jc w:val="center"/>
            </w:pPr>
            <w:r/>
            <w:r>
              <w:rPr>
                <w:rFonts w:ascii="Calibri" w:hAnsi="Calibri"/>
                <w:b/>
                <w:i w:val="0"/>
                <w:color w:val="1D2939"/>
                <w:sz w:val="14"/>
              </w:rPr>
              <w:t>Build</w:t>
            </w:r>
          </w:p>
        </w:tc>
        <w:tc>
          <w:tcPr>
            <w:tcW w:type="dxa" w:w="3180"/>
          </w:tcPr>
          <w:p>
            <w:pPr>
              <w:spacing w:before="0" w:after="0" w:line="245" w:lineRule="auto"/>
              <w:jc w:val="left"/>
            </w:pPr>
            <w:r/>
            <w:r>
              <w:rPr>
                <w:rFonts w:ascii="Calibri" w:hAnsi="Calibri"/>
                <w:b w:val="0"/>
                <w:i w:val="0"/>
                <w:color w:val="1D2939"/>
                <w:sz w:val="14"/>
              </w:rPr>
              <w:t>Instructor approval, one-mic control, no-audio-storage rule, and pilot metrics are the differentiated scope.</w:t>
            </w:r>
          </w:p>
        </w:tc>
        <w:tc>
          <w:tcPr>
            <w:tcW w:type="dxa" w:w="2100"/>
          </w:tcPr>
          <w:p>
            <w:pPr>
              <w:spacing w:before="0" w:after="0" w:line="245" w:lineRule="auto"/>
              <w:jc w:val="left"/>
            </w:pPr>
            <w:r/>
            <w:r>
              <w:rPr>
                <w:rFonts w:ascii="Calibri" w:hAnsi="Calibri"/>
                <w:b w:val="0"/>
                <w:i w:val="0"/>
                <w:color w:val="1D2939"/>
                <w:sz w:val="14"/>
              </w:rPr>
              <w:t>Temiko owns design; change control protects scope.</w:t>
            </w:r>
          </w:p>
        </w:tc>
      </w:tr>
      <w:tr>
        <w:trPr>
          <w:cantSplit/>
        </w:trPr>
        <w:tc>
          <w:tcPr>
            <w:tcW w:type="dxa" w:w="2400"/>
            <w:shd w:fill="F3F4F6"/>
          </w:tcPr>
          <w:p>
            <w:pPr>
              <w:spacing w:before="0" w:after="0" w:line="245" w:lineRule="auto"/>
              <w:jc w:val="left"/>
            </w:pPr>
            <w:r/>
            <w:r>
              <w:rPr>
                <w:rFonts w:ascii="Calibri" w:hAnsi="Calibri"/>
                <w:b/>
                <w:i w:val="0"/>
                <w:color w:val="1D2939"/>
                <w:sz w:val="14"/>
              </w:rPr>
              <w:t>Browser microphone transport</w:t>
            </w:r>
          </w:p>
        </w:tc>
        <w:tc>
          <w:tcPr>
            <w:tcW w:type="dxa" w:w="1680"/>
            <w:shd w:fill="F3F4F6"/>
          </w:tcPr>
          <w:p>
            <w:pPr>
              <w:spacing w:before="0" w:after="0" w:line="245" w:lineRule="auto"/>
              <w:jc w:val="center"/>
            </w:pPr>
            <w:r/>
            <w:r>
              <w:rPr>
                <w:rFonts w:ascii="Calibri" w:hAnsi="Calibri"/>
                <w:b/>
                <w:i w:val="0"/>
                <w:color w:val="1D2939"/>
                <w:sz w:val="14"/>
              </w:rPr>
              <w:t>Reuse</w:t>
            </w:r>
          </w:p>
        </w:tc>
        <w:tc>
          <w:tcPr>
            <w:tcW w:type="dxa" w:w="3180"/>
            <w:shd w:fill="F3F4F6"/>
          </w:tcPr>
          <w:p>
            <w:pPr>
              <w:spacing w:before="0" w:after="0" w:line="245" w:lineRule="auto"/>
              <w:jc w:val="left"/>
            </w:pPr>
            <w:r/>
            <w:r>
              <w:rPr>
                <w:rFonts w:ascii="Calibri" w:hAnsi="Calibri"/>
                <w:b w:val="0"/>
                <w:i w:val="0"/>
                <w:color w:val="1D2939"/>
                <w:sz w:val="14"/>
              </w:rPr>
              <w:t>Standard browser media and real-time communication capabilities reduce custom device software.</w:t>
            </w:r>
          </w:p>
        </w:tc>
        <w:tc>
          <w:tcPr>
            <w:tcW w:type="dxa" w:w="2100"/>
            <w:shd w:fill="F3F4F6"/>
          </w:tcPr>
          <w:p>
            <w:pPr>
              <w:spacing w:before="0" w:after="0" w:line="245" w:lineRule="auto"/>
              <w:jc w:val="left"/>
            </w:pPr>
            <w:r/>
            <w:r>
              <w:rPr>
                <w:rFonts w:ascii="Calibri" w:hAnsi="Calibri"/>
                <w:b w:val="0"/>
                <w:i w:val="0"/>
                <w:color w:val="1D2939"/>
                <w:sz w:val="14"/>
              </w:rPr>
              <w:t>Compatibility and security tests before pilot.</w:t>
            </w:r>
          </w:p>
        </w:tc>
      </w:tr>
      <w:tr>
        <w:trPr>
          <w:cantSplit/>
        </w:trPr>
        <w:tc>
          <w:tcPr>
            <w:tcW w:type="dxa" w:w="2400"/>
          </w:tcPr>
          <w:p>
            <w:pPr>
              <w:spacing w:before="0" w:after="0" w:line="245" w:lineRule="auto"/>
              <w:jc w:val="left"/>
            </w:pPr>
            <w:r/>
            <w:r>
              <w:rPr>
                <w:rFonts w:ascii="Calibri" w:hAnsi="Calibri"/>
                <w:b/>
                <w:i w:val="0"/>
                <w:color w:val="1D2939"/>
                <w:sz w:val="14"/>
              </w:rPr>
              <w:t>Hosting and monitoring</w:t>
            </w:r>
          </w:p>
        </w:tc>
        <w:tc>
          <w:tcPr>
            <w:tcW w:type="dxa" w:w="1680"/>
          </w:tcPr>
          <w:p>
            <w:pPr>
              <w:spacing w:before="0" w:after="0" w:line="245" w:lineRule="auto"/>
              <w:jc w:val="center"/>
            </w:pPr>
            <w:r/>
            <w:r>
              <w:rPr>
                <w:rFonts w:ascii="Calibri" w:hAnsi="Calibri"/>
                <w:b/>
                <w:i w:val="0"/>
                <w:color w:val="1D2939"/>
                <w:sz w:val="14"/>
              </w:rPr>
              <w:t>Reuse internal</w:t>
            </w:r>
          </w:p>
        </w:tc>
        <w:tc>
          <w:tcPr>
            <w:tcW w:type="dxa" w:w="3180"/>
          </w:tcPr>
          <w:p>
            <w:pPr>
              <w:spacing w:before="0" w:after="0" w:line="245" w:lineRule="auto"/>
              <w:jc w:val="left"/>
            </w:pPr>
            <w:r/>
            <w:r>
              <w:rPr>
                <w:rFonts w:ascii="Calibri" w:hAnsi="Calibri"/>
                <w:b w:val="0"/>
                <w:i w:val="0"/>
                <w:color w:val="1D2939"/>
                <w:sz w:val="14"/>
              </w:rPr>
              <w:t>Existing institutional environment minimizes new vendor access and pilot cost.</w:t>
            </w:r>
          </w:p>
        </w:tc>
        <w:tc>
          <w:tcPr>
            <w:tcW w:type="dxa" w:w="2100"/>
          </w:tcPr>
          <w:p>
            <w:pPr>
              <w:spacing w:before="0" w:after="0" w:line="245" w:lineRule="auto"/>
              <w:jc w:val="left"/>
            </w:pPr>
            <w:r/>
            <w:r>
              <w:rPr>
                <w:rFonts w:ascii="Calibri" w:hAnsi="Calibri"/>
                <w:b w:val="0"/>
                <w:i w:val="0"/>
                <w:color w:val="1D2939"/>
                <w:sz w:val="14"/>
              </w:rPr>
              <w:t>IT approves configuration, access, logs, and deletion.</w:t>
            </w:r>
          </w:p>
        </w:tc>
      </w:tr>
      <w:tr>
        <w:trPr>
          <w:cantSplit/>
        </w:trPr>
        <w:tc>
          <w:tcPr>
            <w:tcW w:type="dxa" w:w="2400"/>
            <w:shd w:fill="F3F4F6"/>
          </w:tcPr>
          <w:p>
            <w:pPr>
              <w:spacing w:before="0" w:after="0" w:line="245" w:lineRule="auto"/>
              <w:jc w:val="left"/>
            </w:pPr>
            <w:r/>
            <w:r>
              <w:rPr>
                <w:rFonts w:ascii="Calibri" w:hAnsi="Calibri"/>
                <w:b/>
                <w:i w:val="0"/>
                <w:color w:val="1D2939"/>
                <w:sz w:val="14"/>
              </w:rPr>
              <w:t>Classroom speakers and adapters</w:t>
            </w:r>
          </w:p>
        </w:tc>
        <w:tc>
          <w:tcPr>
            <w:tcW w:type="dxa" w:w="1680"/>
            <w:shd w:fill="F3F4F6"/>
          </w:tcPr>
          <w:p>
            <w:pPr>
              <w:spacing w:before="0" w:after="0" w:line="245" w:lineRule="auto"/>
              <w:jc w:val="center"/>
            </w:pPr>
            <w:r/>
            <w:r>
              <w:rPr>
                <w:rFonts w:ascii="Calibri" w:hAnsi="Calibri"/>
                <w:b/>
                <w:i w:val="0"/>
                <w:color w:val="1D2939"/>
                <w:sz w:val="14"/>
              </w:rPr>
              <w:t>Reuse then buy commodity items</w:t>
            </w:r>
          </w:p>
        </w:tc>
        <w:tc>
          <w:tcPr>
            <w:tcW w:type="dxa" w:w="3180"/>
            <w:shd w:fill="F3F4F6"/>
          </w:tcPr>
          <w:p>
            <w:pPr>
              <w:spacing w:before="0" w:after="0" w:line="245" w:lineRule="auto"/>
              <w:jc w:val="left"/>
            </w:pPr>
            <w:r/>
            <w:r>
              <w:rPr>
                <w:rFonts w:ascii="Calibri" w:hAnsi="Calibri"/>
                <w:b w:val="0"/>
                <w:i w:val="0"/>
                <w:color w:val="1D2939"/>
                <w:sz w:val="14"/>
              </w:rPr>
              <w:t>Rooms already provide speakers; low-cost adapters may standardize receiver output.</w:t>
            </w:r>
          </w:p>
        </w:tc>
        <w:tc>
          <w:tcPr>
            <w:tcW w:type="dxa" w:w="2100"/>
            <w:shd w:fill="F3F4F6"/>
          </w:tcPr>
          <w:p>
            <w:pPr>
              <w:spacing w:before="0" w:after="0" w:line="245" w:lineRule="auto"/>
              <w:jc w:val="left"/>
            </w:pPr>
            <w:r/>
            <w:r>
              <w:rPr>
                <w:rFonts w:ascii="Calibri" w:hAnsi="Calibri"/>
                <w:b w:val="0"/>
                <w:i w:val="0"/>
                <w:color w:val="1D2939"/>
                <w:sz w:val="14"/>
              </w:rPr>
              <w:t>AV validates safety and compatibility; Finance approves purchase.</w:t>
            </w:r>
          </w:p>
        </w:tc>
      </w:tr>
      <w:tr>
        <w:trPr>
          <w:cantSplit/>
        </w:trPr>
        <w:tc>
          <w:tcPr>
            <w:tcW w:type="dxa" w:w="2400"/>
          </w:tcPr>
          <w:p>
            <w:pPr>
              <w:spacing w:before="0" w:after="0" w:line="245" w:lineRule="auto"/>
              <w:jc w:val="left"/>
            </w:pPr>
            <w:r/>
            <w:r>
              <w:rPr>
                <w:rFonts w:ascii="Calibri" w:hAnsi="Calibri"/>
                <w:b/>
                <w:i w:val="0"/>
                <w:color w:val="1D2939"/>
                <w:sz w:val="14"/>
              </w:rPr>
              <w:t>Relay service if required</w:t>
            </w:r>
          </w:p>
        </w:tc>
        <w:tc>
          <w:tcPr>
            <w:tcW w:type="dxa" w:w="1680"/>
          </w:tcPr>
          <w:p>
            <w:pPr>
              <w:spacing w:before="0" w:after="0" w:line="245" w:lineRule="auto"/>
              <w:jc w:val="center"/>
            </w:pPr>
            <w:r/>
            <w:r>
              <w:rPr>
                <w:rFonts w:ascii="Calibri" w:hAnsi="Calibri"/>
                <w:b/>
                <w:i w:val="0"/>
                <w:color w:val="1D2939"/>
                <w:sz w:val="14"/>
              </w:rPr>
              <w:t>Conditional buy</w:t>
            </w:r>
          </w:p>
        </w:tc>
        <w:tc>
          <w:tcPr>
            <w:tcW w:type="dxa" w:w="3180"/>
          </w:tcPr>
          <w:p>
            <w:pPr>
              <w:spacing w:before="0" w:after="0" w:line="245" w:lineRule="auto"/>
              <w:jc w:val="left"/>
            </w:pPr>
            <w:r/>
            <w:r>
              <w:rPr>
                <w:rFonts w:ascii="Calibri" w:hAnsi="Calibri"/>
                <w:b w:val="0"/>
                <w:i w:val="0"/>
                <w:color w:val="1D2939"/>
                <w:sz w:val="14"/>
              </w:rPr>
              <w:t>Only needed if network testing shows direct or local routing is unreliable.</w:t>
            </w:r>
          </w:p>
        </w:tc>
        <w:tc>
          <w:tcPr>
            <w:tcW w:type="dxa" w:w="2100"/>
          </w:tcPr>
          <w:p>
            <w:pPr>
              <w:spacing w:before="0" w:after="0" w:line="245" w:lineRule="auto"/>
              <w:jc w:val="left"/>
            </w:pPr>
            <w:r/>
            <w:r>
              <w:rPr>
                <w:rFonts w:ascii="Calibri" w:hAnsi="Calibri"/>
                <w:b w:val="0"/>
                <w:i w:val="0"/>
                <w:color w:val="1D2939"/>
                <w:sz w:val="14"/>
              </w:rPr>
              <w:t>Privacy, security, IT, and Finance review before data is sent to a vendor.</w:t>
            </w:r>
          </w:p>
        </w:tc>
      </w:tr>
      <w:tr>
        <w:trPr>
          <w:cantSplit/>
        </w:trPr>
        <w:tc>
          <w:tcPr>
            <w:tcW w:type="dxa" w:w="2400"/>
            <w:shd w:fill="F3F4F6"/>
          </w:tcPr>
          <w:p>
            <w:pPr>
              <w:spacing w:before="0" w:after="0" w:line="245" w:lineRule="auto"/>
              <w:jc w:val="left"/>
            </w:pPr>
            <w:r/>
            <w:r>
              <w:rPr>
                <w:rFonts w:ascii="Calibri" w:hAnsi="Calibri"/>
                <w:b/>
                <w:i w:val="0"/>
                <w:color w:val="1D2939"/>
                <w:sz w:val="14"/>
              </w:rPr>
              <w:t>Survey and reporting tools</w:t>
            </w:r>
          </w:p>
        </w:tc>
        <w:tc>
          <w:tcPr>
            <w:tcW w:type="dxa" w:w="1680"/>
            <w:shd w:fill="F3F4F6"/>
          </w:tcPr>
          <w:p>
            <w:pPr>
              <w:spacing w:before="0" w:after="0" w:line="245" w:lineRule="auto"/>
              <w:jc w:val="center"/>
            </w:pPr>
            <w:r/>
            <w:r>
              <w:rPr>
                <w:rFonts w:ascii="Calibri" w:hAnsi="Calibri"/>
                <w:b/>
                <w:i w:val="0"/>
                <w:color w:val="1D2939"/>
                <w:sz w:val="14"/>
              </w:rPr>
              <w:t>Reuse existing</w:t>
            </w:r>
          </w:p>
        </w:tc>
        <w:tc>
          <w:tcPr>
            <w:tcW w:type="dxa" w:w="3180"/>
            <w:shd w:fill="F3F4F6"/>
          </w:tcPr>
          <w:p>
            <w:pPr>
              <w:spacing w:before="0" w:after="0" w:line="245" w:lineRule="auto"/>
              <w:jc w:val="left"/>
            </w:pPr>
            <w:r/>
            <w:r>
              <w:rPr>
                <w:rFonts w:ascii="Calibri" w:hAnsi="Calibri"/>
                <w:b w:val="0"/>
                <w:i w:val="0"/>
                <w:color w:val="1D2939"/>
                <w:sz w:val="14"/>
              </w:rPr>
              <w:t>Current institutional tools can collect anonymous feedback and summarize pilot measures.</w:t>
            </w:r>
          </w:p>
        </w:tc>
        <w:tc>
          <w:tcPr>
            <w:tcW w:type="dxa" w:w="2100"/>
            <w:shd w:fill="F3F4F6"/>
          </w:tcPr>
          <w:p>
            <w:pPr>
              <w:spacing w:before="0" w:after="0" w:line="245" w:lineRule="auto"/>
              <w:jc w:val="left"/>
            </w:pPr>
            <w:r/>
            <w:r>
              <w:rPr>
                <w:rFonts w:ascii="Calibri" w:hAnsi="Calibri"/>
                <w:b w:val="0"/>
                <w:i w:val="0"/>
                <w:color w:val="1D2939"/>
                <w:sz w:val="14"/>
              </w:rPr>
              <w:t>Collect only agreed data and apply pilot retention rules.</w:t>
            </w:r>
          </w:p>
        </w:tc>
      </w:tr>
    </w:tbl>
    <w:p>
      <w:pPr>
        <w:pStyle w:val="Heading2"/>
      </w:pPr>
      <w:r>
        <w:t>Procurement rule</w:t>
      </w:r>
    </w:p>
    <w:p>
      <w:pPr>
        <w:keepNext w:val="0"/>
        <w:spacing w:before="0" w:after="80" w:line="259" w:lineRule="auto"/>
        <w:jc w:val="left"/>
      </w:pPr>
      <w:r>
        <w:rPr>
          <w:rFonts w:ascii="Calibri" w:hAnsi="Calibri"/>
          <w:b w:val="0"/>
          <w:i w:val="0"/>
          <w:color w:val="1D2939"/>
          <w:sz w:val="18"/>
        </w:rPr>
        <w:t>No external provider may receive live audio, identifiers, or session data without documented security and privacy approval. Nurtore may place approved purchases already inside the cost baseline; a new vendor, commitment above AED 5,000, or any change that could store or process audio outside the institution requires Finance review and the Dean's approval.</w:t>
      </w:r>
    </w:p>
    <w:p>
      <w:pPr>
        <w:pStyle w:val="Heading1"/>
      </w:pPr>
      <w:r>
        <w:t>16 Phase D baseline approval</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00"/>
        <w:gridCol w:w="3300"/>
        <w:gridCol w:w="2760"/>
      </w:tblGrid>
      <w:tr>
        <w:trPr>
          <w:tblHeader w:val="true"/>
          <w:cantSplit/>
        </w:trPr>
        <w:tc>
          <w:tcPr>
            <w:tcW w:type="dxa" w:w="3300"/>
            <w:tcMar>
              <w:top w:w="72" w:type="dxa"/>
              <w:start w:w="100" w:type="dxa"/>
              <w:bottom w:w="72" w:type="dxa"/>
              <w:end w:w="100" w:type="dxa"/>
            </w:tcMar>
            <w:vAlign w:val="center"/>
            <w:shd w:fill="F3F4F6"/>
          </w:tcPr>
          <w:p>
            <w:pPr>
              <w:spacing w:before="0" w:after="0" w:line="245" w:lineRule="auto"/>
              <w:jc w:val="left"/>
            </w:pPr>
            <w:r/>
            <w:r>
              <w:rPr>
                <w:rFonts w:ascii="Calibri" w:hAnsi="Calibri"/>
                <w:b/>
                <w:i w:val="0"/>
                <w:color w:val="17365D"/>
                <w:sz w:val="16"/>
              </w:rPr>
              <w:t>Approval role</w:t>
            </w:r>
          </w:p>
        </w:tc>
        <w:tc>
          <w:tcPr>
            <w:tcW w:type="dxa" w:w="3300"/>
            <w:tcMar>
              <w:top w:w="72" w:type="dxa"/>
              <w:start w:w="100" w:type="dxa"/>
              <w:bottom w:w="72" w:type="dxa"/>
              <w:end w:w="100" w:type="dxa"/>
            </w:tcMar>
            <w:vAlign w:val="center"/>
            <w:shd w:fill="F3F4F6"/>
          </w:tcPr>
          <w:p>
            <w:pPr>
              <w:spacing w:before="0" w:after="0" w:line="245" w:lineRule="auto"/>
              <w:jc w:val="center"/>
            </w:pPr>
            <w:r/>
            <w:r>
              <w:rPr>
                <w:rFonts w:ascii="Calibri" w:hAnsi="Calibri"/>
                <w:b/>
                <w:i w:val="0"/>
                <w:color w:val="17365D"/>
                <w:sz w:val="16"/>
              </w:rPr>
              <w:t>Name and signature</w:t>
            </w:r>
          </w:p>
        </w:tc>
        <w:tc>
          <w:tcPr>
            <w:tcW w:type="dxa" w:w="2760"/>
            <w:tcMar>
              <w:top w:w="72" w:type="dxa"/>
              <w:start w:w="100" w:type="dxa"/>
              <w:bottom w:w="72" w:type="dxa"/>
              <w:end w:w="100" w:type="dxa"/>
            </w:tcMar>
            <w:vAlign w:val="center"/>
            <w:shd w:fill="F3F4F6"/>
          </w:tcPr>
          <w:p>
            <w:pPr>
              <w:spacing w:before="0" w:after="0" w:line="245" w:lineRule="auto"/>
              <w:jc w:val="center"/>
            </w:pPr>
            <w:r/>
            <w:r>
              <w:rPr>
                <w:rFonts w:ascii="Calibri" w:hAnsi="Calibri"/>
                <w:b/>
                <w:i w:val="0"/>
                <w:color w:val="17365D"/>
                <w:sz w:val="16"/>
              </w:rPr>
              <w:t>Date</w:t>
            </w:r>
          </w:p>
        </w:tc>
      </w:tr>
      <w:tr>
        <w:trPr>
          <w:cantSplit/>
        </w:trPr>
        <w:tc>
          <w:tcPr>
            <w:tcW w:type="dxa" w:w="3300"/>
          </w:tcPr>
          <w:p>
            <w:pPr>
              <w:spacing w:before="0" w:after="0" w:line="245" w:lineRule="auto"/>
              <w:jc w:val="left"/>
            </w:pPr>
            <w:r/>
            <w:r>
              <w:rPr>
                <w:rFonts w:ascii="Calibri" w:hAnsi="Calibri"/>
                <w:b/>
                <w:i w:val="0"/>
                <w:color w:val="1D2939"/>
                <w:sz w:val="16"/>
              </w:rPr>
              <w:t>Dean of Academic Affairs</w:t>
            </w:r>
          </w:p>
        </w:tc>
        <w:tc>
          <w:tcPr>
            <w:tcW w:type="dxa" w:w="3300"/>
          </w:tcPr>
          <w:p>
            <w:pPr>
              <w:spacing w:before="0" w:after="0" w:line="245" w:lineRule="auto"/>
              <w:jc w:val="left"/>
            </w:pPr>
            <w:r/>
            <w:r>
              <w:rPr>
                <w:rFonts w:ascii="Calibri" w:hAnsi="Calibri"/>
                <w:b w:val="0"/>
                <w:i w:val="0"/>
                <w:color w:val="1D2939"/>
                <w:sz w:val="16"/>
              </w:rPr>
              <w:t>________________________________</w:t>
            </w:r>
          </w:p>
        </w:tc>
        <w:tc>
          <w:tcPr>
            <w:tcW w:type="dxa" w:w="2760"/>
          </w:tcPr>
          <w:p>
            <w:pPr>
              <w:spacing w:before="0" w:after="0" w:line="245" w:lineRule="auto"/>
              <w:jc w:val="center"/>
            </w:pPr>
            <w:r/>
            <w:r>
              <w:rPr>
                <w:rFonts w:ascii="Calibri" w:hAnsi="Calibri"/>
                <w:b w:val="0"/>
                <w:i w:val="0"/>
                <w:color w:val="1D2939"/>
                <w:sz w:val="16"/>
              </w:rPr>
              <w:t>____________</w:t>
            </w:r>
          </w:p>
        </w:tc>
      </w:tr>
      <w:tr>
        <w:trPr>
          <w:cantSplit/>
        </w:trPr>
        <w:tc>
          <w:tcPr>
            <w:tcW w:type="dxa" w:w="3300"/>
          </w:tcPr>
          <w:p>
            <w:pPr>
              <w:spacing w:before="0" w:after="0" w:line="245" w:lineRule="auto"/>
              <w:jc w:val="left"/>
            </w:pPr>
            <w:r/>
            <w:r>
              <w:rPr>
                <w:rFonts w:ascii="Calibri" w:hAnsi="Calibri"/>
                <w:b/>
                <w:i w:val="0"/>
                <w:color w:val="1D2939"/>
                <w:sz w:val="16"/>
              </w:rPr>
              <w:t>Project manager</w:t>
            </w:r>
          </w:p>
        </w:tc>
        <w:tc>
          <w:tcPr>
            <w:tcW w:type="dxa" w:w="3300"/>
          </w:tcPr>
          <w:p>
            <w:pPr>
              <w:spacing w:before="0" w:after="0" w:line="245" w:lineRule="auto"/>
              <w:jc w:val="left"/>
            </w:pPr>
            <w:r/>
            <w:r>
              <w:rPr>
                <w:rFonts w:ascii="Calibri" w:hAnsi="Calibri"/>
                <w:b w:val="0"/>
                <w:i w:val="0"/>
                <w:color w:val="1D2939"/>
                <w:sz w:val="16"/>
              </w:rPr>
              <w:t>Nurtore Arynuruly  ____________________</w:t>
            </w:r>
          </w:p>
        </w:tc>
        <w:tc>
          <w:tcPr>
            <w:tcW w:type="dxa" w:w="2760"/>
          </w:tcPr>
          <w:p>
            <w:pPr>
              <w:spacing w:before="0" w:after="0" w:line="245" w:lineRule="auto"/>
              <w:jc w:val="center"/>
            </w:pPr>
            <w:r/>
            <w:r>
              <w:rPr>
                <w:rFonts w:ascii="Calibri" w:hAnsi="Calibri"/>
                <w:b w:val="0"/>
                <w:i w:val="0"/>
                <w:color w:val="1D2939"/>
                <w:sz w:val="16"/>
              </w:rPr>
              <w:t>____________</w:t>
            </w:r>
          </w:p>
        </w:tc>
      </w:tr>
      <w:tr>
        <w:trPr>
          <w:cantSplit/>
        </w:trPr>
        <w:tc>
          <w:tcPr>
            <w:tcW w:type="dxa" w:w="3300"/>
          </w:tcPr>
          <w:p>
            <w:pPr>
              <w:spacing w:before="0" w:after="0" w:line="245" w:lineRule="auto"/>
              <w:jc w:val="left"/>
            </w:pPr>
            <w:r/>
            <w:r>
              <w:rPr>
                <w:rFonts w:ascii="Calibri" w:hAnsi="Calibri"/>
                <w:b/>
                <w:i w:val="0"/>
                <w:color w:val="1D2939"/>
                <w:sz w:val="16"/>
              </w:rPr>
              <w:t>Technical lead</w:t>
            </w:r>
          </w:p>
        </w:tc>
        <w:tc>
          <w:tcPr>
            <w:tcW w:type="dxa" w:w="3300"/>
          </w:tcPr>
          <w:p>
            <w:pPr>
              <w:spacing w:before="0" w:after="0" w:line="245" w:lineRule="auto"/>
              <w:jc w:val="left"/>
            </w:pPr>
            <w:r/>
            <w:r>
              <w:rPr>
                <w:rFonts w:ascii="Calibri" w:hAnsi="Calibri"/>
                <w:b w:val="0"/>
                <w:i w:val="0"/>
                <w:color w:val="1D2939"/>
                <w:sz w:val="16"/>
              </w:rPr>
              <w:t>Temiko Machavariani  __________________</w:t>
            </w:r>
          </w:p>
        </w:tc>
        <w:tc>
          <w:tcPr>
            <w:tcW w:type="dxa" w:w="2760"/>
          </w:tcPr>
          <w:p>
            <w:pPr>
              <w:spacing w:before="0" w:after="0" w:line="245" w:lineRule="auto"/>
              <w:jc w:val="center"/>
            </w:pPr>
            <w:r/>
            <w:r>
              <w:rPr>
                <w:rFonts w:ascii="Calibri" w:hAnsi="Calibri"/>
                <w:b w:val="0"/>
                <w:i w:val="0"/>
                <w:color w:val="1D2939"/>
                <w:sz w:val="16"/>
              </w:rPr>
              <w:t>____________</w:t>
            </w:r>
          </w:p>
        </w:tc>
      </w:tr>
    </w:tbl>
    <w:sectPr w:rsidR="00FC693F" w:rsidRPr="0006063C" w:rsidSect="00034616">
      <w:headerReference w:type="default" r:id="rId17"/>
      <w:footerReference w:type="default" r:id="rId18"/>
      <w:pgSz w:w="12240" w:h="15840"/>
      <w:pgMar w:top="893" w:right="1440" w:bottom="893" w:left="144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667085"/>
        <w:sz w:val="16"/>
      </w:rPr>
      <w:t xml:space="preserve">PHASE D  |  INTEGRATED PLAN     </w:t>
    </w:r>
    <w:r>
      <w:rPr>
        <w:rFonts w:ascii="Calibri" w:hAnsi="Calibri"/>
        <w:b/>
        <w:i w:val="0"/>
        <w:color w:val="667085"/>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667085"/>
        <w:sz w:val="16"/>
      </w:rPr>
      <w:t xml:space="preserve">PHASE D  |  INTEGRATED PLAN     </w:t>
    </w:r>
    <w:r>
      <w:rPr>
        <w:rFonts w:ascii="Calibri" w:hAnsi="Calibri"/>
        <w:b/>
        <w:i w:val="0"/>
        <w:color w:val="667085"/>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667085"/>
        <w:sz w:val="16"/>
      </w:rPr>
      <w:t xml:space="preserve">PHASE D  |  INTEGRATED PLAN     </w:t>
    </w:r>
    <w:r>
      <w:rPr>
        <w:rFonts w:ascii="Calibri" w:hAnsi="Calibri"/>
        <w:b/>
        <w:i w:val="0"/>
        <w:color w:val="667085"/>
        <w:sz w:val="16"/>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667085"/>
        <w:sz w:val="16"/>
      </w:rPr>
      <w:t xml:space="preserve">PHASE D  |  INTEGRATED PLAN     </w:t>
    </w:r>
    <w:r>
      <w:rPr>
        <w:rFonts w:ascii="Calibri" w:hAnsi="Calibri"/>
        <w:b/>
        <w:i w:val="0"/>
        <w:color w:val="667085"/>
        <w:sz w:val="16"/>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667085"/>
        <w:sz w:val="16"/>
      </w:rPr>
      <w:t xml:space="preserve">PHASE D  |  INTEGRATED PLAN     </w:t>
    </w:r>
    <w:r>
      <w:rPr>
        <w:rFonts w:ascii="Calibri" w:hAnsi="Calibri"/>
        <w:b/>
        <w:i w:val="0"/>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CLASSMIC  |  PROJECT DELIVERY PLAN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CLASSMIC  |  PROJECT DELIVERY PLAN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CLASSMIC  |  PROJECT DELIVERY PLAN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CLASSMIC  |  PROJECT DELIVERY PLAN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CLASSMIC  |  PROJECT DELIVERY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D29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Phase D Integrated Project Plan</dc:title>
  <dc:subject>Scope WBS schedule cost risk quality and procurement</dc:subject>
  <dc:creator>Temiko Machavariani and Nurtore Arynuruly</dc:creator>
  <cp:keywords>ClassMic, Phase D, scope, WBS, Gantt, cost, risk, quality, procurement</cp:keywords>
  <dc:description>generated by python-docx</dc:description>
  <cp:lastModifiedBy/>
  <cp:revision>1</cp:revision>
  <dcterms:created xsi:type="dcterms:W3CDTF">2013-12-23T23:15:00Z</dcterms:created>
  <dcterms:modified xsi:type="dcterms:W3CDTF">2013-12-23T23:15:00Z</dcterms:modified>
  <cp:category/>
</cp:coreProperties>
</file>