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5135E" w14:textId="77777777" w:rsidR="00987AA4" w:rsidRPr="00987AA4" w:rsidRDefault="00987AA4" w:rsidP="00987AA4">
      <w:pPr>
        <w:shd w:val="clear" w:color="auto" w:fill="FFFFFF"/>
        <w:spacing w:before="100" w:beforeAutospacing="1" w:after="100" w:afterAutospacing="1" w:line="480" w:lineRule="auto"/>
        <w:jc w:val="center"/>
        <w:outlineLvl w:val="0"/>
        <w:rPr>
          <w:rFonts w:ascii="Times New Roman" w:eastAsia="Times New Roman" w:hAnsi="Times New Roman" w:cs="Times New Roman"/>
          <w:color w:val="222222"/>
          <w:kern w:val="36"/>
          <w:sz w:val="61"/>
          <w:szCs w:val="61"/>
          <w:lang w:eastAsia="en-CA"/>
        </w:rPr>
      </w:pPr>
      <w:r w:rsidRPr="00987AA4">
        <w:rPr>
          <w:rFonts w:ascii="Times New Roman" w:eastAsia="Times New Roman" w:hAnsi="Times New Roman" w:cs="Times New Roman"/>
          <w:color w:val="222222"/>
          <w:kern w:val="36"/>
          <w:sz w:val="61"/>
          <w:szCs w:val="61"/>
          <w:lang w:eastAsia="en-CA"/>
        </w:rPr>
        <w:t>ASA Activities Conduct Policy</w:t>
      </w:r>
    </w:p>
    <w:p w14:paraId="5374BE1C" w14:textId="77777777" w:rsidR="00987AA4" w:rsidRPr="00987AA4" w:rsidRDefault="00987AA4" w:rsidP="00987AA4">
      <w:pPr>
        <w:shd w:val="clear" w:color="auto" w:fill="FFFFFF"/>
        <w:spacing w:before="100" w:beforeAutospacing="1" w:after="100" w:afterAutospacing="1" w:line="240" w:lineRule="auto"/>
        <w:jc w:val="center"/>
        <w:outlineLvl w:val="3"/>
        <w:rPr>
          <w:rFonts w:ascii="Roboto" w:eastAsia="Times New Roman" w:hAnsi="Roboto" w:cs="Times New Roman"/>
          <w:color w:val="222222"/>
          <w:sz w:val="37"/>
          <w:szCs w:val="37"/>
          <w:lang w:eastAsia="en-CA"/>
        </w:rPr>
      </w:pPr>
      <w:r w:rsidRPr="00987AA4">
        <w:rPr>
          <w:rFonts w:ascii="Roboto" w:eastAsia="Times New Roman" w:hAnsi="Roboto" w:cs="Times New Roman"/>
          <w:color w:val="222222"/>
          <w:sz w:val="37"/>
          <w:szCs w:val="37"/>
          <w:lang w:eastAsia="en-CA"/>
        </w:rPr>
        <w:t>Approved November 30, 2018 by ASA Board of Directors</w:t>
      </w:r>
      <w:r w:rsidRPr="00987AA4">
        <w:rPr>
          <w:rFonts w:ascii="Roboto" w:eastAsia="Times New Roman" w:hAnsi="Roboto" w:cs="Times New Roman"/>
          <w:color w:val="222222"/>
          <w:sz w:val="37"/>
          <w:szCs w:val="37"/>
          <w:lang w:eastAsia="en-CA"/>
        </w:rPr>
        <w:br/>
        <w:t>(and updated October 4, 2019 by the ASA Board of Directors)</w:t>
      </w:r>
    </w:p>
    <w:p w14:paraId="40AE2485" w14:textId="77777777" w:rsidR="00987AA4" w:rsidRPr="00987AA4" w:rsidRDefault="00987AA4" w:rsidP="00987AA4">
      <w:pPr>
        <w:shd w:val="clear" w:color="auto" w:fill="FFFFFF"/>
        <w:spacing w:after="300" w:line="240" w:lineRule="auto"/>
        <w:rPr>
          <w:rFonts w:ascii="Roboto" w:eastAsia="Times New Roman" w:hAnsi="Roboto" w:cs="Times New Roman"/>
          <w:color w:val="3A4149"/>
          <w:sz w:val="26"/>
          <w:szCs w:val="26"/>
          <w:lang w:eastAsia="en-CA"/>
        </w:rPr>
      </w:pPr>
      <w:r w:rsidRPr="00987AA4">
        <w:rPr>
          <w:rFonts w:ascii="inherit" w:eastAsia="Times New Roman" w:hAnsi="inherit" w:cs="Times New Roman"/>
          <w:color w:val="3A4149"/>
          <w:sz w:val="26"/>
          <w:szCs w:val="26"/>
          <w:lang w:eastAsia="en-CA"/>
        </w:rPr>
        <w:br/>
        <w:t>The American Statistical Association (ASA) is committed to providing an atmosphere in which personal respect and intellectual growth are valued and the free expression and exchange of ideas are encouraged. Consistent with this commitment, it is the policy of the ASA that all participants in ASA activities enjoy a welcoming environment free from unlawful discrimination, harassment, and retaliation. We strive to be a community that welcomes and supports people of all backgrounds and identities. This includes, but is not limited to, members of any race, ethnicity, culture, national origin, color, immigration status, social and economic class, educational level, sex, sexual orientation, gender identity and expression, age, size, family status, political belief, religion, and mental and physical ability.</w:t>
      </w:r>
    </w:p>
    <w:p w14:paraId="73BBCED1" w14:textId="77777777" w:rsidR="00987AA4" w:rsidRPr="00987AA4" w:rsidRDefault="00987AA4" w:rsidP="00987AA4">
      <w:pPr>
        <w:shd w:val="clear" w:color="auto" w:fill="FFFFFF"/>
        <w:spacing w:after="300" w:line="240" w:lineRule="auto"/>
        <w:rPr>
          <w:rFonts w:ascii="Roboto" w:eastAsia="Times New Roman" w:hAnsi="Roboto" w:cs="Times New Roman"/>
          <w:color w:val="3A4149"/>
          <w:sz w:val="26"/>
          <w:szCs w:val="26"/>
          <w:lang w:eastAsia="en-CA"/>
        </w:rPr>
      </w:pPr>
      <w:r w:rsidRPr="00987AA4">
        <w:rPr>
          <w:rFonts w:ascii="Roboto" w:eastAsia="Times New Roman" w:hAnsi="Roboto" w:cs="Times New Roman"/>
          <w:color w:val="3A4149"/>
          <w:sz w:val="26"/>
          <w:szCs w:val="26"/>
          <w:lang w:eastAsia="en-CA"/>
        </w:rPr>
        <w:t>All participants—including, but not limited to, attendees, statisticians, students, registered guests, staff, contractors, and exhibitors—in any ASA meeting or other activity—whether official or unofficial—agree to comply with all rules and conditions of the activities. Your registration for or attendance at any ASA event indicates your agreement to abide by this policy and its terms.</w:t>
      </w:r>
    </w:p>
    <w:p w14:paraId="06FA133A" w14:textId="77777777" w:rsidR="00987AA4" w:rsidRPr="00987AA4" w:rsidRDefault="00987AA4" w:rsidP="00987AA4">
      <w:pPr>
        <w:shd w:val="clear" w:color="auto" w:fill="FFFFFF"/>
        <w:spacing w:before="100" w:beforeAutospacing="1" w:after="100" w:afterAutospacing="1" w:line="240" w:lineRule="auto"/>
        <w:jc w:val="center"/>
        <w:outlineLvl w:val="2"/>
        <w:rPr>
          <w:rFonts w:ascii="Roboto" w:eastAsia="Times New Roman" w:hAnsi="Roboto" w:cs="Times New Roman"/>
          <w:color w:val="222222"/>
          <w:sz w:val="44"/>
          <w:szCs w:val="44"/>
          <w:lang w:eastAsia="en-CA"/>
        </w:rPr>
      </w:pPr>
      <w:r w:rsidRPr="00987AA4">
        <w:rPr>
          <w:rFonts w:ascii="Roboto" w:eastAsia="Times New Roman" w:hAnsi="Roboto" w:cs="Times New Roman"/>
          <w:color w:val="222222"/>
          <w:sz w:val="44"/>
          <w:szCs w:val="44"/>
          <w:lang w:eastAsia="en-CA"/>
        </w:rPr>
        <w:t>Expected Behavior</w:t>
      </w:r>
    </w:p>
    <w:p w14:paraId="42C04FBE" w14:textId="77777777" w:rsidR="00987AA4" w:rsidRPr="00987AA4" w:rsidRDefault="00987AA4" w:rsidP="00987AA4">
      <w:pPr>
        <w:numPr>
          <w:ilvl w:val="0"/>
          <w:numId w:val="1"/>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Model and support the norms of professional respect necessary to promote the conditions for healthy exchange of scientific ideas.</w:t>
      </w:r>
    </w:p>
    <w:p w14:paraId="66C00449" w14:textId="77777777" w:rsidR="00987AA4" w:rsidRPr="00987AA4" w:rsidRDefault="00987AA4" w:rsidP="00987AA4">
      <w:pPr>
        <w:numPr>
          <w:ilvl w:val="0"/>
          <w:numId w:val="1"/>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Speak and conduct yourself professionally; do not insult or disparage other participants.</w:t>
      </w:r>
    </w:p>
    <w:p w14:paraId="6F7163AC" w14:textId="77777777" w:rsidR="00987AA4" w:rsidRPr="00987AA4" w:rsidRDefault="00987AA4" w:rsidP="00987AA4">
      <w:pPr>
        <w:numPr>
          <w:ilvl w:val="0"/>
          <w:numId w:val="1"/>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Be conscious of hierarchical structures in the ASA community, specifically the existence of stark power differentials between junior and senior statisticians—noting that fear of retaliation from senior statisticians can make it difficult for junior statisticians to express discomfort, rebuff unwelcome advances, and report violations of the conduct policy.</w:t>
      </w:r>
    </w:p>
    <w:p w14:paraId="6C09A0B0" w14:textId="77777777" w:rsidR="00987AA4" w:rsidRPr="00987AA4" w:rsidRDefault="00987AA4" w:rsidP="00987AA4">
      <w:pPr>
        <w:numPr>
          <w:ilvl w:val="0"/>
          <w:numId w:val="1"/>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Be sensitive to body language and other non-verbal signals and respond respectfully.</w:t>
      </w:r>
    </w:p>
    <w:p w14:paraId="48666CA9" w14:textId="77777777" w:rsidR="00987AA4" w:rsidRPr="00987AA4" w:rsidRDefault="00987AA4" w:rsidP="00987AA4">
      <w:pPr>
        <w:shd w:val="clear" w:color="auto" w:fill="FFFFFF"/>
        <w:spacing w:before="100" w:beforeAutospacing="1" w:after="100" w:afterAutospacing="1" w:line="240" w:lineRule="auto"/>
        <w:jc w:val="center"/>
        <w:outlineLvl w:val="2"/>
        <w:rPr>
          <w:rFonts w:ascii="Roboto" w:eastAsia="Times New Roman" w:hAnsi="Roboto" w:cs="Times New Roman"/>
          <w:color w:val="222222"/>
          <w:sz w:val="44"/>
          <w:szCs w:val="44"/>
          <w:lang w:eastAsia="en-CA"/>
        </w:rPr>
      </w:pPr>
      <w:r w:rsidRPr="00987AA4">
        <w:rPr>
          <w:rFonts w:ascii="Roboto" w:eastAsia="Times New Roman" w:hAnsi="Roboto" w:cs="Times New Roman"/>
          <w:color w:val="222222"/>
          <w:sz w:val="44"/>
          <w:szCs w:val="44"/>
          <w:lang w:eastAsia="en-CA"/>
        </w:rPr>
        <w:lastRenderedPageBreak/>
        <w:t>Unacceptable Behavior</w:t>
      </w:r>
    </w:p>
    <w:p w14:paraId="1C635874" w14:textId="77777777" w:rsidR="00987AA4" w:rsidRPr="00987AA4" w:rsidRDefault="00987AA4" w:rsidP="00987AA4">
      <w:pPr>
        <w:numPr>
          <w:ilvl w:val="0"/>
          <w:numId w:val="2"/>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Violent threats or language directed against another person</w:t>
      </w:r>
    </w:p>
    <w:p w14:paraId="2A451170" w14:textId="77777777" w:rsidR="00987AA4" w:rsidRPr="00987AA4" w:rsidRDefault="00987AA4" w:rsidP="00987AA4">
      <w:pPr>
        <w:numPr>
          <w:ilvl w:val="0"/>
          <w:numId w:val="2"/>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Discriminatory jokes and language</w:t>
      </w:r>
    </w:p>
    <w:p w14:paraId="36BAD17A" w14:textId="77777777" w:rsidR="00987AA4" w:rsidRPr="00987AA4" w:rsidRDefault="00987AA4" w:rsidP="00987AA4">
      <w:pPr>
        <w:numPr>
          <w:ilvl w:val="0"/>
          <w:numId w:val="2"/>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Inclusion of unnecessary sexually explicit, violent, or otherwise sensitive materials in presentations</w:t>
      </w:r>
    </w:p>
    <w:p w14:paraId="3802FC5A" w14:textId="77777777" w:rsidR="00987AA4" w:rsidRPr="00987AA4" w:rsidRDefault="00987AA4" w:rsidP="00987AA4">
      <w:pPr>
        <w:numPr>
          <w:ilvl w:val="0"/>
          <w:numId w:val="2"/>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Posting (or threatening to post), without permission, other people’s personally identifying information online, including on social networking sites</w:t>
      </w:r>
    </w:p>
    <w:p w14:paraId="6597EA06" w14:textId="77777777" w:rsidR="00987AA4" w:rsidRPr="00987AA4" w:rsidRDefault="00987AA4" w:rsidP="00987AA4">
      <w:pPr>
        <w:numPr>
          <w:ilvl w:val="0"/>
          <w:numId w:val="2"/>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Personal insults including, but not limited to, those using racist, sexist, homophobic, or xenophobic terms</w:t>
      </w:r>
    </w:p>
    <w:p w14:paraId="0FF9E683" w14:textId="77777777" w:rsidR="00987AA4" w:rsidRPr="00987AA4" w:rsidRDefault="00987AA4" w:rsidP="00987AA4">
      <w:pPr>
        <w:numPr>
          <w:ilvl w:val="0"/>
          <w:numId w:val="2"/>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 xml:space="preserve">Unwelcome solicitation of emotional or physical intimacy such as sexual advances; propositions; sexual flirtations; </w:t>
      </w:r>
      <w:proofErr w:type="gramStart"/>
      <w:r w:rsidRPr="00987AA4">
        <w:rPr>
          <w:rFonts w:ascii="Roboto" w:eastAsia="Times New Roman" w:hAnsi="Roboto" w:cs="Times New Roman"/>
          <w:color w:val="3A4149"/>
          <w:sz w:val="25"/>
          <w:szCs w:val="25"/>
          <w:lang w:eastAsia="en-CA"/>
        </w:rPr>
        <w:t>sexually-related</w:t>
      </w:r>
      <w:proofErr w:type="gramEnd"/>
      <w:r w:rsidRPr="00987AA4">
        <w:rPr>
          <w:rFonts w:ascii="Roboto" w:eastAsia="Times New Roman" w:hAnsi="Roboto" w:cs="Times New Roman"/>
          <w:color w:val="3A4149"/>
          <w:sz w:val="25"/>
          <w:szCs w:val="25"/>
          <w:lang w:eastAsia="en-CA"/>
        </w:rPr>
        <w:t xml:space="preserve"> touching; and graphic gestures or comments about sex or another person’s dress, body, or sexual activities</w:t>
      </w:r>
    </w:p>
    <w:p w14:paraId="010CEC83" w14:textId="77777777" w:rsidR="00987AA4" w:rsidRPr="00987AA4" w:rsidRDefault="00987AA4" w:rsidP="00987AA4">
      <w:pPr>
        <w:numPr>
          <w:ilvl w:val="0"/>
          <w:numId w:val="2"/>
        </w:numPr>
        <w:shd w:val="clear" w:color="auto" w:fill="FFFFFF"/>
        <w:spacing w:after="0" w:line="240" w:lineRule="auto"/>
        <w:ind w:left="744"/>
        <w:rPr>
          <w:rFonts w:ascii="Roboto" w:eastAsia="Times New Roman" w:hAnsi="Roboto" w:cs="Times New Roman"/>
          <w:color w:val="3A4149"/>
          <w:sz w:val="25"/>
          <w:szCs w:val="25"/>
          <w:lang w:eastAsia="en-CA"/>
        </w:rPr>
      </w:pPr>
      <w:r w:rsidRPr="00987AA4">
        <w:rPr>
          <w:rFonts w:ascii="Roboto" w:eastAsia="Times New Roman" w:hAnsi="Roboto" w:cs="Times New Roman"/>
          <w:color w:val="3A4149"/>
          <w:sz w:val="25"/>
          <w:szCs w:val="25"/>
          <w:lang w:eastAsia="en-CA"/>
        </w:rPr>
        <w:t>Advocating for, encouraging, or dismissing the severity of any of the above behaviors.</w:t>
      </w:r>
    </w:p>
    <w:p w14:paraId="67DA048D" w14:textId="77777777" w:rsidR="00987AA4" w:rsidRPr="00987AA4" w:rsidRDefault="00987AA4" w:rsidP="00987AA4">
      <w:pPr>
        <w:shd w:val="clear" w:color="auto" w:fill="FFFFFF"/>
        <w:spacing w:before="100" w:beforeAutospacing="1" w:after="100" w:afterAutospacing="1" w:line="240" w:lineRule="auto"/>
        <w:jc w:val="center"/>
        <w:outlineLvl w:val="2"/>
        <w:rPr>
          <w:rFonts w:ascii="Roboto" w:eastAsia="Times New Roman" w:hAnsi="Roboto" w:cs="Times New Roman"/>
          <w:color w:val="222222"/>
          <w:sz w:val="44"/>
          <w:szCs w:val="44"/>
          <w:lang w:eastAsia="en-CA"/>
        </w:rPr>
      </w:pPr>
      <w:r w:rsidRPr="00987AA4">
        <w:rPr>
          <w:rFonts w:ascii="Roboto" w:eastAsia="Times New Roman" w:hAnsi="Roboto" w:cs="Times New Roman"/>
          <w:color w:val="222222"/>
          <w:sz w:val="44"/>
          <w:szCs w:val="44"/>
          <w:lang w:eastAsia="en-CA"/>
        </w:rPr>
        <w:t>Consequences of Unacceptable Behavior</w:t>
      </w:r>
    </w:p>
    <w:p w14:paraId="31ED8073" w14:textId="77777777" w:rsidR="00987AA4" w:rsidRPr="00987AA4" w:rsidRDefault="00987AA4" w:rsidP="00987AA4">
      <w:pPr>
        <w:shd w:val="clear" w:color="auto" w:fill="FFFFFF"/>
        <w:spacing w:after="300" w:line="240" w:lineRule="auto"/>
        <w:rPr>
          <w:rFonts w:ascii="Roboto" w:eastAsia="Times New Roman" w:hAnsi="Roboto" w:cs="Times New Roman"/>
          <w:color w:val="3A4149"/>
          <w:sz w:val="26"/>
          <w:szCs w:val="26"/>
          <w:lang w:eastAsia="en-CA"/>
        </w:rPr>
      </w:pPr>
      <w:r w:rsidRPr="00987AA4">
        <w:rPr>
          <w:rFonts w:ascii="Roboto" w:eastAsia="Times New Roman" w:hAnsi="Roboto" w:cs="Times New Roman"/>
          <w:color w:val="3A4149"/>
          <w:sz w:val="26"/>
          <w:szCs w:val="26"/>
          <w:lang w:eastAsia="en-CA"/>
        </w:rPr>
        <w:t>At the ASA’s sole discretion, unacceptable behavior may result in removal from or denial of access to meeting facilities or activities, without refund of any applicable registration fees or costs. In addition, the ASA reserves the right to report violations to an individual’s employer or institution or to a law-enforcement agency. Those engaging in unacceptable behavior may also be banned from future ASA activities or face additional penalties.</w:t>
      </w:r>
    </w:p>
    <w:p w14:paraId="7F6577F1" w14:textId="77777777" w:rsidR="00987AA4" w:rsidRPr="00987AA4" w:rsidRDefault="00987AA4" w:rsidP="00987AA4">
      <w:pPr>
        <w:shd w:val="clear" w:color="auto" w:fill="FFFFFF"/>
        <w:spacing w:before="100" w:beforeAutospacing="1" w:after="100" w:afterAutospacing="1" w:line="240" w:lineRule="auto"/>
        <w:jc w:val="center"/>
        <w:outlineLvl w:val="2"/>
        <w:rPr>
          <w:rFonts w:ascii="Roboto" w:eastAsia="Times New Roman" w:hAnsi="Roboto" w:cs="Times New Roman"/>
          <w:color w:val="222222"/>
          <w:sz w:val="44"/>
          <w:szCs w:val="44"/>
          <w:lang w:eastAsia="en-CA"/>
        </w:rPr>
      </w:pPr>
      <w:r w:rsidRPr="00987AA4">
        <w:rPr>
          <w:rFonts w:ascii="Roboto" w:eastAsia="Times New Roman" w:hAnsi="Roboto" w:cs="Times New Roman"/>
          <w:color w:val="222222"/>
          <w:sz w:val="44"/>
          <w:szCs w:val="44"/>
          <w:lang w:eastAsia="en-CA"/>
        </w:rPr>
        <w:t>What to Do if You Witness or Are Subject to Unacceptable Behavior</w:t>
      </w:r>
    </w:p>
    <w:p w14:paraId="72B75348" w14:textId="77777777" w:rsidR="00987AA4" w:rsidRPr="00987AA4" w:rsidRDefault="00987AA4" w:rsidP="00987AA4">
      <w:pPr>
        <w:shd w:val="clear" w:color="auto" w:fill="FFFFFF"/>
        <w:spacing w:after="300" w:line="240" w:lineRule="auto"/>
        <w:rPr>
          <w:rFonts w:ascii="Roboto" w:eastAsia="Times New Roman" w:hAnsi="Roboto" w:cs="Times New Roman"/>
          <w:color w:val="3A4149"/>
          <w:sz w:val="26"/>
          <w:szCs w:val="26"/>
          <w:lang w:eastAsia="en-CA"/>
        </w:rPr>
      </w:pPr>
      <w:r w:rsidRPr="00987AA4">
        <w:rPr>
          <w:rFonts w:ascii="Roboto" w:eastAsia="Times New Roman" w:hAnsi="Roboto" w:cs="Times New Roman"/>
          <w:color w:val="3A4149"/>
          <w:sz w:val="26"/>
          <w:szCs w:val="26"/>
          <w:lang w:eastAsia="en-CA"/>
        </w:rPr>
        <w:t>If you have experienced or are aware of violations of the ASA’s Activities Conduct Policy, please contact </w:t>
      </w:r>
      <w:hyperlink r:id="rId5" w:history="1">
        <w:r w:rsidRPr="00987AA4">
          <w:rPr>
            <w:rFonts w:ascii="Roboto" w:eastAsia="Times New Roman" w:hAnsi="Roboto" w:cs="Times New Roman"/>
            <w:color w:val="1B75BB"/>
            <w:sz w:val="26"/>
            <w:szCs w:val="26"/>
            <w:u w:val="single"/>
            <w:lang w:eastAsia="en-CA"/>
          </w:rPr>
          <w:t>Conduct@amstat.org</w:t>
        </w:r>
      </w:hyperlink>
      <w:r w:rsidRPr="00987AA4">
        <w:rPr>
          <w:rFonts w:ascii="Roboto" w:eastAsia="Times New Roman" w:hAnsi="Roboto" w:cs="Times New Roman"/>
          <w:color w:val="3A4149"/>
          <w:sz w:val="26"/>
          <w:szCs w:val="26"/>
          <w:lang w:eastAsia="en-CA"/>
        </w:rPr>
        <w:t>.</w:t>
      </w:r>
    </w:p>
    <w:p w14:paraId="7E02DF5F" w14:textId="77777777" w:rsidR="00987AA4" w:rsidRPr="00987AA4" w:rsidRDefault="00987AA4" w:rsidP="00987AA4">
      <w:pPr>
        <w:shd w:val="clear" w:color="auto" w:fill="FFFFFF"/>
        <w:spacing w:before="100" w:beforeAutospacing="1" w:after="100" w:afterAutospacing="1" w:line="240" w:lineRule="auto"/>
        <w:jc w:val="center"/>
        <w:outlineLvl w:val="2"/>
        <w:rPr>
          <w:rFonts w:ascii="Roboto" w:eastAsia="Times New Roman" w:hAnsi="Roboto" w:cs="Times New Roman"/>
          <w:color w:val="222222"/>
          <w:sz w:val="44"/>
          <w:szCs w:val="44"/>
          <w:lang w:eastAsia="en-CA"/>
        </w:rPr>
      </w:pPr>
      <w:r w:rsidRPr="00987AA4">
        <w:rPr>
          <w:rFonts w:ascii="Roboto" w:eastAsia="Times New Roman" w:hAnsi="Roboto" w:cs="Times New Roman"/>
          <w:color w:val="222222"/>
          <w:sz w:val="44"/>
          <w:szCs w:val="44"/>
          <w:lang w:eastAsia="en-CA"/>
        </w:rPr>
        <w:t>Process for Adjudicating Findings of Misconduct</w:t>
      </w:r>
    </w:p>
    <w:p w14:paraId="4F404735" w14:textId="77777777" w:rsidR="00987AA4" w:rsidRPr="00987AA4" w:rsidRDefault="00987AA4" w:rsidP="00987AA4">
      <w:pPr>
        <w:shd w:val="clear" w:color="auto" w:fill="FFFFFF"/>
        <w:spacing w:after="300" w:line="240" w:lineRule="auto"/>
        <w:rPr>
          <w:rFonts w:ascii="Roboto" w:eastAsia="Times New Roman" w:hAnsi="Roboto" w:cs="Times New Roman"/>
          <w:color w:val="3A4149"/>
          <w:sz w:val="26"/>
          <w:szCs w:val="26"/>
          <w:lang w:eastAsia="en-CA"/>
        </w:rPr>
      </w:pPr>
      <w:r w:rsidRPr="00987AA4">
        <w:rPr>
          <w:rFonts w:ascii="Roboto" w:eastAsia="Times New Roman" w:hAnsi="Roboto" w:cs="Times New Roman"/>
          <w:color w:val="3A4149"/>
          <w:sz w:val="26"/>
          <w:szCs w:val="26"/>
          <w:lang w:eastAsia="en-CA"/>
        </w:rPr>
        <w:t xml:space="preserve">The ASA will contract with an independent entity to investigate reported violations of the conduct policy. The </w:t>
      </w:r>
      <w:proofErr w:type="spellStart"/>
      <w:r w:rsidRPr="00987AA4">
        <w:rPr>
          <w:rFonts w:ascii="Roboto" w:eastAsia="Times New Roman" w:hAnsi="Roboto" w:cs="Times New Roman"/>
          <w:color w:val="3A4149"/>
          <w:sz w:val="26"/>
          <w:szCs w:val="26"/>
          <w:lang w:eastAsia="en-CA"/>
        </w:rPr>
        <w:t>ombuds</w:t>
      </w:r>
      <w:proofErr w:type="spellEnd"/>
      <w:r w:rsidRPr="00987AA4">
        <w:rPr>
          <w:rFonts w:ascii="Roboto" w:eastAsia="Times New Roman" w:hAnsi="Roboto" w:cs="Times New Roman"/>
          <w:color w:val="3A4149"/>
          <w:sz w:val="26"/>
          <w:szCs w:val="26"/>
          <w:lang w:eastAsia="en-CA"/>
        </w:rPr>
        <w:t xml:space="preserve"> service provider, the investigator, and the ASA leadership will be guided by the </w:t>
      </w:r>
      <w:hyperlink r:id="rId6" w:history="1">
        <w:r w:rsidRPr="00987AA4">
          <w:rPr>
            <w:rFonts w:ascii="Roboto" w:eastAsia="Times New Roman" w:hAnsi="Roboto" w:cs="Times New Roman"/>
            <w:color w:val="1B75BB"/>
            <w:sz w:val="26"/>
            <w:szCs w:val="26"/>
            <w:u w:val="single"/>
            <w:lang w:eastAsia="en-CA"/>
          </w:rPr>
          <w:t>ASA Policies and Procedures for Reporting, Investigating, and Adjudicating Violations of the ASA’s Activities Conduct Policy</w:t>
        </w:r>
      </w:hyperlink>
      <w:r w:rsidRPr="00987AA4">
        <w:rPr>
          <w:rFonts w:ascii="Roboto" w:eastAsia="Times New Roman" w:hAnsi="Roboto" w:cs="Times New Roman"/>
          <w:color w:val="3A4149"/>
          <w:sz w:val="26"/>
          <w:szCs w:val="26"/>
          <w:lang w:eastAsia="en-CA"/>
        </w:rPr>
        <w:t> (approved 10-4-2019 by ASA Board of Directors).</w:t>
      </w:r>
    </w:p>
    <w:p w14:paraId="6FF8944B" w14:textId="77777777" w:rsidR="00987AA4" w:rsidRPr="00987AA4" w:rsidRDefault="00987AA4" w:rsidP="00987AA4">
      <w:pPr>
        <w:shd w:val="clear" w:color="auto" w:fill="FFFFFF"/>
        <w:spacing w:after="300" w:line="240" w:lineRule="auto"/>
        <w:rPr>
          <w:rFonts w:ascii="Roboto" w:eastAsia="Times New Roman" w:hAnsi="Roboto" w:cs="Times New Roman"/>
          <w:color w:val="3A4149"/>
          <w:sz w:val="26"/>
          <w:szCs w:val="26"/>
          <w:lang w:eastAsia="en-CA"/>
        </w:rPr>
      </w:pPr>
      <w:r w:rsidRPr="00987AA4">
        <w:rPr>
          <w:rFonts w:ascii="Roboto" w:eastAsia="Times New Roman" w:hAnsi="Roboto" w:cs="Times New Roman"/>
          <w:i/>
          <w:iCs/>
          <w:color w:val="3A4149"/>
          <w:sz w:val="26"/>
          <w:szCs w:val="26"/>
          <w:lang w:eastAsia="en-CA"/>
        </w:rPr>
        <w:br/>
        <w:t> Note: This Code of Conduct may be revised at any time by The American Statistical Association and its terms are non-negotiable.</w:t>
      </w:r>
    </w:p>
    <w:p w14:paraId="34697009" w14:textId="77777777" w:rsidR="005D2312" w:rsidRDefault="00987AA4"/>
    <w:sectPr w:rsidR="005D23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4C029B"/>
    <w:multiLevelType w:val="multilevel"/>
    <w:tmpl w:val="66486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171606"/>
    <w:multiLevelType w:val="multilevel"/>
    <w:tmpl w:val="20581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AA4"/>
    <w:rsid w:val="00764530"/>
    <w:rsid w:val="00987AA4"/>
    <w:rsid w:val="00A371D0"/>
    <w:rsid w:val="00EE39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F0BF9"/>
  <w15:chartTrackingRefBased/>
  <w15:docId w15:val="{3F579FD9-B31F-4D95-A48F-CF6F262F7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7AA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3">
    <w:name w:val="heading 3"/>
    <w:basedOn w:val="Normal"/>
    <w:link w:val="Heading3Char"/>
    <w:uiPriority w:val="9"/>
    <w:qFormat/>
    <w:rsid w:val="00987AA4"/>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987AA4"/>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AA4"/>
    <w:rPr>
      <w:rFonts w:ascii="Times New Roman" w:eastAsia="Times New Roman" w:hAnsi="Times New Roman" w:cs="Times New Roman"/>
      <w:b/>
      <w:bCs/>
      <w:kern w:val="36"/>
      <w:sz w:val="48"/>
      <w:szCs w:val="48"/>
      <w:lang w:eastAsia="en-CA"/>
    </w:rPr>
  </w:style>
  <w:style w:type="character" w:customStyle="1" w:styleId="Heading3Char">
    <w:name w:val="Heading 3 Char"/>
    <w:basedOn w:val="DefaultParagraphFont"/>
    <w:link w:val="Heading3"/>
    <w:uiPriority w:val="9"/>
    <w:rsid w:val="00987AA4"/>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987AA4"/>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987AA4"/>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987AA4"/>
    <w:rPr>
      <w:color w:val="0000FF"/>
      <w:u w:val="single"/>
    </w:rPr>
  </w:style>
  <w:style w:type="character" w:styleId="Emphasis">
    <w:name w:val="Emphasis"/>
    <w:basedOn w:val="DefaultParagraphFont"/>
    <w:uiPriority w:val="20"/>
    <w:qFormat/>
    <w:rsid w:val="00987A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13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stat.org/asa/files/pdfs/PolicyandProcedures-ConductPolicy.pdf" TargetMode="External"/><Relationship Id="rId5" Type="http://schemas.openxmlformats.org/officeDocument/2006/relationships/hyperlink" Target="mailto:Conduct@amstat.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gregpreston88@gmail.com</dc:creator>
  <cp:keywords/>
  <dc:description/>
  <cp:lastModifiedBy>gregpreston88@gmail.com</cp:lastModifiedBy>
  <cp:revision>1</cp:revision>
  <dcterms:created xsi:type="dcterms:W3CDTF">2021-04-05T17:43:00Z</dcterms:created>
  <dcterms:modified xsi:type="dcterms:W3CDTF">2021-04-05T17:44:00Z</dcterms:modified>
</cp:coreProperties>
</file>