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A7B" w:rsidRPr="007C2DB1" w:rsidRDefault="00D300A1" w:rsidP="00D300A1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  <w:i/>
        </w:rPr>
        <w:tab/>
        <w:t xml:space="preserve">  </w:t>
      </w:r>
      <w:r w:rsidR="006D0803" w:rsidRPr="007C2DB1">
        <w:rPr>
          <w:rFonts w:asciiTheme="majorHAnsi" w:hAnsiTheme="majorHAnsi"/>
          <w:noProof/>
          <w:lang w:val="en-US"/>
        </w:rPr>
        <w:drawing>
          <wp:inline distT="0" distB="0" distL="0" distR="0">
            <wp:extent cx="957573" cy="110036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099" cy="110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03" w:rsidRPr="007C2DB1" w:rsidRDefault="006817B9" w:rsidP="006D0803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21</w:t>
      </w:r>
      <w:r w:rsidRPr="006817B9">
        <w:rPr>
          <w:rFonts w:asciiTheme="majorHAnsi" w:hAnsiTheme="majorHAnsi"/>
          <w:vertAlign w:val="superscript"/>
        </w:rPr>
        <w:t>st</w:t>
      </w:r>
      <w:r>
        <w:rPr>
          <w:rFonts w:asciiTheme="majorHAnsi" w:hAnsiTheme="majorHAnsi"/>
        </w:rPr>
        <w:t xml:space="preserve"> September 2012</w:t>
      </w:r>
    </w:p>
    <w:p w:rsidR="00AF0A7B" w:rsidRPr="007C2DB1" w:rsidRDefault="008403A9" w:rsidP="008403A9">
      <w:p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 xml:space="preserve">To Whom It May Concern, </w:t>
      </w:r>
    </w:p>
    <w:p w:rsidR="00AC45ED" w:rsidRPr="007C2DB1" w:rsidRDefault="008403A9" w:rsidP="008403A9">
      <w:p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 xml:space="preserve">This is to certify that </w:t>
      </w:r>
      <w:r w:rsidR="00CC1468">
        <w:rPr>
          <w:rFonts w:asciiTheme="majorHAnsi" w:hAnsiTheme="majorHAnsi"/>
        </w:rPr>
        <w:t>Angela Kuti</w:t>
      </w:r>
      <w:r w:rsidRPr="007C2DB1">
        <w:rPr>
          <w:rFonts w:asciiTheme="majorHAnsi" w:hAnsiTheme="majorHAnsi"/>
        </w:rPr>
        <w:t xml:space="preserve"> has obtained the </w:t>
      </w:r>
      <w:r w:rsidRPr="007C2DB1">
        <w:rPr>
          <w:rFonts w:asciiTheme="majorHAnsi" w:hAnsiTheme="majorHAnsi"/>
          <w:b/>
        </w:rPr>
        <w:t>Certificate IV in Teaching English to Speakers of Other Languages</w:t>
      </w:r>
      <w:r w:rsidRPr="007C2DB1">
        <w:rPr>
          <w:rFonts w:asciiTheme="majorHAnsi" w:hAnsiTheme="majorHAnsi"/>
        </w:rPr>
        <w:t xml:space="preserve">. </w:t>
      </w:r>
      <w:r w:rsidR="00AC45ED" w:rsidRPr="007C2DB1">
        <w:rPr>
          <w:rFonts w:asciiTheme="majorHAnsi" w:hAnsiTheme="majorHAnsi"/>
        </w:rPr>
        <w:t xml:space="preserve">As her trainer and assessor, I have written this letter as evidence of her recent qualification, to be used as a substitute for her forthcoming certificate.  </w:t>
      </w:r>
    </w:p>
    <w:p w:rsidR="00511D5B" w:rsidRPr="007C2DB1" w:rsidRDefault="0059007F" w:rsidP="008403A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Angela</w:t>
      </w:r>
      <w:r w:rsidR="008403A9" w:rsidRPr="007C2DB1">
        <w:rPr>
          <w:rFonts w:asciiTheme="majorHAnsi" w:hAnsiTheme="majorHAnsi"/>
        </w:rPr>
        <w:t xml:space="preserve"> has successfully completed all the required coursework for twelve core units, as follows:</w:t>
      </w:r>
    </w:p>
    <w:p w:rsidR="00F2260E" w:rsidRPr="007C2DB1" w:rsidRDefault="006D0803" w:rsidP="00840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 xml:space="preserve">Analyse </w:t>
      </w:r>
      <w:r w:rsidR="00511D5B" w:rsidRPr="007C2DB1">
        <w:rPr>
          <w:rFonts w:asciiTheme="majorHAnsi" w:hAnsiTheme="majorHAnsi"/>
        </w:rPr>
        <w:t>Language, Culture and Learning</w:t>
      </w:r>
      <w:bookmarkStart w:id="0" w:name="_GoBack"/>
      <w:bookmarkEnd w:id="0"/>
    </w:p>
    <w:p w:rsidR="006D0803" w:rsidRPr="007C2DB1" w:rsidRDefault="00511D5B" w:rsidP="006D080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 xml:space="preserve">Analyse </w:t>
      </w:r>
      <w:r w:rsidR="006D0803" w:rsidRPr="007C2DB1">
        <w:rPr>
          <w:rFonts w:asciiTheme="majorHAnsi" w:hAnsiTheme="majorHAnsi"/>
        </w:rPr>
        <w:t xml:space="preserve">the English </w:t>
      </w:r>
      <w:r w:rsidRPr="007C2DB1">
        <w:rPr>
          <w:rFonts w:asciiTheme="majorHAnsi" w:hAnsiTheme="majorHAnsi"/>
        </w:rPr>
        <w:t>Language</w:t>
      </w:r>
    </w:p>
    <w:p w:rsidR="006D0803" w:rsidRPr="007C2DB1" w:rsidRDefault="006D0803" w:rsidP="00840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Apply Approached and Methods in TESOL</w:t>
      </w:r>
    </w:p>
    <w:p w:rsidR="006D0803" w:rsidRPr="007C2DB1" w:rsidRDefault="006D0803" w:rsidP="00840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Design Syllabuses and Plan Lessons</w:t>
      </w:r>
    </w:p>
    <w:p w:rsidR="006D0803" w:rsidRPr="007C2DB1" w:rsidRDefault="006D0803" w:rsidP="006D080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Teach English Grammar</w:t>
      </w:r>
    </w:p>
    <w:p w:rsidR="006D0803" w:rsidRPr="007C2DB1" w:rsidRDefault="006D0803" w:rsidP="006D080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 xml:space="preserve">Teach Spelling and Pronunciation </w:t>
      </w:r>
    </w:p>
    <w:p w:rsidR="00511D5B" w:rsidRPr="007C2DB1" w:rsidRDefault="006D0803" w:rsidP="00840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Teach</w:t>
      </w:r>
      <w:r w:rsidR="00511D5B" w:rsidRPr="007C2DB1">
        <w:rPr>
          <w:rFonts w:asciiTheme="majorHAnsi" w:hAnsiTheme="majorHAnsi"/>
        </w:rPr>
        <w:t xml:space="preserve"> Speaking</w:t>
      </w:r>
    </w:p>
    <w:p w:rsidR="00511D5B" w:rsidRPr="007C2DB1" w:rsidRDefault="006D0803" w:rsidP="00840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Teach</w:t>
      </w:r>
      <w:r w:rsidR="00511D5B" w:rsidRPr="007C2DB1">
        <w:rPr>
          <w:rFonts w:asciiTheme="majorHAnsi" w:hAnsiTheme="majorHAnsi"/>
        </w:rPr>
        <w:t xml:space="preserve"> Listening</w:t>
      </w:r>
    </w:p>
    <w:p w:rsidR="00511D5B" w:rsidRPr="007C2DB1" w:rsidRDefault="006D0803" w:rsidP="00840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Teach</w:t>
      </w:r>
      <w:r w:rsidR="00511D5B" w:rsidRPr="007C2DB1">
        <w:rPr>
          <w:rFonts w:asciiTheme="majorHAnsi" w:hAnsiTheme="majorHAnsi"/>
        </w:rPr>
        <w:t xml:space="preserve"> Reading</w:t>
      </w:r>
    </w:p>
    <w:p w:rsidR="00511D5B" w:rsidRPr="007C2DB1" w:rsidRDefault="006D0803" w:rsidP="00840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Teach</w:t>
      </w:r>
      <w:r w:rsidR="00511D5B" w:rsidRPr="007C2DB1">
        <w:rPr>
          <w:rFonts w:asciiTheme="majorHAnsi" w:hAnsiTheme="majorHAnsi"/>
        </w:rPr>
        <w:t xml:space="preserve"> Writing</w:t>
      </w:r>
    </w:p>
    <w:p w:rsidR="00511D5B" w:rsidRPr="007C2DB1" w:rsidRDefault="00511D5B" w:rsidP="00840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Planning Syllabuses and Lessons</w:t>
      </w:r>
    </w:p>
    <w:p w:rsidR="00511D5B" w:rsidRPr="007C2DB1" w:rsidRDefault="006D0803" w:rsidP="00840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Assess</w:t>
      </w:r>
      <w:r w:rsidR="00511D5B" w:rsidRPr="007C2DB1">
        <w:rPr>
          <w:rFonts w:asciiTheme="majorHAnsi" w:hAnsiTheme="majorHAnsi"/>
        </w:rPr>
        <w:t xml:space="preserve"> ESL Learners</w:t>
      </w:r>
    </w:p>
    <w:p w:rsidR="00511D5B" w:rsidRPr="007C2DB1" w:rsidRDefault="006D0803" w:rsidP="00840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Manage</w:t>
      </w:r>
      <w:r w:rsidR="00511D5B" w:rsidRPr="007C2DB1">
        <w:rPr>
          <w:rFonts w:asciiTheme="majorHAnsi" w:hAnsiTheme="majorHAnsi"/>
        </w:rPr>
        <w:t xml:space="preserve"> Classroom Logistics</w:t>
      </w:r>
    </w:p>
    <w:p w:rsidR="00511D5B" w:rsidRPr="007C2DB1" w:rsidRDefault="00511D5B" w:rsidP="00840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Develop resource Files</w:t>
      </w:r>
    </w:p>
    <w:p w:rsidR="00511D5B" w:rsidRPr="007C2DB1" w:rsidRDefault="008403A9" w:rsidP="008403A9">
      <w:p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Furthermore</w:t>
      </w:r>
      <w:r w:rsidR="00AC45ED" w:rsidRPr="007C2DB1">
        <w:rPr>
          <w:rFonts w:asciiTheme="majorHAnsi" w:hAnsiTheme="majorHAnsi"/>
        </w:rPr>
        <w:t>, she</w:t>
      </w:r>
      <w:r w:rsidRPr="007C2DB1">
        <w:rPr>
          <w:rFonts w:asciiTheme="majorHAnsi" w:hAnsiTheme="majorHAnsi"/>
        </w:rPr>
        <w:t xml:space="preserve"> has undertaken and </w:t>
      </w:r>
      <w:r w:rsidR="00D300A1" w:rsidRPr="007C2DB1">
        <w:rPr>
          <w:rFonts w:asciiTheme="majorHAnsi" w:hAnsiTheme="majorHAnsi"/>
        </w:rPr>
        <w:t xml:space="preserve">completed the coursework </w:t>
      </w:r>
      <w:r w:rsidR="003D68FF" w:rsidRPr="007C2DB1">
        <w:rPr>
          <w:rFonts w:asciiTheme="majorHAnsi" w:hAnsiTheme="majorHAnsi"/>
        </w:rPr>
        <w:t>for an additional elective unit:</w:t>
      </w:r>
    </w:p>
    <w:p w:rsidR="00511D5B" w:rsidRPr="007C2DB1" w:rsidRDefault="00D300A1" w:rsidP="008403A9">
      <w:pPr>
        <w:pStyle w:val="ListParagraph"/>
        <w:numPr>
          <w:ilvl w:val="0"/>
          <w:numId w:val="2"/>
        </w:numPr>
        <w:ind w:left="709" w:hanging="283"/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Conduct Experiential Language Programs</w:t>
      </w:r>
    </w:p>
    <w:p w:rsidR="00511D5B" w:rsidRPr="007C2DB1" w:rsidRDefault="008403A9" w:rsidP="008403A9">
      <w:p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The Certificate IV in TESOL also comprises a compulsory practical component</w:t>
      </w:r>
      <w:r w:rsidR="0059007F">
        <w:rPr>
          <w:rFonts w:asciiTheme="majorHAnsi" w:hAnsiTheme="majorHAnsi"/>
        </w:rPr>
        <w:t>, totalling 20</w:t>
      </w:r>
      <w:r w:rsidR="00AC45ED" w:rsidRPr="007C2DB1">
        <w:rPr>
          <w:rFonts w:asciiTheme="majorHAnsi" w:hAnsiTheme="majorHAnsi"/>
        </w:rPr>
        <w:t xml:space="preserve"> hours. Trainee teachers must complete</w:t>
      </w:r>
      <w:r w:rsidRPr="007C2DB1">
        <w:rPr>
          <w:rFonts w:asciiTheme="majorHAnsi" w:hAnsiTheme="majorHAnsi"/>
        </w:rPr>
        <w:t xml:space="preserve"> 14 hours of observation of an experienced teacher</w:t>
      </w:r>
      <w:r w:rsidR="00D300A1" w:rsidRPr="007C2DB1">
        <w:rPr>
          <w:rFonts w:asciiTheme="majorHAnsi" w:hAnsiTheme="majorHAnsi"/>
        </w:rPr>
        <w:t>,</w:t>
      </w:r>
      <w:r w:rsidR="00AC45ED" w:rsidRPr="007C2DB1">
        <w:rPr>
          <w:rFonts w:asciiTheme="majorHAnsi" w:hAnsiTheme="majorHAnsi"/>
        </w:rPr>
        <w:t xml:space="preserve"> and six hours of observed teaching, in an a</w:t>
      </w:r>
      <w:r w:rsidR="0059007F">
        <w:rPr>
          <w:rFonts w:asciiTheme="majorHAnsi" w:hAnsiTheme="majorHAnsi"/>
        </w:rPr>
        <w:t xml:space="preserve">ccredited language </w:t>
      </w:r>
      <w:proofErr w:type="spellStart"/>
      <w:r w:rsidR="0059007F">
        <w:rPr>
          <w:rFonts w:asciiTheme="majorHAnsi" w:hAnsiTheme="majorHAnsi"/>
        </w:rPr>
        <w:t>institution</w:t>
      </w:r>
      <w:proofErr w:type="spellEnd"/>
      <w:r w:rsidR="0059007F">
        <w:rPr>
          <w:rFonts w:asciiTheme="majorHAnsi" w:hAnsiTheme="majorHAnsi"/>
        </w:rPr>
        <w:t xml:space="preserve">. </w:t>
      </w:r>
      <w:r w:rsidR="00447616" w:rsidRPr="007C2DB1">
        <w:rPr>
          <w:rFonts w:asciiTheme="majorHAnsi" w:hAnsiTheme="majorHAnsi"/>
        </w:rPr>
        <w:t xml:space="preserve">In addition, all trainees complete a number of Peer Teaching activities to allow practice of vital classroom skills. </w:t>
      </w:r>
    </w:p>
    <w:p w:rsidR="00AC45ED" w:rsidRPr="007C2DB1" w:rsidRDefault="00AC45ED" w:rsidP="00AC45ED">
      <w:p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 xml:space="preserve">Should you have any further questions, please do not </w:t>
      </w:r>
      <w:r w:rsidR="00B7172D" w:rsidRPr="007C2DB1">
        <w:rPr>
          <w:rFonts w:asciiTheme="majorHAnsi" w:hAnsiTheme="majorHAnsi"/>
        </w:rPr>
        <w:t>hesitate</w:t>
      </w:r>
      <w:r w:rsidRPr="007C2DB1">
        <w:rPr>
          <w:rFonts w:asciiTheme="majorHAnsi" w:hAnsiTheme="majorHAnsi"/>
        </w:rPr>
        <w:t xml:space="preserve"> to contact me at the email address below. </w:t>
      </w:r>
    </w:p>
    <w:p w:rsidR="00511D5B" w:rsidRPr="007C2DB1" w:rsidRDefault="00AC45ED" w:rsidP="00AC45ED">
      <w:pPr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 xml:space="preserve">Yours sincerely, </w:t>
      </w:r>
    </w:p>
    <w:p w:rsidR="00AC45ED" w:rsidRPr="007C2DB1" w:rsidRDefault="00AC45ED" w:rsidP="008403A9">
      <w:pPr>
        <w:ind w:left="360"/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  <w:noProof/>
          <w:lang w:val="en-US"/>
        </w:rPr>
        <w:drawing>
          <wp:inline distT="0" distB="0" distL="0" distR="0">
            <wp:extent cx="1414463" cy="457200"/>
            <wp:effectExtent l="0" t="0" r="0" b="0"/>
            <wp:docPr id="2" name="Picture 4" descr="C:\Documents and Settings\Justine\My Documents\Documents\Cert IV in TESOL\VINCIN, Justine - Elec S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ustine\My Documents\Documents\Cert IV in TESOL\VINCIN, Justine - Elec Si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463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5B" w:rsidRPr="007C2DB1" w:rsidRDefault="00AC45ED" w:rsidP="00B7172D">
      <w:pPr>
        <w:spacing w:after="0" w:line="240" w:lineRule="auto"/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 xml:space="preserve">Justine </w:t>
      </w:r>
      <w:proofErr w:type="spellStart"/>
      <w:r w:rsidRPr="007C2DB1">
        <w:rPr>
          <w:rFonts w:asciiTheme="majorHAnsi" w:hAnsiTheme="majorHAnsi"/>
        </w:rPr>
        <w:t>Vincin</w:t>
      </w:r>
      <w:proofErr w:type="spellEnd"/>
    </w:p>
    <w:p w:rsidR="00B7172D" w:rsidRPr="007C2DB1" w:rsidRDefault="007C5718" w:rsidP="00B7172D">
      <w:pPr>
        <w:spacing w:after="0" w:line="240" w:lineRule="auto"/>
        <w:jc w:val="both"/>
        <w:rPr>
          <w:rFonts w:asciiTheme="majorHAnsi" w:hAnsiTheme="majorHAnsi"/>
        </w:rPr>
      </w:pPr>
      <w:hyperlink r:id="rId7" w:history="1">
        <w:r w:rsidR="00B7172D" w:rsidRPr="007C2DB1">
          <w:rPr>
            <w:rStyle w:val="Hyperlink"/>
            <w:rFonts w:asciiTheme="majorHAnsi" w:hAnsiTheme="majorHAnsi"/>
          </w:rPr>
          <w:t>justine.vincin@gmail.com</w:t>
        </w:r>
      </w:hyperlink>
    </w:p>
    <w:p w:rsidR="00B7172D" w:rsidRPr="007C2DB1" w:rsidRDefault="00B7172D" w:rsidP="00B7172D">
      <w:pPr>
        <w:spacing w:after="0" w:line="240" w:lineRule="auto"/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Certificate IV in TESOL Trainer/Assessor</w:t>
      </w:r>
    </w:p>
    <w:p w:rsidR="00AC45ED" w:rsidRPr="006D0803" w:rsidRDefault="00B7172D" w:rsidP="00B7172D">
      <w:pPr>
        <w:spacing w:after="0" w:line="240" w:lineRule="auto"/>
        <w:jc w:val="both"/>
        <w:rPr>
          <w:rFonts w:asciiTheme="majorHAnsi" w:hAnsiTheme="majorHAnsi"/>
        </w:rPr>
      </w:pPr>
      <w:r w:rsidRPr="007C2DB1">
        <w:rPr>
          <w:rFonts w:asciiTheme="majorHAnsi" w:hAnsiTheme="majorHAnsi"/>
        </w:rPr>
        <w:t>The Spanish Cat, Melbourne, Australia</w:t>
      </w:r>
    </w:p>
    <w:sectPr w:rsidR="00AC45ED" w:rsidRPr="006D0803" w:rsidSect="00447616">
      <w:pgSz w:w="11906" w:h="16838"/>
      <w:pgMar w:top="568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70D34"/>
    <w:multiLevelType w:val="hybridMultilevel"/>
    <w:tmpl w:val="5A3E86F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EA29A8"/>
    <w:multiLevelType w:val="hybridMultilevel"/>
    <w:tmpl w:val="DB5873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oNotTrackMoves/>
  <w:defaultTabStop w:val="720"/>
  <w:characterSpacingControl w:val="doNotCompress"/>
  <w:compat/>
  <w:rsids>
    <w:rsidRoot w:val="00511D5B"/>
    <w:rsid w:val="003D68FF"/>
    <w:rsid w:val="00447616"/>
    <w:rsid w:val="00511D5B"/>
    <w:rsid w:val="0059007F"/>
    <w:rsid w:val="00635BE6"/>
    <w:rsid w:val="006817B9"/>
    <w:rsid w:val="006D0803"/>
    <w:rsid w:val="007C2DB1"/>
    <w:rsid w:val="007C5718"/>
    <w:rsid w:val="008403A9"/>
    <w:rsid w:val="00AC45ED"/>
    <w:rsid w:val="00AF0A7B"/>
    <w:rsid w:val="00B7172D"/>
    <w:rsid w:val="00CC1468"/>
    <w:rsid w:val="00D300A1"/>
    <w:rsid w:val="00F2260E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60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11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17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17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justine.vincin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</dc:creator>
  <cp:keywords/>
  <dc:description/>
  <cp:lastModifiedBy>Maher Darwiche</cp:lastModifiedBy>
  <cp:revision>2</cp:revision>
  <dcterms:created xsi:type="dcterms:W3CDTF">2012-09-28T01:54:00Z</dcterms:created>
  <dcterms:modified xsi:type="dcterms:W3CDTF">2012-09-28T01:54:00Z</dcterms:modified>
</cp:coreProperties>
</file>